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hint="eastAsia"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9"/>
        <w:tabs>
          <w:tab w:val="left" w:pos="9072"/>
        </w:tabs>
        <w:spacing w:line="640" w:lineRule="exact"/>
        <w:ind w:firstLine="826" w:firstLineChars="235"/>
        <w:outlineLvl w:val="3"/>
        <w:rPr>
          <w:rFonts w:hint="default" w:ascii="宋体" w:hAnsi="宋体" w:eastAsia="宋体"/>
          <w:sz w:val="35"/>
          <w:szCs w:val="35"/>
          <w:lang w:val="en-US" w:eastAsia="zh-CN"/>
        </w:rPr>
      </w:pPr>
      <w:r>
        <w:rPr>
          <w:rFonts w:ascii="宋体" w:hAnsi="宋体" w:eastAsia="宋体"/>
          <w:b/>
          <w:sz w:val="35"/>
          <w:szCs w:val="35"/>
        </w:rPr>
        <w:t>项目编号：</w:t>
      </w:r>
      <w:r>
        <w:rPr>
          <w:rFonts w:hint="eastAsia" w:ascii="宋体" w:hAnsi="宋体" w:eastAsia="宋体"/>
          <w:b/>
          <w:sz w:val="35"/>
          <w:szCs w:val="35"/>
        </w:rPr>
        <w:t>ZHDGZC2025081</w:t>
      </w:r>
    </w:p>
    <w:p w14:paraId="68612354">
      <w:pPr>
        <w:pStyle w:val="19"/>
        <w:spacing w:line="640" w:lineRule="exact"/>
        <w:ind w:left="2541" w:leftChars="400" w:hanging="1701" w:hangingChars="484"/>
        <w:outlineLvl w:val="3"/>
        <w:rPr>
          <w:rFonts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东莞市石龙镇社区卫生服务中心食堂食材配送服务项目</w:t>
      </w:r>
    </w:p>
    <w:p w14:paraId="71953F7B">
      <w:pPr>
        <w:pStyle w:val="19"/>
        <w:spacing w:line="640" w:lineRule="exact"/>
        <w:ind w:firstLine="826" w:firstLineChars="235"/>
        <w:outlineLvl w:val="3"/>
        <w:rPr>
          <w:rFonts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东莞市石龙镇社区卫生服务中心</w:t>
      </w:r>
    </w:p>
    <w:p w14:paraId="05B13617">
      <w:pPr>
        <w:pStyle w:val="19"/>
        <w:spacing w:line="640" w:lineRule="exact"/>
        <w:ind w:firstLine="826" w:firstLineChars="235"/>
        <w:outlineLvl w:val="3"/>
        <w:rPr>
          <w:rFonts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3"/>
            <w:keepNext w:val="0"/>
            <w:keepLines w:val="0"/>
            <w:pageBreakBefore/>
            <w:widowControl w:val="0"/>
            <w:jc w:val="center"/>
            <w:rPr>
              <w:rFonts w:hint="eastAsia"/>
              <w:color w:val="auto"/>
            </w:rPr>
          </w:pPr>
          <w:r>
            <w:rPr>
              <w:rFonts w:ascii="宋体" w:hAnsi="宋体" w:eastAsia="宋体"/>
              <w:b/>
              <w:bCs/>
              <w:color w:val="auto"/>
              <w:sz w:val="36"/>
              <w:szCs w:val="36"/>
              <w:lang w:val="zh-CN"/>
            </w:rPr>
            <w:t>目录</w:t>
          </w:r>
        </w:p>
        <w:p w14:paraId="1DB790CF">
          <w:pPr>
            <w:pStyle w:val="10"/>
            <w:tabs>
              <w:tab w:val="right" w:leader="dot" w:pos="9231"/>
            </w:tabs>
            <w:spacing w:line="360" w:lineRule="auto"/>
            <w:ind w:left="419" w:leftChars="68" w:hanging="276" w:hangingChars="115"/>
            <w:rPr>
              <w:rFonts w:hint="eastAsia" w:ascii="宋体" w:hAnsi="宋体" w:eastAsia="宋体"/>
              <w:color w:val="auto"/>
              <w:sz w:val="24"/>
              <w:szCs w:val="24"/>
              <w14:ligatures w14:val="standardContextual"/>
            </w:rPr>
          </w:pPr>
          <w:r>
            <w:rPr>
              <w:rFonts w:ascii="宋体" w:hAnsi="宋体" w:eastAsia="宋体"/>
              <w:color w:val="auto"/>
              <w:sz w:val="24"/>
              <w:szCs w:val="24"/>
            </w:rPr>
            <w:fldChar w:fldCharType="begin"/>
          </w:r>
          <w:r>
            <w:rPr>
              <w:rFonts w:ascii="宋体" w:hAnsi="宋体" w:eastAsia="宋体"/>
              <w:color w:val="auto"/>
              <w:sz w:val="24"/>
              <w:szCs w:val="24"/>
            </w:rPr>
            <w:instrText xml:space="preserve"> TOC \o "1-3" \h \z \u </w:instrText>
          </w:r>
          <w:r>
            <w:rPr>
              <w:rFonts w:ascii="宋体" w:hAnsi="宋体" w:eastAsia="宋体"/>
              <w:color w:val="auto"/>
              <w:sz w:val="24"/>
              <w:szCs w:val="24"/>
            </w:rPr>
            <w:fldChar w:fldCharType="separate"/>
          </w:r>
          <w:r>
            <w:rPr>
              <w:color w:val="auto"/>
            </w:rPr>
            <w:fldChar w:fldCharType="begin"/>
          </w:r>
          <w:r>
            <w:rPr>
              <w:color w:val="auto"/>
            </w:rPr>
            <w:instrText xml:space="preserve"> HYPERLINK \l "_Toc169807540" </w:instrText>
          </w:r>
          <w:r>
            <w:rPr>
              <w:color w:val="auto"/>
            </w:rPr>
            <w:fldChar w:fldCharType="separate"/>
          </w:r>
          <w:r>
            <w:rPr>
              <w:rStyle w:val="17"/>
              <w:rFonts w:ascii="宋体" w:hAnsi="宋体" w:eastAsia="宋体" w:cs="Times New Roman"/>
              <w:color w:val="auto"/>
              <w:kern w:val="0"/>
              <w:sz w:val="24"/>
              <w:szCs w:val="24"/>
              <w:lang w:eastAsia="zh-Hans"/>
            </w:rPr>
            <w:t>第一章</w:t>
          </w:r>
          <w:r>
            <w:rPr>
              <w:rStyle w:val="17"/>
              <w:rFonts w:ascii="宋体" w:hAnsi="宋体" w:eastAsia="宋体" w:cs="Times New Roman"/>
              <w:color w:val="auto"/>
              <w:kern w:val="0"/>
              <w:sz w:val="24"/>
              <w:szCs w:val="24"/>
            </w:rPr>
            <w:t xml:space="preserve"> </w:t>
          </w:r>
          <w:r>
            <w:rPr>
              <w:rStyle w:val="17"/>
              <w:rFonts w:ascii="宋体" w:hAnsi="宋体" w:eastAsia="宋体" w:cs="Times New Roman"/>
              <w:color w:val="auto"/>
              <w:kern w:val="0"/>
              <w:sz w:val="24"/>
              <w:szCs w:val="24"/>
              <w:lang w:eastAsia="zh-Hans"/>
            </w:rPr>
            <w:t>投标邀请</w:t>
          </w:r>
          <w:r>
            <w:rPr>
              <w:rFonts w:ascii="宋体" w:hAnsi="宋体" w:eastAsia="宋体"/>
              <w:color w:val="auto"/>
              <w:sz w:val="24"/>
              <w:szCs w:val="24"/>
            </w:rPr>
            <w:tab/>
          </w:r>
          <w:r>
            <w:rPr>
              <w:rFonts w:ascii="宋体" w:hAnsi="宋体" w:eastAsia="宋体"/>
              <w:color w:val="auto"/>
              <w:sz w:val="24"/>
              <w:szCs w:val="24"/>
            </w:rPr>
            <w:fldChar w:fldCharType="begin"/>
          </w:r>
          <w:r>
            <w:rPr>
              <w:rFonts w:ascii="宋体" w:hAnsi="宋体" w:eastAsia="宋体"/>
              <w:color w:val="auto"/>
              <w:sz w:val="24"/>
              <w:szCs w:val="24"/>
            </w:rPr>
            <w:instrText xml:space="preserve"> PAGEREF _Toc169807540 \h </w:instrText>
          </w:r>
          <w:r>
            <w:rPr>
              <w:rFonts w:ascii="宋体" w:hAnsi="宋体" w:eastAsia="宋体"/>
              <w:color w:val="auto"/>
              <w:sz w:val="24"/>
              <w:szCs w:val="24"/>
            </w:rPr>
            <w:fldChar w:fldCharType="separate"/>
          </w:r>
          <w:r>
            <w:rPr>
              <w:rFonts w:ascii="宋体" w:hAnsi="宋体" w:eastAsia="宋体"/>
              <w:color w:val="auto"/>
              <w:sz w:val="24"/>
              <w:szCs w:val="24"/>
            </w:rPr>
            <w:t>2</w:t>
          </w:r>
          <w:r>
            <w:rPr>
              <w:rFonts w:ascii="宋体" w:hAnsi="宋体" w:eastAsia="宋体"/>
              <w:color w:val="auto"/>
              <w:sz w:val="24"/>
              <w:szCs w:val="24"/>
            </w:rPr>
            <w:fldChar w:fldCharType="end"/>
          </w:r>
          <w:r>
            <w:rPr>
              <w:rFonts w:ascii="宋体" w:hAnsi="宋体" w:eastAsia="宋体"/>
              <w:color w:val="auto"/>
              <w:sz w:val="24"/>
              <w:szCs w:val="24"/>
            </w:rPr>
            <w:fldChar w:fldCharType="end"/>
          </w:r>
        </w:p>
        <w:p w14:paraId="263B132B">
          <w:pPr>
            <w:pStyle w:val="10"/>
            <w:tabs>
              <w:tab w:val="right" w:leader="dot" w:pos="9231"/>
            </w:tabs>
            <w:spacing w:line="360" w:lineRule="auto"/>
            <w:ind w:left="384" w:leftChars="68" w:hanging="241" w:hangingChars="115"/>
            <w:rPr>
              <w:rFonts w:hint="eastAsia" w:ascii="宋体" w:hAnsi="宋体" w:eastAsia="宋体"/>
              <w:color w:val="auto"/>
              <w:sz w:val="24"/>
              <w:szCs w:val="24"/>
              <w14:ligatures w14:val="standardContextual"/>
            </w:rPr>
          </w:pPr>
          <w:r>
            <w:rPr>
              <w:color w:val="auto"/>
            </w:rPr>
            <w:fldChar w:fldCharType="begin"/>
          </w:r>
          <w:r>
            <w:rPr>
              <w:color w:val="auto"/>
            </w:rPr>
            <w:instrText xml:space="preserve"> HYPERLINK \l "_Toc169807541" </w:instrText>
          </w:r>
          <w:r>
            <w:rPr>
              <w:color w:val="auto"/>
            </w:rPr>
            <w:fldChar w:fldCharType="separate"/>
          </w:r>
          <w:r>
            <w:rPr>
              <w:rStyle w:val="17"/>
              <w:rFonts w:ascii="宋体" w:hAnsi="宋体" w:eastAsia="宋体" w:cs="Times New Roman"/>
              <w:color w:val="auto"/>
              <w:kern w:val="0"/>
              <w:sz w:val="24"/>
              <w:szCs w:val="24"/>
              <w:lang w:eastAsia="zh-Hans"/>
            </w:rPr>
            <w:t>第二章 采购需求</w:t>
          </w:r>
          <w:r>
            <w:rPr>
              <w:rFonts w:ascii="宋体" w:hAnsi="宋体" w:eastAsia="宋体"/>
              <w:color w:val="auto"/>
              <w:sz w:val="24"/>
              <w:szCs w:val="24"/>
            </w:rPr>
            <w:tab/>
          </w:r>
          <w:r>
            <w:rPr>
              <w:rFonts w:ascii="宋体" w:hAnsi="宋体" w:eastAsia="宋体"/>
              <w:color w:val="auto"/>
              <w:sz w:val="24"/>
              <w:szCs w:val="24"/>
            </w:rPr>
            <w:fldChar w:fldCharType="begin"/>
          </w:r>
          <w:r>
            <w:rPr>
              <w:rFonts w:ascii="宋体" w:hAnsi="宋体" w:eastAsia="宋体"/>
              <w:color w:val="auto"/>
              <w:sz w:val="24"/>
              <w:szCs w:val="24"/>
            </w:rPr>
            <w:instrText xml:space="preserve"> PAGEREF _Toc169807541 \h </w:instrText>
          </w:r>
          <w:r>
            <w:rPr>
              <w:rFonts w:ascii="宋体" w:hAnsi="宋体" w:eastAsia="宋体"/>
              <w:color w:val="auto"/>
              <w:sz w:val="24"/>
              <w:szCs w:val="24"/>
            </w:rPr>
            <w:fldChar w:fldCharType="separate"/>
          </w:r>
          <w:r>
            <w:rPr>
              <w:rFonts w:ascii="宋体" w:hAnsi="宋体" w:eastAsia="宋体"/>
              <w:color w:val="auto"/>
              <w:sz w:val="24"/>
              <w:szCs w:val="24"/>
            </w:rPr>
            <w:t>6</w:t>
          </w:r>
          <w:r>
            <w:rPr>
              <w:rFonts w:ascii="宋体" w:hAnsi="宋体" w:eastAsia="宋体"/>
              <w:color w:val="auto"/>
              <w:sz w:val="24"/>
              <w:szCs w:val="24"/>
            </w:rPr>
            <w:fldChar w:fldCharType="end"/>
          </w:r>
          <w:r>
            <w:rPr>
              <w:rFonts w:ascii="宋体" w:hAnsi="宋体" w:eastAsia="宋体"/>
              <w:color w:val="auto"/>
              <w:sz w:val="24"/>
              <w:szCs w:val="24"/>
            </w:rPr>
            <w:fldChar w:fldCharType="end"/>
          </w:r>
        </w:p>
        <w:p w14:paraId="435B146A">
          <w:pPr>
            <w:pStyle w:val="10"/>
            <w:tabs>
              <w:tab w:val="right" w:leader="dot" w:pos="9231"/>
            </w:tabs>
            <w:spacing w:line="360" w:lineRule="auto"/>
            <w:ind w:left="384" w:leftChars="68" w:hanging="241" w:hangingChars="115"/>
            <w:rPr>
              <w:rFonts w:hint="eastAsia" w:ascii="宋体" w:hAnsi="宋体" w:eastAsia="宋体"/>
              <w:color w:val="auto"/>
              <w:sz w:val="24"/>
              <w:szCs w:val="24"/>
              <w14:ligatures w14:val="standardContextual"/>
            </w:rPr>
          </w:pPr>
          <w:r>
            <w:rPr>
              <w:color w:val="auto"/>
            </w:rPr>
            <w:fldChar w:fldCharType="begin"/>
          </w:r>
          <w:r>
            <w:rPr>
              <w:color w:val="auto"/>
            </w:rPr>
            <w:instrText xml:space="preserve"> HYPERLINK \l "_Toc169807542" </w:instrText>
          </w:r>
          <w:r>
            <w:rPr>
              <w:color w:val="auto"/>
            </w:rPr>
            <w:fldChar w:fldCharType="separate"/>
          </w:r>
          <w:r>
            <w:rPr>
              <w:rStyle w:val="17"/>
              <w:rFonts w:ascii="宋体" w:hAnsi="宋体" w:eastAsia="宋体" w:cs="Times New Roman"/>
              <w:color w:val="auto"/>
              <w:kern w:val="0"/>
              <w:sz w:val="24"/>
              <w:szCs w:val="24"/>
              <w:lang w:eastAsia="zh-Hans"/>
            </w:rPr>
            <w:t>第三章 投标人须知</w:t>
          </w:r>
          <w:r>
            <w:rPr>
              <w:rFonts w:ascii="宋体" w:hAnsi="宋体" w:eastAsia="宋体"/>
              <w:color w:val="auto"/>
              <w:sz w:val="24"/>
              <w:szCs w:val="24"/>
            </w:rPr>
            <w:tab/>
          </w:r>
          <w:r>
            <w:rPr>
              <w:rFonts w:ascii="宋体" w:hAnsi="宋体" w:eastAsia="宋体"/>
              <w:color w:val="auto"/>
              <w:sz w:val="24"/>
              <w:szCs w:val="24"/>
            </w:rPr>
            <w:fldChar w:fldCharType="begin"/>
          </w:r>
          <w:r>
            <w:rPr>
              <w:rFonts w:ascii="宋体" w:hAnsi="宋体" w:eastAsia="宋体"/>
              <w:color w:val="auto"/>
              <w:sz w:val="24"/>
              <w:szCs w:val="24"/>
            </w:rPr>
            <w:instrText xml:space="preserve"> PAGEREF _Toc169807542 \h </w:instrText>
          </w:r>
          <w:r>
            <w:rPr>
              <w:rFonts w:ascii="宋体" w:hAnsi="宋体" w:eastAsia="宋体"/>
              <w:color w:val="auto"/>
              <w:sz w:val="24"/>
              <w:szCs w:val="24"/>
            </w:rPr>
            <w:fldChar w:fldCharType="separate"/>
          </w:r>
          <w:r>
            <w:rPr>
              <w:rFonts w:ascii="宋体" w:hAnsi="宋体" w:eastAsia="宋体"/>
              <w:color w:val="auto"/>
              <w:sz w:val="24"/>
              <w:szCs w:val="24"/>
            </w:rPr>
            <w:t>15</w:t>
          </w:r>
          <w:r>
            <w:rPr>
              <w:rFonts w:ascii="宋体" w:hAnsi="宋体" w:eastAsia="宋体"/>
              <w:color w:val="auto"/>
              <w:sz w:val="24"/>
              <w:szCs w:val="24"/>
            </w:rPr>
            <w:fldChar w:fldCharType="end"/>
          </w:r>
          <w:r>
            <w:rPr>
              <w:rFonts w:ascii="宋体" w:hAnsi="宋体" w:eastAsia="宋体"/>
              <w:color w:val="auto"/>
              <w:sz w:val="24"/>
              <w:szCs w:val="24"/>
            </w:rPr>
            <w:fldChar w:fldCharType="end"/>
          </w:r>
        </w:p>
        <w:p w14:paraId="182AFE67">
          <w:pPr>
            <w:pStyle w:val="10"/>
            <w:tabs>
              <w:tab w:val="right" w:leader="dot" w:pos="9231"/>
            </w:tabs>
            <w:spacing w:line="360" w:lineRule="auto"/>
            <w:ind w:left="384" w:leftChars="68" w:hanging="241" w:hangingChars="115"/>
            <w:rPr>
              <w:rFonts w:hint="eastAsia" w:ascii="宋体" w:hAnsi="宋体" w:eastAsia="宋体"/>
              <w:color w:val="auto"/>
              <w:sz w:val="24"/>
              <w:szCs w:val="24"/>
              <w14:ligatures w14:val="standardContextual"/>
            </w:rPr>
          </w:pPr>
          <w:r>
            <w:rPr>
              <w:color w:val="auto"/>
            </w:rPr>
            <w:fldChar w:fldCharType="begin"/>
          </w:r>
          <w:r>
            <w:rPr>
              <w:color w:val="auto"/>
            </w:rPr>
            <w:instrText xml:space="preserve"> HYPERLINK \l "_Toc169807543" </w:instrText>
          </w:r>
          <w:r>
            <w:rPr>
              <w:color w:val="auto"/>
            </w:rPr>
            <w:fldChar w:fldCharType="separate"/>
          </w:r>
          <w:r>
            <w:rPr>
              <w:rStyle w:val="17"/>
              <w:rFonts w:ascii="宋体" w:hAnsi="宋体" w:eastAsia="宋体" w:cs="Times New Roman"/>
              <w:color w:val="auto"/>
              <w:kern w:val="0"/>
              <w:sz w:val="24"/>
              <w:szCs w:val="24"/>
              <w:lang w:eastAsia="zh-Hans"/>
            </w:rPr>
            <w:t>第四章 评标</w:t>
          </w:r>
          <w:r>
            <w:rPr>
              <w:rFonts w:ascii="宋体" w:hAnsi="宋体" w:eastAsia="宋体"/>
              <w:color w:val="auto"/>
              <w:sz w:val="24"/>
              <w:szCs w:val="24"/>
            </w:rPr>
            <w:tab/>
          </w:r>
          <w:r>
            <w:rPr>
              <w:rFonts w:ascii="宋体" w:hAnsi="宋体" w:eastAsia="宋体"/>
              <w:color w:val="auto"/>
              <w:sz w:val="24"/>
              <w:szCs w:val="24"/>
            </w:rPr>
            <w:fldChar w:fldCharType="begin"/>
          </w:r>
          <w:r>
            <w:rPr>
              <w:rFonts w:ascii="宋体" w:hAnsi="宋体" w:eastAsia="宋体"/>
              <w:color w:val="auto"/>
              <w:sz w:val="24"/>
              <w:szCs w:val="24"/>
            </w:rPr>
            <w:instrText xml:space="preserve"> PAGEREF _Toc169807543 \h </w:instrText>
          </w:r>
          <w:r>
            <w:rPr>
              <w:rFonts w:ascii="宋体" w:hAnsi="宋体" w:eastAsia="宋体"/>
              <w:color w:val="auto"/>
              <w:sz w:val="24"/>
              <w:szCs w:val="24"/>
            </w:rPr>
            <w:fldChar w:fldCharType="separate"/>
          </w:r>
          <w:r>
            <w:rPr>
              <w:rFonts w:ascii="宋体" w:hAnsi="宋体" w:eastAsia="宋体"/>
              <w:color w:val="auto"/>
              <w:sz w:val="24"/>
              <w:szCs w:val="24"/>
            </w:rPr>
            <w:t>26</w:t>
          </w:r>
          <w:r>
            <w:rPr>
              <w:rFonts w:ascii="宋体" w:hAnsi="宋体" w:eastAsia="宋体"/>
              <w:color w:val="auto"/>
              <w:sz w:val="24"/>
              <w:szCs w:val="24"/>
            </w:rPr>
            <w:fldChar w:fldCharType="end"/>
          </w:r>
          <w:r>
            <w:rPr>
              <w:rFonts w:ascii="宋体" w:hAnsi="宋体" w:eastAsia="宋体"/>
              <w:color w:val="auto"/>
              <w:sz w:val="24"/>
              <w:szCs w:val="24"/>
            </w:rPr>
            <w:fldChar w:fldCharType="end"/>
          </w:r>
        </w:p>
        <w:p w14:paraId="446E6B5E">
          <w:pPr>
            <w:pStyle w:val="10"/>
            <w:tabs>
              <w:tab w:val="right" w:leader="dot" w:pos="9231"/>
            </w:tabs>
            <w:spacing w:line="360" w:lineRule="auto"/>
            <w:ind w:left="384" w:leftChars="68" w:hanging="241" w:hangingChars="115"/>
            <w:rPr>
              <w:rFonts w:hint="eastAsia" w:ascii="宋体" w:hAnsi="宋体" w:eastAsia="宋体"/>
              <w:color w:val="auto"/>
              <w:sz w:val="24"/>
              <w:szCs w:val="24"/>
              <w14:ligatures w14:val="standardContextual"/>
            </w:rPr>
          </w:pPr>
          <w:r>
            <w:rPr>
              <w:color w:val="auto"/>
            </w:rPr>
            <w:fldChar w:fldCharType="begin"/>
          </w:r>
          <w:r>
            <w:rPr>
              <w:color w:val="auto"/>
            </w:rPr>
            <w:instrText xml:space="preserve"> HYPERLINK \l "_Toc169807544" </w:instrText>
          </w:r>
          <w:r>
            <w:rPr>
              <w:color w:val="auto"/>
            </w:rPr>
            <w:fldChar w:fldCharType="separate"/>
          </w:r>
          <w:r>
            <w:rPr>
              <w:rStyle w:val="17"/>
              <w:rFonts w:ascii="宋体" w:hAnsi="宋体" w:eastAsia="宋体" w:cs="Times New Roman"/>
              <w:color w:val="auto"/>
              <w:kern w:val="0"/>
              <w:sz w:val="24"/>
              <w:szCs w:val="24"/>
              <w:lang w:eastAsia="zh-Hans"/>
            </w:rPr>
            <w:t>第五章 合同文本</w:t>
          </w:r>
          <w:r>
            <w:rPr>
              <w:rFonts w:ascii="宋体" w:hAnsi="宋体" w:eastAsia="宋体"/>
              <w:color w:val="auto"/>
              <w:sz w:val="24"/>
              <w:szCs w:val="24"/>
            </w:rPr>
            <w:tab/>
          </w:r>
          <w:r>
            <w:rPr>
              <w:rFonts w:ascii="宋体" w:hAnsi="宋体" w:eastAsia="宋体"/>
              <w:color w:val="auto"/>
              <w:sz w:val="24"/>
              <w:szCs w:val="24"/>
            </w:rPr>
            <w:fldChar w:fldCharType="begin"/>
          </w:r>
          <w:r>
            <w:rPr>
              <w:rFonts w:ascii="宋体" w:hAnsi="宋体" w:eastAsia="宋体"/>
              <w:color w:val="auto"/>
              <w:sz w:val="24"/>
              <w:szCs w:val="24"/>
            </w:rPr>
            <w:instrText xml:space="preserve"> PAGEREF _Toc169807544 \h </w:instrText>
          </w:r>
          <w:r>
            <w:rPr>
              <w:rFonts w:ascii="宋体" w:hAnsi="宋体" w:eastAsia="宋体"/>
              <w:color w:val="auto"/>
              <w:sz w:val="24"/>
              <w:szCs w:val="24"/>
            </w:rPr>
            <w:fldChar w:fldCharType="separate"/>
          </w:r>
          <w:r>
            <w:rPr>
              <w:rFonts w:ascii="宋体" w:hAnsi="宋体" w:eastAsia="宋体"/>
              <w:color w:val="auto"/>
              <w:sz w:val="24"/>
              <w:szCs w:val="24"/>
            </w:rPr>
            <w:t>36</w:t>
          </w:r>
          <w:r>
            <w:rPr>
              <w:rFonts w:ascii="宋体" w:hAnsi="宋体" w:eastAsia="宋体"/>
              <w:color w:val="auto"/>
              <w:sz w:val="24"/>
              <w:szCs w:val="24"/>
            </w:rPr>
            <w:fldChar w:fldCharType="end"/>
          </w:r>
          <w:r>
            <w:rPr>
              <w:rFonts w:ascii="宋体" w:hAnsi="宋体" w:eastAsia="宋体"/>
              <w:color w:val="auto"/>
              <w:sz w:val="24"/>
              <w:szCs w:val="24"/>
            </w:rPr>
            <w:fldChar w:fldCharType="end"/>
          </w:r>
        </w:p>
        <w:p w14:paraId="5B19C698">
          <w:pPr>
            <w:pStyle w:val="10"/>
            <w:tabs>
              <w:tab w:val="right" w:leader="dot" w:pos="9231"/>
            </w:tabs>
            <w:spacing w:line="360" w:lineRule="auto"/>
            <w:ind w:left="384" w:leftChars="68" w:hanging="241" w:hangingChars="115"/>
            <w:rPr>
              <w:rFonts w:hint="eastAsia" w:ascii="宋体" w:hAnsi="宋体" w:eastAsia="宋体"/>
              <w:color w:val="auto"/>
              <w:sz w:val="24"/>
              <w:szCs w:val="24"/>
              <w:lang w:val="en-US" w:eastAsia="zh-CN"/>
              <w14:ligatures w14:val="standardContextual"/>
            </w:rPr>
          </w:pPr>
          <w:r>
            <w:rPr>
              <w:color w:val="auto"/>
            </w:rPr>
            <w:fldChar w:fldCharType="begin"/>
          </w:r>
          <w:r>
            <w:rPr>
              <w:color w:val="auto"/>
            </w:rPr>
            <w:instrText xml:space="preserve"> HYPERLINK \l "_Toc169807545" </w:instrText>
          </w:r>
          <w:r>
            <w:rPr>
              <w:color w:val="auto"/>
            </w:rPr>
            <w:fldChar w:fldCharType="separate"/>
          </w:r>
          <w:r>
            <w:rPr>
              <w:rStyle w:val="17"/>
              <w:rFonts w:ascii="宋体" w:hAnsi="宋体" w:eastAsia="宋体" w:cs="Times New Roman"/>
              <w:color w:val="auto"/>
              <w:kern w:val="0"/>
              <w:sz w:val="24"/>
              <w:szCs w:val="24"/>
              <w:lang w:eastAsia="zh-Hans"/>
            </w:rPr>
            <w:t>第六章 投标文件格式</w:t>
          </w:r>
          <w:r>
            <w:rPr>
              <w:rFonts w:ascii="宋体" w:hAnsi="宋体" w:eastAsia="宋体"/>
              <w:color w:val="auto"/>
              <w:sz w:val="24"/>
              <w:szCs w:val="24"/>
            </w:rPr>
            <w:tab/>
          </w:r>
          <w:r>
            <w:rPr>
              <w:rFonts w:hint="eastAsia" w:ascii="宋体" w:hAnsi="宋体" w:eastAsia="宋体"/>
              <w:color w:val="auto"/>
              <w:sz w:val="24"/>
              <w:szCs w:val="24"/>
              <w:lang w:val="en-US" w:eastAsia="zh-CN"/>
            </w:rPr>
            <w:t>4</w:t>
          </w:r>
          <w:r>
            <w:rPr>
              <w:rFonts w:ascii="宋体" w:hAnsi="宋体" w:eastAsia="宋体"/>
              <w:color w:val="auto"/>
              <w:sz w:val="24"/>
              <w:szCs w:val="24"/>
            </w:rPr>
            <w:fldChar w:fldCharType="end"/>
          </w:r>
          <w:r>
            <w:rPr>
              <w:rFonts w:hint="eastAsia" w:ascii="宋体" w:hAnsi="宋体" w:eastAsia="宋体"/>
              <w:color w:val="auto"/>
              <w:sz w:val="24"/>
              <w:szCs w:val="24"/>
              <w:lang w:val="en-US" w:eastAsia="zh-CN"/>
            </w:rPr>
            <w:t>6</w:t>
          </w:r>
        </w:p>
        <w:p w14:paraId="3D0AA173">
          <w:pPr>
            <w:rPr>
              <w:rFonts w:hint="eastAsia" w:ascii="宋体" w:hAnsi="宋体" w:eastAsia="宋体"/>
              <w:sz w:val="24"/>
              <w:szCs w:val="24"/>
            </w:rPr>
          </w:pPr>
          <w:r>
            <w:rPr>
              <w:rFonts w:ascii="宋体" w:hAnsi="宋体" w:eastAsia="宋体"/>
              <w:color w:val="auto"/>
              <w:sz w:val="24"/>
              <w:szCs w:val="24"/>
              <w:lang w:val="zh-CN"/>
            </w:rPr>
            <w:fldChar w:fldCharType="end"/>
          </w:r>
        </w:p>
      </w:sdtContent>
    </w:sdt>
    <w:p w14:paraId="42670E7A">
      <w:pPr>
        <w:pStyle w:val="19"/>
        <w:outlineLvl w:val="3"/>
        <w:rPr>
          <w:rFonts w:ascii="宋体" w:hAnsi="宋体" w:eastAsia="宋体"/>
          <w:sz w:val="24"/>
          <w:szCs w:val="24"/>
          <w:lang w:eastAsia="zh-CN"/>
        </w:rPr>
      </w:pPr>
    </w:p>
    <w:p w14:paraId="7C734534">
      <w:pPr>
        <w:pStyle w:val="19"/>
        <w:rPr>
          <w:rFonts w:ascii="宋体" w:hAnsi="宋体" w:eastAsia="宋体"/>
          <w:lang w:eastAsia="zh-CN"/>
        </w:rPr>
      </w:pPr>
    </w:p>
    <w:p w14:paraId="3FDBEE04">
      <w:pPr>
        <w:pageBreakBefore/>
        <w:jc w:val="center"/>
        <w:outlineLvl w:val="1"/>
        <w:rPr>
          <w:rFonts w:ascii="Calibri" w:hAnsi="Calibri" w:eastAsia="宋体" w:cs="Times New Roman"/>
          <w:kern w:val="0"/>
          <w:sz w:val="20"/>
          <w:szCs w:val="20"/>
          <w:lang w:eastAsia="zh-Hans"/>
        </w:rPr>
      </w:pPr>
      <w:bookmarkStart w:id="0" w:name="_Toc169807540"/>
      <w:bookmarkStart w:id="1" w:name="_Toc169799778"/>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（东莞市石龙镇社区卫生服务中心食堂食材配送服务项目）</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14</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00</w:t>
      </w:r>
      <w:r>
        <w:rPr>
          <w:rFonts w:ascii="宋体" w:hAnsi="宋体" w:eastAsia="宋体" w:cs="Times New Roman"/>
          <w:color w:val="auto"/>
          <w:kern w:val="0"/>
          <w:szCs w:val="21"/>
          <w:lang w:eastAsia="zh-Hans"/>
        </w:rPr>
        <w:t>分（北京时间）前递交投标文件。</w:t>
      </w:r>
    </w:p>
    <w:p w14:paraId="038A673F">
      <w:pPr>
        <w:spacing w:before="217" w:beforeLines="50"/>
        <w:rPr>
          <w:rFonts w:hint="eastAsia"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6FA7A10B">
      <w:pPr>
        <w:pStyle w:val="25"/>
        <w:widowControl/>
        <w:numPr>
          <w:ilvl w:val="0"/>
          <w:numId w:val="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名称与编号</w:t>
      </w:r>
    </w:p>
    <w:p w14:paraId="7F91CC8D">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项目编号：ZHDGZC2025081</w:t>
      </w:r>
    </w:p>
    <w:p w14:paraId="0CDA15F1">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Hans"/>
        </w:rPr>
        <w:t>东莞市石龙镇社区卫生服务中心食堂食材配送服务项目</w:t>
      </w:r>
    </w:p>
    <w:p w14:paraId="7DC2237C">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BD84881">
      <w:pPr>
        <w:widowControl/>
        <w:jc w:val="left"/>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66</w:t>
      </w:r>
      <w:r>
        <w:rPr>
          <w:rFonts w:ascii="宋体" w:hAnsi="宋体" w:eastAsia="宋体" w:cs="Times New Roman"/>
          <w:color w:val="auto"/>
          <w:kern w:val="0"/>
          <w:szCs w:val="21"/>
          <w:lang w:eastAsia="zh-Hans"/>
        </w:rPr>
        <w:t>0,000.00元</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33</w:t>
      </w:r>
      <w:r>
        <w:rPr>
          <w:rFonts w:ascii="宋体" w:hAnsi="宋体" w:eastAsia="宋体" w:cs="Times New Roman"/>
          <w:color w:val="auto"/>
          <w:kern w:val="0"/>
          <w:szCs w:val="21"/>
          <w:lang w:eastAsia="zh-Hans"/>
        </w:rPr>
        <w:t>0,000.00元</w:t>
      </w:r>
      <w:r>
        <w:rPr>
          <w:rFonts w:hint="eastAsia" w:ascii="宋体" w:hAnsi="宋体" w:eastAsia="宋体" w:cs="Times New Roman"/>
          <w:color w:val="auto"/>
          <w:kern w:val="0"/>
          <w:szCs w:val="21"/>
          <w:lang w:val="en-US" w:eastAsia="zh-CN"/>
        </w:rPr>
        <w:t>/年</w:t>
      </w:r>
      <w:r>
        <w:rPr>
          <w:rFonts w:hint="eastAsia" w:ascii="宋体" w:hAnsi="宋体" w:eastAsia="宋体" w:cs="Times New Roman"/>
          <w:color w:val="auto"/>
          <w:kern w:val="0"/>
          <w:szCs w:val="21"/>
          <w:lang w:eastAsia="zh-CN"/>
        </w:rPr>
        <w:t>）</w:t>
      </w:r>
    </w:p>
    <w:p w14:paraId="53624B76">
      <w:pPr>
        <w:pStyle w:val="25"/>
        <w:widowControl/>
        <w:numPr>
          <w:ilvl w:val="0"/>
          <w:numId w:val="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ascii="宋体" w:hAnsi="宋体" w:eastAsia="宋体" w:cs="Times New Roman"/>
          <w:color w:val="auto"/>
          <w:kern w:val="0"/>
          <w:szCs w:val="21"/>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2039"/>
        <w:gridCol w:w="1608"/>
        <w:gridCol w:w="1741"/>
        <w:gridCol w:w="3046"/>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59" w:type="pct"/>
            <w:vAlign w:val="center"/>
          </w:tcPr>
          <w:p w14:paraId="427A8EC7">
            <w:pPr>
              <w:widowControl/>
              <w:jc w:val="center"/>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序号</w:t>
            </w:r>
          </w:p>
        </w:tc>
        <w:tc>
          <w:tcPr>
            <w:tcW w:w="1097" w:type="pct"/>
            <w:vAlign w:val="center"/>
          </w:tcPr>
          <w:p w14:paraId="72C4323F">
            <w:pPr>
              <w:widowControl/>
              <w:jc w:val="center"/>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标的名称</w:t>
            </w:r>
          </w:p>
        </w:tc>
        <w:tc>
          <w:tcPr>
            <w:tcW w:w="865" w:type="pct"/>
            <w:vAlign w:val="center"/>
          </w:tcPr>
          <w:p w14:paraId="6BC87F70">
            <w:pPr>
              <w:widowControl/>
              <w:jc w:val="center"/>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预算金额（元）</w:t>
            </w:r>
          </w:p>
        </w:tc>
        <w:tc>
          <w:tcPr>
            <w:tcW w:w="937" w:type="pct"/>
            <w:vAlign w:val="center"/>
          </w:tcPr>
          <w:p w14:paraId="05CDE2E7">
            <w:pPr>
              <w:widowControl/>
              <w:jc w:val="center"/>
              <w:rPr>
                <w:rFonts w:ascii="Calibri" w:hAnsi="Calibri" w:eastAsia="宋体" w:cs="Times New Roman"/>
                <w:color w:val="auto"/>
                <w:kern w:val="0"/>
                <w:sz w:val="21"/>
                <w:szCs w:val="21"/>
                <w:lang w:eastAsia="zh-Hans"/>
              </w:rPr>
            </w:pPr>
            <w:r>
              <w:rPr>
                <w:rFonts w:ascii="Calibri" w:hAnsi="Calibri" w:eastAsia="宋体" w:cs="Times New Roman"/>
                <w:color w:val="auto"/>
                <w:kern w:val="0"/>
                <w:sz w:val="21"/>
                <w:szCs w:val="21"/>
                <w:lang w:eastAsia="zh-Hans"/>
              </w:rPr>
              <w:t>数量（单位）</w:t>
            </w:r>
          </w:p>
        </w:tc>
        <w:tc>
          <w:tcPr>
            <w:tcW w:w="1639" w:type="pct"/>
            <w:vAlign w:val="center"/>
          </w:tcPr>
          <w:p w14:paraId="46866B18">
            <w:pPr>
              <w:widowControl/>
              <w:jc w:val="center"/>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59" w:type="pct"/>
            <w:vAlign w:val="center"/>
          </w:tcPr>
          <w:p w14:paraId="6DC1FBC2">
            <w:pPr>
              <w:widowControl/>
              <w:jc w:val="center"/>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1</w:t>
            </w:r>
          </w:p>
        </w:tc>
        <w:tc>
          <w:tcPr>
            <w:tcW w:w="1097" w:type="pct"/>
            <w:vAlign w:val="center"/>
          </w:tcPr>
          <w:p w14:paraId="45E441AE">
            <w:pPr>
              <w:widowControl/>
              <w:jc w:val="center"/>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食堂食材配送服务</w:t>
            </w:r>
          </w:p>
        </w:tc>
        <w:tc>
          <w:tcPr>
            <w:tcW w:w="865" w:type="pct"/>
            <w:vAlign w:val="center"/>
          </w:tcPr>
          <w:p w14:paraId="73AA2E41">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 w:val="21"/>
                <w:szCs w:val="21"/>
                <w:lang w:val="en-US" w:eastAsia="zh-CN"/>
              </w:rPr>
              <w:t>66</w:t>
            </w:r>
            <w:r>
              <w:rPr>
                <w:rFonts w:ascii="宋体" w:hAnsi="宋体" w:eastAsia="宋体" w:cs="Times New Roman"/>
                <w:color w:val="auto"/>
                <w:kern w:val="0"/>
                <w:sz w:val="21"/>
                <w:szCs w:val="21"/>
                <w:lang w:eastAsia="zh-Hans"/>
              </w:rPr>
              <w:t>0,000.00元</w:t>
            </w:r>
          </w:p>
        </w:tc>
        <w:tc>
          <w:tcPr>
            <w:tcW w:w="937" w:type="pct"/>
            <w:vAlign w:val="center"/>
          </w:tcPr>
          <w:p w14:paraId="215E745D">
            <w:pPr>
              <w:widowControl/>
              <w:jc w:val="center"/>
              <w:rPr>
                <w:rFonts w:hint="eastAsia" w:ascii="宋体" w:hAnsi="宋体" w:eastAsia="宋体" w:cs="Times New Roman"/>
                <w:color w:val="auto"/>
                <w:kern w:val="0"/>
                <w:sz w:val="21"/>
                <w:szCs w:val="21"/>
                <w:lang w:eastAsia="zh-Hans"/>
              </w:rPr>
            </w:pPr>
            <w:r>
              <w:rPr>
                <w:rFonts w:ascii="宋体" w:hAnsi="宋体" w:eastAsia="宋体" w:cs="Times New Roman"/>
                <w:color w:val="auto"/>
                <w:kern w:val="0"/>
                <w:sz w:val="21"/>
                <w:szCs w:val="21"/>
                <w:lang w:eastAsia="zh-Hans"/>
              </w:rPr>
              <w:t>1(项)</w:t>
            </w:r>
          </w:p>
        </w:tc>
        <w:tc>
          <w:tcPr>
            <w:tcW w:w="1639" w:type="pct"/>
            <w:vAlign w:val="center"/>
          </w:tcPr>
          <w:p w14:paraId="3FA2DDE4">
            <w:pPr>
              <w:widowControl/>
              <w:jc w:val="center"/>
              <w:rPr>
                <w:rFonts w:ascii="Calibri" w:hAnsi="Calibri" w:eastAsia="宋体" w:cs="Times New Roman"/>
                <w:color w:val="auto"/>
                <w:kern w:val="0"/>
                <w:sz w:val="21"/>
                <w:szCs w:val="21"/>
              </w:rPr>
            </w:pPr>
            <w:r>
              <w:rPr>
                <w:rFonts w:ascii="Calibri" w:hAnsi="Calibri" w:eastAsia="宋体" w:cs="Times New Roman"/>
                <w:color w:val="auto"/>
                <w:kern w:val="0"/>
                <w:sz w:val="21"/>
                <w:szCs w:val="21"/>
                <w:lang w:eastAsia="zh-Hans"/>
              </w:rPr>
              <w:t>详见第二章</w:t>
            </w:r>
            <w:r>
              <w:rPr>
                <w:rFonts w:hint="eastAsia" w:ascii="Calibri" w:hAnsi="Calibri" w:eastAsia="宋体" w:cs="Times New Roman"/>
                <w:color w:val="auto"/>
                <w:kern w:val="0"/>
                <w:sz w:val="21"/>
                <w:szCs w:val="21"/>
                <w:lang w:eastAsia="zh-Hans"/>
              </w:rPr>
              <w:t>采购需求</w:t>
            </w:r>
          </w:p>
        </w:tc>
      </w:tr>
    </w:tbl>
    <w:p w14:paraId="21B439B6">
      <w:pPr>
        <w:widowControl/>
        <w:jc w:val="left"/>
      </w:pPr>
      <w:r>
        <w:rPr>
          <w:rFonts w:ascii="宋体" w:hAnsi="宋体" w:eastAsia="宋体" w:cs="Times New Roman"/>
          <w:color w:val="auto"/>
          <w:kern w:val="0"/>
          <w:szCs w:val="21"/>
          <w:lang w:eastAsia="zh-Hans"/>
        </w:rPr>
        <w:t>合同履行期限：</w:t>
      </w:r>
      <w:r>
        <w:rPr>
          <w:rFonts w:hint="eastAsia" w:ascii="宋体" w:hAnsi="宋体" w:eastAsia="宋体" w:cs="宋体"/>
          <w:color w:val="auto"/>
          <w:sz w:val="21"/>
          <w:szCs w:val="21"/>
          <w:highlight w:val="none"/>
          <w:u w:val="none"/>
        </w:rPr>
        <w:t>自合同签订之日起2年</w:t>
      </w:r>
      <w:r>
        <w:rPr>
          <w:rFonts w:hint="eastAsia" w:ascii="宋体" w:hAnsi="宋体" w:eastAsia="宋体" w:cs="宋体"/>
          <w:color w:val="auto"/>
          <w:sz w:val="21"/>
          <w:szCs w:val="21"/>
          <w:highlight w:val="none"/>
          <w:u w:val="none"/>
          <w:lang w:eastAsia="zh-CN"/>
        </w:rPr>
        <w:t>，</w:t>
      </w:r>
      <w:r>
        <w:rPr>
          <w:rFonts w:hint="eastAsia" w:ascii="宋体" w:hAnsi="宋体" w:eastAsia="宋体" w:cs="Times New Roman"/>
          <w:color w:val="auto"/>
          <w:kern w:val="0"/>
          <w:szCs w:val="21"/>
          <w:u w:val="none"/>
          <w:lang w:eastAsia="zh-Hans"/>
        </w:rPr>
        <w:t>服务期满或合同期内项目结算金额达到项目预算金额的，合同自动终止</w:t>
      </w:r>
      <w:r>
        <w:rPr>
          <w:rFonts w:hint="eastAsia" w:ascii="宋体" w:hAnsi="宋体" w:eastAsia="宋体" w:cs="宋体"/>
          <w:color w:val="auto"/>
          <w:sz w:val="21"/>
          <w:szCs w:val="21"/>
          <w:highlight w:val="none"/>
          <w:u w:val="none"/>
        </w:rPr>
        <w:t>。</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1F2245C">
      <w:pPr>
        <w:pStyle w:val="25"/>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5"/>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w:t>
      </w:r>
      <w:r>
        <w:rPr>
          <w:rFonts w:ascii="Calibri" w:hAnsi="Calibri" w:eastAsia="宋体" w:cs="Times New Roman"/>
          <w:bCs/>
          <w:color w:val="auto"/>
          <w:kern w:val="0"/>
          <w:szCs w:val="21"/>
        </w:rPr>
        <w:t>，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5"/>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color w:val="auto"/>
          <w:kern w:val="0"/>
          <w:szCs w:val="21"/>
        </w:rPr>
        <w:t>具有良好的商业信誉和健全的财务会计制度，</w:t>
      </w: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p>
    <w:p w14:paraId="59231421">
      <w:pPr>
        <w:pStyle w:val="25"/>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lang w:val="en-US" w:eastAsia="zh-CN"/>
        </w:rPr>
        <w:t>具有</w:t>
      </w: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5"/>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5"/>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5F433869">
      <w:pPr>
        <w:pStyle w:val="25"/>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Cs/>
          <w:kern w:val="0"/>
          <w:szCs w:val="21"/>
        </w:rPr>
        <w:t>本项目专门面向中小企业采购，供应商应为中小微企业、监狱企业、残疾人福利性单位。（提供《中小企业声明函》或属于监狱企业的证明材料或《残疾人福利性单位声明函》详见投标文件格式</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w:t>
      </w:r>
    </w:p>
    <w:p w14:paraId="7D350B23">
      <w:pPr>
        <w:pStyle w:val="25"/>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5"/>
        <w:widowControl/>
        <w:numPr>
          <w:ilvl w:val="0"/>
          <w:numId w:val="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5"/>
        <w:widowControl/>
        <w:numPr>
          <w:ilvl w:val="0"/>
          <w:numId w:val="4"/>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w:t>
      </w:r>
      <w:r>
        <w:rPr>
          <w:rFonts w:ascii="宋体" w:hAnsi="宋体" w:eastAsia="宋体" w:cs="Times New Roman"/>
          <w:color w:val="auto"/>
          <w:kern w:val="0"/>
          <w:szCs w:val="21"/>
          <w:lang w:eastAsia="zh-Hans"/>
        </w:rPr>
        <w:t>得再参与本项目投标（响应）。投标（报价）函相关承诺要求内容。</w:t>
      </w:r>
    </w:p>
    <w:bookmarkEnd w:id="3"/>
    <w:bookmarkEnd w:id="4"/>
    <w:p w14:paraId="51ED73A6">
      <w:pPr>
        <w:spacing w:before="217" w:beforeLines="50"/>
        <w:rPr>
          <w:rFonts w:ascii="Calibri" w:hAnsi="Calibri" w:eastAsia="宋体" w:cs="Times New Roman"/>
          <w:color w:val="auto"/>
          <w:kern w:val="0"/>
          <w:sz w:val="20"/>
          <w:szCs w:val="20"/>
          <w:lang w:eastAsia="zh-Hans"/>
        </w:rPr>
      </w:pPr>
      <w:r>
        <w:rPr>
          <w:rFonts w:ascii="宋体" w:hAnsi="宋体" w:eastAsia="宋体" w:cs="Times New Roman"/>
          <w:b/>
          <w:color w:val="auto"/>
          <w:kern w:val="0"/>
          <w:sz w:val="24"/>
          <w:szCs w:val="24"/>
          <w:lang w:eastAsia="zh-Hans"/>
        </w:rPr>
        <w:t>三</w:t>
      </w:r>
      <w:r>
        <w:rPr>
          <w:rFonts w:hint="eastAsia" w:ascii="宋体" w:hAnsi="宋体" w:eastAsia="宋体" w:cs="Times New Roman"/>
          <w:b/>
          <w:color w:val="auto"/>
          <w:kern w:val="0"/>
          <w:sz w:val="24"/>
          <w:szCs w:val="24"/>
          <w:lang w:eastAsia="zh-Hans"/>
        </w:rPr>
        <w:t>、</w:t>
      </w:r>
      <w:r>
        <w:rPr>
          <w:rFonts w:ascii="宋体" w:hAnsi="宋体" w:eastAsia="宋体" w:cs="Times New Roman"/>
          <w:b/>
          <w:color w:val="auto"/>
          <w:kern w:val="0"/>
          <w:sz w:val="24"/>
          <w:szCs w:val="24"/>
          <w:lang w:eastAsia="zh-Hans"/>
        </w:rPr>
        <w:t>获取招标文件</w:t>
      </w:r>
    </w:p>
    <w:p w14:paraId="5E969CEA">
      <w:pPr>
        <w:pStyle w:val="19"/>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23</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lang w:eastAsia="zh-CN"/>
        </w:rPr>
        <w:t>日，每天上午9:00至12:00，下午14:30至17:30。（北京时间，法定节假日除外）</w:t>
      </w:r>
    </w:p>
    <w:p w14:paraId="36BBA40B">
      <w:pPr>
        <w:pStyle w:val="19"/>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地点：东莞市南城街道雅园产业园区路5号1栋1楼或微信搜索公众号“广东智汇城市招标采购有限公司”。</w:t>
      </w:r>
    </w:p>
    <w:p w14:paraId="50D49FD9">
      <w:pPr>
        <w:pStyle w:val="19"/>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19"/>
        <w:ind w:firstLine="420" w:firstLineChars="200"/>
        <w:rPr>
          <w:rFonts w:ascii="宋体" w:hAnsi="宋体" w:eastAsia="宋体" w:cs="Times New Roman"/>
          <w:sz w:val="21"/>
          <w:szCs w:val="21"/>
        </w:rPr>
      </w:pPr>
      <w:r>
        <w:rPr>
          <w:rFonts w:ascii="宋体" w:hAnsi="宋体" w:eastAsia="宋体" w:cs="Times New Roman"/>
          <w:sz w:val="21"/>
          <w:szCs w:val="21"/>
        </w:rPr>
        <w:t>售价：¥200元</w:t>
      </w:r>
    </w:p>
    <w:p w14:paraId="3C2345BE">
      <w:pPr>
        <w:spacing w:before="217" w:beforeLines="50"/>
        <w:rPr>
          <w:rFonts w:hint="eastAsia" w:ascii="宋体" w:hAnsi="宋体" w:eastAsia="宋体" w:cs="Times New Roman"/>
          <w:color w:val="auto"/>
          <w:szCs w:val="21"/>
        </w:rPr>
      </w:pPr>
      <w:r>
        <w:rPr>
          <w:rFonts w:hint="eastAsia" w:ascii="宋体" w:hAnsi="宋体" w:eastAsia="宋体" w:cs="Times New Roman"/>
          <w:b/>
          <w:kern w:val="0"/>
          <w:sz w:val="24"/>
          <w:szCs w:val="24"/>
          <w:lang w:eastAsia="zh-Hans"/>
        </w:rPr>
        <w:t>四、</w:t>
      </w:r>
      <w:r>
        <w:rPr>
          <w:rFonts w:ascii="宋体" w:hAnsi="宋体" w:eastAsia="宋体" w:cs="Times New Roman"/>
          <w:b/>
          <w:kern w:val="0"/>
          <w:sz w:val="24"/>
          <w:szCs w:val="24"/>
          <w:lang w:eastAsia="zh-Hans"/>
        </w:rPr>
        <w:t>提交投标文件</w:t>
      </w:r>
      <w:r>
        <w:rPr>
          <w:rFonts w:ascii="宋体" w:hAnsi="宋体" w:eastAsia="宋体" w:cs="Times New Roman"/>
          <w:b/>
          <w:color w:val="auto"/>
          <w:kern w:val="0"/>
          <w:sz w:val="24"/>
          <w:szCs w:val="24"/>
          <w:lang w:eastAsia="zh-Hans"/>
        </w:rPr>
        <w:t>截止时间、开标时间和地点</w:t>
      </w:r>
    </w:p>
    <w:p w14:paraId="30374F8F">
      <w:pPr>
        <w:pStyle w:val="19"/>
        <w:ind w:left="0" w:leftChars="0" w:firstLine="420" w:firstLineChars="200"/>
        <w:rPr>
          <w:rFonts w:ascii="宋体" w:hAnsi="宋体" w:eastAsia="宋体" w:cs="Times New Roman"/>
          <w:color w:val="auto"/>
          <w:sz w:val="21"/>
          <w:szCs w:val="21"/>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14</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分（北京时间）（自招标文件开始发出之日起至投标人提交投标文件截止之日止，不得少于20日）</w:t>
      </w:r>
    </w:p>
    <w:p w14:paraId="54F3F7A4">
      <w:pPr>
        <w:pStyle w:val="19"/>
        <w:ind w:left="0" w:leftChars="0"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w:t>
      </w:r>
    </w:p>
    <w:p w14:paraId="2E702E7D">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9"/>
        <w:ind w:firstLine="420" w:firstLineChars="200"/>
        <w:rPr>
          <w:rFonts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9"/>
        <w:numPr>
          <w:ilvl w:val="0"/>
          <w:numId w:val="5"/>
        </w:numPr>
        <w:rPr>
          <w:rFonts w:ascii="宋体" w:hAnsi="宋体" w:eastAsia="宋体" w:cs="Times New Roman"/>
          <w:sz w:val="21"/>
          <w:szCs w:val="21"/>
        </w:rPr>
      </w:pPr>
      <w:r>
        <w:rPr>
          <w:rFonts w:ascii="宋体" w:hAnsi="宋体" w:eastAsia="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9"/>
        <w:numPr>
          <w:ilvl w:val="0"/>
          <w:numId w:val="5"/>
        </w:numPr>
        <w:rPr>
          <w:rFonts w:ascii="宋体" w:hAnsi="宋体" w:eastAsia="宋体" w:cs="Times New Roman"/>
          <w:color w:val="auto"/>
          <w:sz w:val="21"/>
          <w:szCs w:val="21"/>
        </w:rPr>
      </w:pPr>
      <w:r>
        <w:rPr>
          <w:rFonts w:ascii="宋体" w:hAnsi="宋体" w:eastAsia="宋体" w:cs="Times New Roman"/>
          <w:sz w:val="21"/>
          <w:szCs w:val="21"/>
        </w:rPr>
        <w:t>本项</w:t>
      </w:r>
      <w:r>
        <w:rPr>
          <w:rFonts w:ascii="宋体" w:hAnsi="宋体" w:eastAsia="宋体" w:cs="Times New Roman"/>
          <w:color w:val="auto"/>
          <w:sz w:val="21"/>
          <w:szCs w:val="21"/>
        </w:rPr>
        <w:t>目采购标的所属行业为</w:t>
      </w:r>
      <w:r>
        <w:rPr>
          <w:rFonts w:ascii="宋体" w:hAnsi="宋体" w:eastAsia="宋体" w:cs="Times New Roman"/>
          <w:color w:val="auto"/>
          <w:sz w:val="21"/>
          <w:szCs w:val="21"/>
          <w:u w:val="single"/>
          <w:lang w:eastAsia="zh-CN"/>
        </w:rPr>
        <w:t xml:space="preserve"> </w:t>
      </w:r>
      <w:r>
        <w:rPr>
          <w:rFonts w:hint="eastAsia" w:ascii="宋体" w:hAnsi="宋体" w:eastAsia="宋体" w:cs="Times New Roman"/>
          <w:color w:val="auto"/>
          <w:sz w:val="21"/>
          <w:szCs w:val="21"/>
          <w:u w:val="single"/>
          <w:lang w:val="en-US" w:eastAsia="zh-CN"/>
        </w:rPr>
        <w:t>批发业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33DAD7C9">
      <w:pPr>
        <w:pStyle w:val="19"/>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发布公告的媒介</w:t>
      </w:r>
    </w:p>
    <w:p w14:paraId="06FC1B2B">
      <w:pPr>
        <w:pStyle w:val="19"/>
        <w:numPr>
          <w:ilvl w:val="0"/>
          <w:numId w:val="0"/>
        </w:numPr>
        <w:ind w:left="420" w:leftChars="200" w:firstLine="0" w:firstLineChars="0"/>
        <w:rPr>
          <w:rFonts w:ascii="宋体" w:hAnsi="宋体" w:eastAsia="宋体" w:cs="Times New Roman"/>
          <w:color w:val="auto"/>
          <w:sz w:val="21"/>
          <w:szCs w:val="21"/>
          <w:lang w:eastAsia="zh-CN"/>
        </w:rPr>
      </w:pPr>
      <w:r>
        <w:rPr>
          <w:rFonts w:ascii="宋体" w:hAnsi="宋体" w:eastAsia="宋体" w:cs="Times New Roman"/>
          <w:color w:val="auto"/>
          <w:sz w:val="21"/>
          <w:szCs w:val="21"/>
        </w:rPr>
        <w:t>中国采购与招标网（https://zbdt.chinabidding.cn/）、广东智汇城市招标采购有限公司网站(http://www.gdzhcity.com/)</w:t>
      </w:r>
    </w:p>
    <w:p w14:paraId="5E1239F4">
      <w:pPr>
        <w:pStyle w:val="19"/>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9"/>
        <w:numPr>
          <w:ilvl w:val="0"/>
          <w:numId w:val="5"/>
        </w:numPr>
        <w:rPr>
          <w:rFonts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获取招标文件联系人及联系方式：黄小姐（0769）22367009 邮箱：zhcity_gd@163.com</w:t>
      </w:r>
    </w:p>
    <w:p w14:paraId="2B464B6F">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42C8994C">
      <w:pPr>
        <w:pStyle w:val="19"/>
        <w:numPr>
          <w:ilvl w:val="0"/>
          <w:numId w:val="6"/>
        </w:numPr>
        <w:ind w:left="284" w:hanging="284"/>
        <w:rPr>
          <w:rFonts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9"/>
        <w:ind w:firstLine="283" w:firstLineChars="135"/>
        <w:rPr>
          <w:rFonts w:ascii="宋体" w:hAnsi="宋体" w:eastAsia="宋体" w:cs="Times New Roman"/>
          <w:color w:val="auto"/>
          <w:sz w:val="21"/>
          <w:szCs w:val="21"/>
        </w:rPr>
      </w:pPr>
      <w:r>
        <w:rPr>
          <w:rFonts w:ascii="宋体" w:hAnsi="宋体" w:eastAsia="宋体" w:cs="Times New Roman"/>
          <w:color w:val="auto"/>
          <w:sz w:val="21"/>
          <w:szCs w:val="21"/>
        </w:rPr>
        <w:t>名称：</w:t>
      </w:r>
      <w:r>
        <w:rPr>
          <w:rFonts w:hint="eastAsia" w:ascii="宋体" w:hAnsi="宋体" w:eastAsia="宋体" w:cs="Times New Roman"/>
          <w:color w:val="auto"/>
          <w:sz w:val="21"/>
          <w:szCs w:val="21"/>
        </w:rPr>
        <w:t>东莞市石龙镇社区卫生服务中心</w:t>
      </w:r>
    </w:p>
    <w:p w14:paraId="39A08C45">
      <w:pPr>
        <w:pStyle w:val="19"/>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地址：</w:t>
      </w:r>
      <w:r>
        <w:rPr>
          <w:rFonts w:hint="eastAsia" w:ascii="宋体" w:hAnsi="宋体" w:eastAsia="宋体" w:cs="Times New Roman"/>
          <w:color w:val="auto"/>
          <w:sz w:val="21"/>
          <w:szCs w:val="21"/>
        </w:rPr>
        <w:t>广东省东莞市石龙镇</w:t>
      </w:r>
      <w:r>
        <w:rPr>
          <w:rFonts w:hint="eastAsia" w:ascii="宋体" w:hAnsi="宋体" w:eastAsia="宋体" w:cs="Times New Roman"/>
          <w:color w:val="auto"/>
          <w:sz w:val="21"/>
          <w:szCs w:val="21"/>
          <w:lang w:val="en-US" w:eastAsia="zh-CN"/>
        </w:rPr>
        <w:t>沿江</w:t>
      </w:r>
      <w:r>
        <w:rPr>
          <w:rFonts w:hint="eastAsia" w:ascii="宋体" w:hAnsi="宋体" w:eastAsia="宋体" w:cs="Times New Roman"/>
          <w:color w:val="auto"/>
          <w:sz w:val="21"/>
          <w:szCs w:val="21"/>
        </w:rPr>
        <w:t>西路</w:t>
      </w:r>
      <w:r>
        <w:rPr>
          <w:rFonts w:hint="eastAsia" w:ascii="宋体" w:hAnsi="宋体" w:eastAsia="宋体" w:cs="Times New Roman"/>
          <w:color w:val="auto"/>
          <w:sz w:val="21"/>
          <w:szCs w:val="21"/>
          <w:lang w:val="en-US" w:eastAsia="zh-CN"/>
        </w:rPr>
        <w:t>3号</w:t>
      </w:r>
    </w:p>
    <w:p w14:paraId="5F3217C5">
      <w:pPr>
        <w:pStyle w:val="19"/>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联系方式：</w:t>
      </w:r>
      <w:r>
        <w:rPr>
          <w:rFonts w:hint="eastAsia" w:ascii="宋体" w:hAnsi="宋体" w:eastAsia="宋体" w:cs="Times New Roman"/>
          <w:color w:val="auto"/>
          <w:sz w:val="21"/>
          <w:szCs w:val="21"/>
          <w:lang w:val="en-US" w:eastAsia="zh-CN"/>
        </w:rPr>
        <w:t>刘小姐（0769）86108916</w:t>
      </w:r>
    </w:p>
    <w:p w14:paraId="1FC6BF34">
      <w:pPr>
        <w:pStyle w:val="19"/>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50DD56BE">
      <w:pPr>
        <w:pStyle w:val="19"/>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名称：广东智汇城市招标采购有限公司</w:t>
      </w:r>
    </w:p>
    <w:p w14:paraId="14C2828B">
      <w:pPr>
        <w:pStyle w:val="19"/>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地址：东莞市南城街道雅园产业园区路5号1栋1楼</w:t>
      </w:r>
    </w:p>
    <w:p w14:paraId="0D7C2C9D">
      <w:pPr>
        <w:pStyle w:val="19"/>
        <w:ind w:firstLine="283" w:firstLineChars="135"/>
        <w:rPr>
          <w:rFonts w:ascii="宋体" w:hAnsi="宋体" w:eastAsia="宋体" w:cs="Times New Roman"/>
          <w:color w:val="auto"/>
          <w:sz w:val="21"/>
          <w:szCs w:val="21"/>
        </w:rPr>
      </w:pPr>
      <w:r>
        <w:rPr>
          <w:rFonts w:ascii="宋体" w:hAnsi="宋体" w:eastAsia="宋体" w:cs="Times New Roman"/>
          <w:color w:val="auto"/>
          <w:sz w:val="21"/>
          <w:szCs w:val="21"/>
        </w:rPr>
        <w:t>联系方式：（0769）22367009</w:t>
      </w:r>
    </w:p>
    <w:p w14:paraId="6FC82D38">
      <w:pPr>
        <w:pStyle w:val="19"/>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9"/>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黄工</w:t>
      </w:r>
    </w:p>
    <w:p w14:paraId="3AE7C670">
      <w:pPr>
        <w:pStyle w:val="19"/>
        <w:ind w:firstLine="283" w:firstLineChars="135"/>
        <w:rPr>
          <w:rFonts w:ascii="宋体" w:hAnsi="宋体" w:eastAsia="宋体" w:cs="Times New Roman"/>
          <w:color w:val="auto"/>
          <w:sz w:val="21"/>
          <w:szCs w:val="21"/>
        </w:rPr>
      </w:pPr>
      <w:r>
        <w:rPr>
          <w:rFonts w:ascii="宋体" w:hAnsi="宋体" w:eastAsia="宋体" w:cs="Times New Roman"/>
          <w:color w:val="auto"/>
          <w:sz w:val="21"/>
          <w:szCs w:val="21"/>
        </w:rPr>
        <w:t>电话：</w:t>
      </w:r>
      <w:bookmarkEnd w:id="5"/>
      <w:r>
        <w:rPr>
          <w:rFonts w:ascii="宋体" w:hAnsi="宋体" w:eastAsia="宋体" w:cs="Times New Roman"/>
          <w:color w:val="auto"/>
          <w:sz w:val="21"/>
          <w:szCs w:val="21"/>
        </w:rPr>
        <w:t>（0769）22367009</w:t>
      </w:r>
    </w:p>
    <w:p w14:paraId="2721464C">
      <w:pPr>
        <w:pStyle w:val="19"/>
        <w:jc w:val="center"/>
        <w:rPr>
          <w:rFonts w:ascii="宋体" w:hAnsi="宋体" w:eastAsia="宋体" w:cs="Times New Roman"/>
          <w:color w:val="auto"/>
          <w:sz w:val="21"/>
          <w:szCs w:val="21"/>
          <w:lang w:eastAsia="zh-CN"/>
        </w:rPr>
      </w:pPr>
    </w:p>
    <w:p w14:paraId="68B48AD4">
      <w:pPr>
        <w:pStyle w:val="19"/>
        <w:jc w:val="center"/>
        <w:rPr>
          <w:rFonts w:ascii="宋体" w:hAnsi="宋体" w:eastAsia="宋体" w:cs="Times New Roman"/>
          <w:b/>
          <w:bCs/>
          <w:color w:val="auto"/>
          <w:sz w:val="21"/>
          <w:szCs w:val="21"/>
        </w:rPr>
      </w:pPr>
      <w:r>
        <w:rPr>
          <w:rFonts w:ascii="宋体" w:hAnsi="宋体" w:eastAsia="宋体" w:cs="Times New Roman"/>
          <w:color w:val="auto"/>
          <w:sz w:val="21"/>
          <w:szCs w:val="21"/>
          <w:lang w:eastAsia="zh-CN"/>
        </w:rPr>
        <w:t xml:space="preserve">                                         </w:t>
      </w:r>
      <w:r>
        <w:rPr>
          <w:rFonts w:ascii="宋体" w:hAnsi="宋体" w:eastAsia="宋体" w:cs="Times New Roman"/>
          <w:b/>
          <w:bCs/>
          <w:color w:val="auto"/>
          <w:sz w:val="21"/>
          <w:szCs w:val="21"/>
          <w:lang w:eastAsia="zh-CN"/>
        </w:rPr>
        <w:t xml:space="preserve">  </w:t>
      </w:r>
      <w:r>
        <w:rPr>
          <w:rFonts w:ascii="宋体" w:hAnsi="宋体" w:eastAsia="宋体" w:cs="Times New Roman"/>
          <w:b/>
          <w:bCs/>
          <w:color w:val="auto"/>
          <w:sz w:val="21"/>
          <w:szCs w:val="21"/>
        </w:rPr>
        <w:t>发布人：广东智汇城市招标采购有限公司</w:t>
      </w:r>
    </w:p>
    <w:p w14:paraId="54322AE1">
      <w:pPr>
        <w:pStyle w:val="19"/>
        <w:jc w:val="center"/>
        <w:rPr>
          <w:rFonts w:ascii="宋体" w:hAnsi="宋体" w:eastAsia="宋体" w:cs="Times New Roman"/>
          <w:color w:val="auto"/>
          <w:sz w:val="21"/>
          <w:szCs w:val="21"/>
          <w:lang w:eastAsia="zh-CN"/>
        </w:rPr>
      </w:pPr>
      <w:r>
        <w:rPr>
          <w:rFonts w:ascii="宋体" w:hAnsi="宋体" w:eastAsia="宋体" w:cs="Times New Roman"/>
          <w:b/>
          <w:bCs/>
          <w:color w:val="auto"/>
          <w:sz w:val="21"/>
          <w:szCs w:val="21"/>
          <w:lang w:eastAsia="zh-CN"/>
        </w:rPr>
        <w:t xml:space="preserve">                                 </w:t>
      </w:r>
      <w:r>
        <w:rPr>
          <w:rFonts w:ascii="宋体" w:hAnsi="宋体" w:eastAsia="宋体" w:cs="Times New Roman"/>
          <w:b/>
          <w:bCs/>
          <w:color w:val="auto"/>
          <w:sz w:val="21"/>
          <w:szCs w:val="21"/>
        </w:rPr>
        <w:t>发布时间：</w:t>
      </w:r>
      <w:r>
        <w:rPr>
          <w:rFonts w:hint="eastAsia" w:ascii="宋体" w:hAnsi="宋体" w:eastAsia="宋体" w:cs="Times New Roman"/>
          <w:b/>
          <w:bCs/>
          <w:color w:val="auto"/>
          <w:sz w:val="21"/>
          <w:szCs w:val="21"/>
          <w:lang w:val="en-US" w:eastAsia="zh-CN"/>
        </w:rPr>
        <w:t>2025</w:t>
      </w:r>
      <w:r>
        <w:rPr>
          <w:rFonts w:ascii="宋体" w:hAnsi="宋体" w:eastAsia="宋体" w:cs="Times New Roman"/>
          <w:b/>
          <w:bCs/>
          <w:color w:val="auto"/>
          <w:sz w:val="21"/>
          <w:szCs w:val="21"/>
        </w:rPr>
        <w:t>年</w:t>
      </w:r>
      <w:r>
        <w:rPr>
          <w:rFonts w:hint="eastAsia" w:ascii="宋体" w:hAnsi="宋体" w:eastAsia="宋体" w:cs="Times New Roman"/>
          <w:b/>
          <w:bCs/>
          <w:color w:val="auto"/>
          <w:sz w:val="21"/>
          <w:szCs w:val="21"/>
          <w:lang w:val="en-US" w:eastAsia="zh-CN"/>
        </w:rPr>
        <w:t>09</w:t>
      </w:r>
      <w:r>
        <w:rPr>
          <w:rFonts w:ascii="宋体" w:hAnsi="宋体" w:eastAsia="宋体" w:cs="Times New Roman"/>
          <w:b/>
          <w:bCs/>
          <w:color w:val="auto"/>
          <w:sz w:val="21"/>
          <w:szCs w:val="21"/>
        </w:rPr>
        <w:t>月</w:t>
      </w:r>
      <w:r>
        <w:rPr>
          <w:rFonts w:hint="eastAsia" w:ascii="宋体" w:hAnsi="宋体" w:eastAsia="宋体" w:cs="Times New Roman"/>
          <w:b/>
          <w:bCs/>
          <w:color w:val="auto"/>
          <w:sz w:val="21"/>
          <w:szCs w:val="21"/>
          <w:lang w:val="en-US" w:eastAsia="zh-CN"/>
        </w:rPr>
        <w:t>23</w:t>
      </w:r>
      <w:r>
        <w:rPr>
          <w:rFonts w:ascii="宋体" w:hAnsi="宋体" w:eastAsia="宋体" w:cs="Times New Roman"/>
          <w:b/>
          <w:bCs/>
          <w:color w:val="auto"/>
          <w:sz w:val="21"/>
          <w:szCs w:val="21"/>
        </w:rPr>
        <w:t>日</w:t>
      </w:r>
    </w:p>
    <w:p w14:paraId="12526B28">
      <w:pPr>
        <w:pageBreakBefore/>
        <w:jc w:val="center"/>
        <w:outlineLvl w:val="1"/>
        <w:rPr>
          <w:rFonts w:hint="eastAsia" w:ascii="宋体" w:hAnsi="宋体" w:eastAsia="宋体" w:cs="Times New Roman"/>
          <w:kern w:val="0"/>
          <w:sz w:val="20"/>
          <w:szCs w:val="20"/>
        </w:rPr>
      </w:pPr>
      <w:bookmarkStart w:id="6" w:name="_Toc169799779"/>
      <w:bookmarkStart w:id="7" w:name="_Toc169807541"/>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7BB2AB82">
      <w:pPr>
        <w:snapToGrid w:val="0"/>
        <w:spacing w:line="360" w:lineRule="auto"/>
        <w:contextualSpacing/>
        <w:rPr>
          <w:rFonts w:hint="eastAsia" w:ascii="宋体" w:hAnsi="宋体" w:eastAsia="宋体"/>
          <w:b/>
          <w:szCs w:val="21"/>
        </w:rPr>
      </w:pPr>
      <w:bookmarkStart w:id="8" w:name="_Hlk90919605"/>
      <w:r>
        <w:rPr>
          <w:rFonts w:hint="eastAsia" w:ascii="宋体" w:hAnsi="宋体" w:eastAsia="宋体"/>
          <w:b/>
          <w:szCs w:val="21"/>
        </w:rPr>
        <w:t>说明：</w:t>
      </w:r>
    </w:p>
    <w:p w14:paraId="5F5F7A64">
      <w:pPr>
        <w:pStyle w:val="25"/>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40C49EFF">
      <w:pPr>
        <w:pStyle w:val="25"/>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rFonts w:hint="eastAsia"/>
        </w:rPr>
      </w:pPr>
    </w:p>
    <w:p w14:paraId="74D5C637">
      <w:pPr>
        <w:pStyle w:val="25"/>
        <w:numPr>
          <w:ilvl w:val="0"/>
          <w:numId w:val="8"/>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p w14:paraId="482224B1">
      <w:pPr>
        <w:pStyle w:val="25"/>
        <w:numPr>
          <w:ilvl w:val="0"/>
          <w:numId w:val="9"/>
        </w:numPr>
        <w:snapToGrid w:val="0"/>
        <w:spacing w:line="360" w:lineRule="auto"/>
        <w:ind w:firstLineChars="0"/>
        <w:contextualSpacing/>
        <w:rPr>
          <w:rFonts w:hint="eastAsia"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84"/>
        <w:gridCol w:w="1575"/>
        <w:gridCol w:w="1409"/>
        <w:gridCol w:w="2390"/>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60E665C0">
            <w:pPr>
              <w:spacing w:line="360" w:lineRule="auto"/>
              <w:jc w:val="center"/>
              <w:rPr>
                <w:rFonts w:hint="eastAsia" w:ascii="宋体" w:hAnsi="宋体" w:eastAsia="宋体"/>
                <w:bCs/>
                <w:szCs w:val="21"/>
              </w:rPr>
            </w:pPr>
            <w:r>
              <w:rPr>
                <w:rFonts w:hint="eastAsia" w:ascii="宋体" w:hAnsi="宋体" w:eastAsia="宋体"/>
                <w:bCs/>
                <w:szCs w:val="21"/>
              </w:rPr>
              <w:t>序号</w:t>
            </w:r>
          </w:p>
        </w:tc>
        <w:tc>
          <w:tcPr>
            <w:tcW w:w="1660" w:type="pct"/>
          </w:tcPr>
          <w:p w14:paraId="01DA7396">
            <w:pPr>
              <w:spacing w:line="360" w:lineRule="auto"/>
              <w:jc w:val="center"/>
              <w:rPr>
                <w:rFonts w:hint="eastAsia" w:ascii="宋体" w:hAnsi="宋体" w:eastAsia="宋体"/>
                <w:bCs/>
                <w:szCs w:val="21"/>
              </w:rPr>
            </w:pPr>
            <w:r>
              <w:rPr>
                <w:rFonts w:hint="eastAsia" w:ascii="宋体" w:hAnsi="宋体" w:eastAsia="宋体"/>
                <w:bCs/>
                <w:szCs w:val="21"/>
              </w:rPr>
              <w:t>标的名称</w:t>
            </w:r>
          </w:p>
        </w:tc>
        <w:tc>
          <w:tcPr>
            <w:tcW w:w="848" w:type="pct"/>
          </w:tcPr>
          <w:p w14:paraId="3490E622">
            <w:pPr>
              <w:spacing w:line="360" w:lineRule="auto"/>
              <w:jc w:val="center"/>
              <w:rPr>
                <w:rFonts w:hint="eastAsia" w:ascii="宋体" w:hAnsi="宋体" w:eastAsia="宋体"/>
                <w:bCs/>
                <w:szCs w:val="21"/>
              </w:rPr>
            </w:pPr>
            <w:r>
              <w:rPr>
                <w:rFonts w:hint="eastAsia" w:ascii="宋体" w:hAnsi="宋体" w:eastAsia="宋体"/>
                <w:bCs/>
                <w:szCs w:val="21"/>
              </w:rPr>
              <w:t>单位</w:t>
            </w:r>
          </w:p>
        </w:tc>
        <w:tc>
          <w:tcPr>
            <w:tcW w:w="758" w:type="pct"/>
          </w:tcPr>
          <w:p w14:paraId="35D97960">
            <w:pPr>
              <w:spacing w:line="360" w:lineRule="auto"/>
              <w:jc w:val="center"/>
              <w:rPr>
                <w:rFonts w:hint="eastAsia" w:ascii="宋体" w:hAnsi="宋体" w:eastAsia="宋体"/>
                <w:bCs/>
                <w:szCs w:val="21"/>
              </w:rPr>
            </w:pPr>
            <w:r>
              <w:rPr>
                <w:rFonts w:hint="eastAsia" w:ascii="宋体" w:hAnsi="宋体" w:eastAsia="宋体"/>
                <w:bCs/>
                <w:szCs w:val="21"/>
              </w:rPr>
              <w:t>数量</w:t>
            </w:r>
          </w:p>
        </w:tc>
        <w:tc>
          <w:tcPr>
            <w:tcW w:w="1286" w:type="pct"/>
          </w:tcPr>
          <w:p w14:paraId="73122C3E">
            <w:pPr>
              <w:spacing w:line="360" w:lineRule="auto"/>
              <w:jc w:val="center"/>
              <w:rPr>
                <w:rFonts w:hint="eastAsia" w:ascii="宋体" w:hAnsi="宋体" w:eastAsia="宋体"/>
                <w:bCs/>
                <w:szCs w:val="21"/>
              </w:rPr>
            </w:pPr>
            <w:r>
              <w:rPr>
                <w:rFonts w:hint="eastAsia" w:ascii="宋体" w:hAnsi="宋体" w:eastAsia="宋体"/>
                <w:bCs/>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56467E9D">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1</w:t>
            </w:r>
          </w:p>
        </w:tc>
        <w:tc>
          <w:tcPr>
            <w:tcW w:w="1660" w:type="pct"/>
          </w:tcPr>
          <w:p w14:paraId="69742D3E">
            <w:pPr>
              <w:spacing w:line="360" w:lineRule="auto"/>
              <w:jc w:val="center"/>
              <w:rPr>
                <w:rFonts w:hint="eastAsia" w:ascii="宋体" w:hAnsi="宋体" w:eastAsia="宋体"/>
                <w:bCs/>
                <w:sz w:val="21"/>
                <w:szCs w:val="21"/>
              </w:rPr>
            </w:pPr>
            <w:r>
              <w:rPr>
                <w:rFonts w:hint="eastAsia" w:ascii="Calibri" w:hAnsi="Calibri" w:eastAsia="宋体" w:cs="Times New Roman"/>
                <w:kern w:val="0"/>
                <w:sz w:val="21"/>
                <w:szCs w:val="21"/>
                <w:lang w:eastAsia="zh-Hans"/>
              </w:rPr>
              <w:t>食堂食材配送服务</w:t>
            </w:r>
          </w:p>
        </w:tc>
        <w:tc>
          <w:tcPr>
            <w:tcW w:w="848" w:type="pct"/>
          </w:tcPr>
          <w:p w14:paraId="28F8860E">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758" w:type="pct"/>
          </w:tcPr>
          <w:p w14:paraId="613B9B74">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1286" w:type="pct"/>
          </w:tcPr>
          <w:p w14:paraId="46C79F36">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批发业</w:t>
            </w:r>
          </w:p>
        </w:tc>
      </w:tr>
    </w:tbl>
    <w:p w14:paraId="6804A152">
      <w:pPr>
        <w:pStyle w:val="25"/>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288252B1">
      <w:pPr>
        <w:pStyle w:val="25"/>
        <w:numPr>
          <w:ilvl w:val="0"/>
          <w:numId w:val="0"/>
        </w:numPr>
        <w:snapToGrid w:val="0"/>
        <w:spacing w:line="360" w:lineRule="auto"/>
        <w:ind w:left="420" w:leftChars="0" w:hanging="420" w:firstLineChars="0"/>
        <w:contextualSpacing/>
        <w:rPr>
          <w:rFonts w:hint="eastAsia" w:ascii="宋体" w:hAnsi="宋体" w:eastAsia="宋体"/>
          <w:iCs/>
          <w:szCs w:val="21"/>
        </w:rPr>
      </w:pPr>
      <w:r>
        <w:rPr>
          <w:rFonts w:hint="eastAsia" w:ascii="宋体" w:hAnsi="宋体" w:eastAsia="宋体" w:cstheme="minorBidi"/>
          <w:iCs/>
          <w:kern w:val="2"/>
          <w:sz w:val="21"/>
          <w:szCs w:val="21"/>
          <w:lang w:val="en-US" w:eastAsia="zh-CN" w:bidi="ar-SA"/>
        </w:rPr>
        <w:t>(一)</w:t>
      </w:r>
      <w:r>
        <w:rPr>
          <w:rFonts w:hint="eastAsia" w:ascii="宋体" w:hAnsi="宋体" w:eastAsia="宋体"/>
          <w:iCs/>
          <w:szCs w:val="21"/>
        </w:rPr>
        <w:t>服务时间</w:t>
      </w:r>
      <w:r>
        <w:rPr>
          <w:rFonts w:hint="eastAsia" w:ascii="宋体" w:hAnsi="宋体" w:eastAsia="宋体"/>
          <w:iCs/>
          <w:szCs w:val="21"/>
          <w:lang w:eastAsia="zh-CN"/>
        </w:rPr>
        <w:t>：</w:t>
      </w:r>
      <w:r>
        <w:rPr>
          <w:rFonts w:hint="eastAsia" w:ascii="宋体" w:hAnsi="宋体" w:eastAsia="宋体"/>
          <w:iCs/>
          <w:szCs w:val="21"/>
        </w:rPr>
        <w:t>自合同签订之日起2年</w:t>
      </w:r>
      <w:r>
        <w:rPr>
          <w:rFonts w:hint="eastAsia" w:ascii="宋体" w:hAnsi="宋体" w:eastAsia="宋体"/>
          <w:iCs/>
          <w:szCs w:val="21"/>
          <w:lang w:eastAsia="zh-CN"/>
        </w:rPr>
        <w:t>，</w:t>
      </w:r>
      <w:r>
        <w:rPr>
          <w:rFonts w:hint="eastAsia" w:ascii="宋体" w:hAnsi="宋体" w:eastAsia="宋体" w:cs="Times New Roman"/>
          <w:color w:val="auto"/>
          <w:kern w:val="0"/>
          <w:szCs w:val="21"/>
          <w:lang w:eastAsia="zh-Hans"/>
        </w:rPr>
        <w:t>服务期满或合同期内项目结算金额达到项目预算金额的，合同自动终止。</w:t>
      </w:r>
    </w:p>
    <w:p w14:paraId="11705B17">
      <w:pPr>
        <w:pStyle w:val="25"/>
        <w:numPr>
          <w:ilvl w:val="0"/>
          <w:numId w:val="0"/>
        </w:numPr>
        <w:snapToGrid w:val="0"/>
        <w:spacing w:line="360" w:lineRule="auto"/>
        <w:ind w:left="420" w:leftChars="0" w:hanging="420" w:firstLineChars="0"/>
        <w:contextualSpacing/>
        <w:rPr>
          <w:rFonts w:hint="eastAsia" w:ascii="宋体" w:hAnsi="宋体" w:eastAsia="宋体"/>
          <w:iCs/>
          <w:szCs w:val="21"/>
        </w:rPr>
      </w:pPr>
      <w:r>
        <w:rPr>
          <w:rFonts w:hint="eastAsia" w:ascii="宋体" w:hAnsi="宋体" w:eastAsia="宋体" w:cstheme="minorBidi"/>
          <w:iCs/>
          <w:kern w:val="2"/>
          <w:sz w:val="21"/>
          <w:szCs w:val="21"/>
          <w:lang w:val="en-US" w:eastAsia="zh-CN" w:bidi="ar-SA"/>
        </w:rPr>
        <w:t>(二)</w:t>
      </w:r>
      <w:r>
        <w:rPr>
          <w:rFonts w:hint="eastAsia" w:ascii="宋体" w:hAnsi="宋体" w:eastAsia="宋体"/>
          <w:iCs/>
          <w:szCs w:val="21"/>
        </w:rPr>
        <w:t>服务地点</w:t>
      </w:r>
      <w:r>
        <w:rPr>
          <w:rFonts w:hint="eastAsia" w:ascii="宋体" w:hAnsi="宋体" w:eastAsia="宋体"/>
          <w:iCs/>
          <w:szCs w:val="21"/>
          <w:lang w:eastAsia="zh-CN"/>
        </w:rPr>
        <w:t>：</w:t>
      </w:r>
      <w:r>
        <w:rPr>
          <w:rFonts w:hint="eastAsia" w:ascii="宋体" w:hAnsi="宋体" w:eastAsia="宋体"/>
          <w:iCs/>
          <w:szCs w:val="21"/>
          <w:lang w:val="en-US" w:eastAsia="zh-CN"/>
        </w:rPr>
        <w:t>石龙镇社区卫生服务中心</w:t>
      </w:r>
      <w:r>
        <w:rPr>
          <w:rFonts w:hint="eastAsia" w:ascii="宋体" w:hAnsi="宋体" w:eastAsia="宋体"/>
          <w:iCs/>
          <w:szCs w:val="21"/>
          <w:lang w:eastAsia="zh-CN"/>
        </w:rPr>
        <w:t>或采购人指定地点。</w:t>
      </w:r>
    </w:p>
    <w:p w14:paraId="6E718F90">
      <w:pPr>
        <w:pStyle w:val="25"/>
        <w:numPr>
          <w:ilvl w:val="0"/>
          <w:numId w:val="0"/>
        </w:numPr>
        <w:snapToGrid w:val="0"/>
        <w:spacing w:line="360" w:lineRule="auto"/>
        <w:ind w:left="420" w:leftChars="0" w:hanging="420" w:firstLineChars="0"/>
        <w:contextualSpacing/>
      </w:pPr>
      <w:r>
        <w:rPr>
          <w:rFonts w:hint="eastAsia" w:ascii="宋体" w:hAnsi="宋体" w:eastAsia="宋体" w:cstheme="minorBidi"/>
          <w:iCs/>
          <w:kern w:val="2"/>
          <w:sz w:val="21"/>
          <w:szCs w:val="21"/>
          <w:lang w:val="en-US" w:eastAsia="zh-CN" w:bidi="ar-SA"/>
        </w:rPr>
        <w:t>(三)</w:t>
      </w:r>
      <w:r>
        <w:rPr>
          <w:rFonts w:hint="eastAsia" w:ascii="宋体" w:hAnsi="宋体" w:eastAsia="宋体"/>
          <w:iCs/>
          <w:szCs w:val="21"/>
        </w:rPr>
        <w:t>付款条件</w:t>
      </w:r>
      <w:r>
        <w:rPr>
          <w:rFonts w:hint="eastAsia" w:ascii="宋体" w:hAnsi="宋体" w:eastAsia="宋体"/>
          <w:iCs/>
          <w:szCs w:val="21"/>
          <w:lang w:eastAsia="zh-CN"/>
        </w:rPr>
        <w:t>：</w:t>
      </w:r>
    </w:p>
    <w:p w14:paraId="701D99C5">
      <w:pPr>
        <w:pStyle w:val="25"/>
        <w:numPr>
          <w:ilvl w:val="0"/>
          <w:numId w:val="0"/>
        </w:numPr>
        <w:snapToGrid w:val="0"/>
        <w:spacing w:line="360" w:lineRule="auto"/>
        <w:ind w:left="0" w:leftChars="0" w:firstLine="420" w:firstLineChars="200"/>
        <w:contextualSpacing/>
        <w:rPr>
          <w:rFonts w:hint="eastAsia" w:ascii="宋体" w:hAnsi="宋体" w:eastAsia="宋体" w:cs="宋体"/>
          <w:iCs/>
          <w:color w:val="auto"/>
          <w:szCs w:val="21"/>
          <w:highlight w:val="none"/>
          <w:lang w:eastAsia="zh-CN"/>
        </w:rPr>
      </w:pPr>
      <w:r>
        <w:rPr>
          <w:rFonts w:hint="eastAsia" w:ascii="宋体" w:hAnsi="宋体" w:eastAsia="宋体" w:cs="宋体"/>
          <w:iCs/>
          <w:color w:val="auto"/>
          <w:szCs w:val="21"/>
          <w:highlight w:val="none"/>
          <w:lang w:val="en-US" w:eastAsia="zh-CN"/>
        </w:rPr>
        <w:t>中标人每月供货任务完成后</w:t>
      </w:r>
      <w:r>
        <w:rPr>
          <w:rFonts w:hint="eastAsia" w:ascii="宋体" w:hAnsi="宋体" w:eastAsia="宋体" w:cs="宋体"/>
          <w:iCs/>
          <w:color w:val="auto"/>
          <w:szCs w:val="21"/>
          <w:highlight w:val="none"/>
        </w:rPr>
        <w:t>，于次月凭正式发票及经采购人确认的送货清单，向采购人申请付款，采购人在收到发票的</w:t>
      </w:r>
      <w:r>
        <w:rPr>
          <w:rFonts w:hint="eastAsia" w:ascii="宋体" w:hAnsi="宋体" w:eastAsia="宋体" w:cs="宋体"/>
          <w:iCs/>
          <w:color w:val="auto"/>
          <w:szCs w:val="21"/>
          <w:highlight w:val="none"/>
          <w:lang w:val="en-US" w:eastAsia="zh-CN"/>
        </w:rPr>
        <w:t>10</w:t>
      </w:r>
      <w:r>
        <w:rPr>
          <w:rFonts w:hint="eastAsia" w:ascii="宋体" w:hAnsi="宋体" w:eastAsia="宋体" w:cs="宋体"/>
          <w:iCs/>
          <w:color w:val="auto"/>
          <w:szCs w:val="21"/>
          <w:highlight w:val="none"/>
        </w:rPr>
        <w:t>个工作日内向</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支付审定后的费用</w:t>
      </w:r>
      <w:r>
        <w:rPr>
          <w:rFonts w:hint="eastAsia" w:ascii="宋体" w:hAnsi="宋体" w:eastAsia="宋体" w:cs="宋体"/>
          <w:iCs/>
          <w:color w:val="auto"/>
          <w:szCs w:val="21"/>
          <w:highlight w:val="none"/>
          <w:lang w:eastAsia="zh-CN"/>
        </w:rPr>
        <w:t>。</w:t>
      </w:r>
    </w:p>
    <w:p w14:paraId="733824D5">
      <w:pPr>
        <w:pStyle w:val="25"/>
        <w:numPr>
          <w:ilvl w:val="0"/>
          <w:numId w:val="0"/>
        </w:numPr>
        <w:snapToGrid w:val="0"/>
        <w:spacing w:line="360" w:lineRule="auto"/>
        <w:ind w:left="420" w:leftChars="0" w:hanging="420"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kern w:val="2"/>
          <w:sz w:val="21"/>
          <w:szCs w:val="21"/>
          <w:lang w:val="en-US" w:eastAsia="zh-CN" w:bidi="ar-SA"/>
        </w:rPr>
        <w:t>(四)</w:t>
      </w:r>
      <w:r>
        <w:rPr>
          <w:rFonts w:hint="eastAsia" w:ascii="宋体" w:hAnsi="宋体" w:eastAsia="宋体" w:cs="宋体"/>
          <w:iCs/>
          <w:color w:val="auto"/>
          <w:szCs w:val="21"/>
          <w:highlight w:val="none"/>
          <w:lang w:val="en-US" w:eastAsia="zh-CN"/>
        </w:rPr>
        <w:t>验收要求：</w:t>
      </w:r>
    </w:p>
    <w:p w14:paraId="05D49ACB">
      <w:pPr>
        <w:pStyle w:val="25"/>
        <w:numPr>
          <w:ilvl w:val="0"/>
          <w:numId w:val="10"/>
        </w:numPr>
        <w:snapToGrid w:val="0"/>
        <w:spacing w:line="360" w:lineRule="auto"/>
        <w:ind w:firstLineChars="0"/>
        <w:contextualSpacing/>
        <w:rPr>
          <w:rFonts w:hint="eastAsia" w:ascii="宋体" w:hAnsi="宋体" w:eastAsia="宋体" w:cs="宋体"/>
          <w:iCs/>
          <w:color w:val="auto"/>
          <w:szCs w:val="21"/>
          <w:highlight w:val="none"/>
          <w:lang w:eastAsia="zh-CN"/>
        </w:rPr>
      </w:pPr>
      <w:r>
        <w:rPr>
          <w:rFonts w:hint="eastAsia" w:ascii="宋体" w:hAnsi="宋体" w:eastAsia="宋体" w:cs="宋体"/>
          <w:color w:val="auto"/>
          <w:sz w:val="21"/>
          <w:szCs w:val="21"/>
          <w:highlight w:val="none"/>
          <w:u w:val="none"/>
        </w:rPr>
        <w:t>食材的每日验收由</w:t>
      </w:r>
      <w:r>
        <w:rPr>
          <w:rFonts w:hint="eastAsia" w:ascii="宋体" w:hAnsi="宋体" w:eastAsia="宋体" w:cs="宋体"/>
          <w:color w:val="auto"/>
          <w:sz w:val="21"/>
          <w:szCs w:val="21"/>
          <w:highlight w:val="none"/>
          <w:u w:val="none"/>
          <w:lang w:val="en-US" w:eastAsia="zh-CN"/>
        </w:rPr>
        <w:t>采购人</w:t>
      </w:r>
      <w:r>
        <w:rPr>
          <w:rFonts w:hint="eastAsia" w:ascii="宋体" w:hAnsi="宋体" w:eastAsia="宋体" w:cs="宋体"/>
          <w:color w:val="auto"/>
          <w:sz w:val="21"/>
          <w:szCs w:val="21"/>
          <w:highlight w:val="none"/>
          <w:u w:val="none"/>
        </w:rPr>
        <w:t>及</w:t>
      </w:r>
      <w:r>
        <w:rPr>
          <w:rFonts w:hint="eastAsia" w:ascii="宋体" w:hAnsi="宋体" w:eastAsia="宋体" w:cs="宋体"/>
          <w:color w:val="auto"/>
          <w:sz w:val="21"/>
          <w:szCs w:val="21"/>
          <w:highlight w:val="none"/>
          <w:u w:val="none"/>
          <w:lang w:val="en-US" w:eastAsia="zh-CN"/>
        </w:rPr>
        <w:t>中标人</w:t>
      </w:r>
      <w:r>
        <w:rPr>
          <w:rFonts w:hint="eastAsia" w:ascii="宋体" w:hAnsi="宋体" w:eastAsia="宋体" w:cs="宋体"/>
          <w:color w:val="auto"/>
          <w:sz w:val="21"/>
          <w:szCs w:val="21"/>
          <w:highlight w:val="none"/>
          <w:u w:val="none"/>
        </w:rPr>
        <w:t>组成的验收小组进行共同验收，</w:t>
      </w:r>
      <w:r>
        <w:rPr>
          <w:rFonts w:hint="eastAsia" w:ascii="宋体" w:hAnsi="宋体" w:eastAsia="宋体" w:cs="宋体"/>
          <w:iCs/>
          <w:color w:val="auto"/>
          <w:szCs w:val="21"/>
          <w:highlight w:val="none"/>
          <w:lang w:val="en-US" w:eastAsia="zh-CN"/>
        </w:rPr>
        <w:t>验收人员对当天所配送的食材进行规格、质量、数量、价格等方面的验收，验收标准严格按照国家、地方的相关规定、招标文件及投标文件相关内容执行；</w:t>
      </w:r>
    </w:p>
    <w:p w14:paraId="1F896ED9">
      <w:pPr>
        <w:pStyle w:val="25"/>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采购人每月安排相关人员对中标人进行食材及服务质量考核跟踪，考核内容详见《饭堂食材配送供应商考核评价表》</w:t>
      </w:r>
      <w:r>
        <w:rPr>
          <w:rFonts w:hint="eastAsia" w:ascii="宋体" w:hAnsi="宋体" w:eastAsia="宋体" w:cs="宋体"/>
          <w:iCs/>
          <w:color w:val="auto"/>
          <w:szCs w:val="21"/>
          <w:highlight w:val="none"/>
        </w:rPr>
        <w:t>。</w:t>
      </w:r>
    </w:p>
    <w:p w14:paraId="76F69995">
      <w:pPr>
        <w:pStyle w:val="25"/>
        <w:numPr>
          <w:ilvl w:val="0"/>
          <w:numId w:val="0"/>
        </w:numPr>
        <w:snapToGrid w:val="0"/>
        <w:spacing w:line="360" w:lineRule="auto"/>
        <w:ind w:left="420" w:leftChars="0" w:hanging="420" w:firstLineChars="0"/>
        <w:contextualSpacing/>
        <w:rPr>
          <w:rFonts w:hint="eastAsia" w:ascii="宋体" w:hAnsi="宋体" w:eastAsia="宋体" w:cs="宋体"/>
          <w:b/>
          <w:bCs/>
          <w:iCs/>
          <w:color w:val="auto"/>
          <w:szCs w:val="21"/>
          <w:highlight w:val="none"/>
        </w:rPr>
      </w:pPr>
      <w:r>
        <w:rPr>
          <w:rFonts w:hint="eastAsia" w:ascii="宋体" w:hAnsi="宋体" w:eastAsia="宋体" w:cs="宋体"/>
          <w:b/>
          <w:bCs/>
          <w:iCs/>
          <w:color w:val="auto"/>
          <w:kern w:val="2"/>
          <w:sz w:val="21"/>
          <w:szCs w:val="21"/>
          <w:lang w:val="en-US" w:eastAsia="zh-CN" w:bidi="ar-SA"/>
        </w:rPr>
        <w:t>(五)</w:t>
      </w:r>
      <w:r>
        <w:rPr>
          <w:rFonts w:hint="eastAsia" w:ascii="宋体" w:hAnsi="宋体" w:eastAsia="宋体" w:cs="宋体"/>
          <w:b/>
          <w:bCs/>
          <w:color w:val="auto"/>
          <w:sz w:val="21"/>
          <w:szCs w:val="21"/>
          <w:highlight w:val="none"/>
        </w:rPr>
        <w:t>★</w:t>
      </w:r>
      <w:r>
        <w:rPr>
          <w:rFonts w:hint="eastAsia" w:ascii="宋体" w:hAnsi="宋体" w:eastAsia="宋体" w:cs="宋体"/>
          <w:b/>
          <w:bCs/>
          <w:iCs/>
          <w:color w:val="auto"/>
          <w:szCs w:val="21"/>
          <w:highlight w:val="none"/>
          <w:lang w:val="en-US" w:eastAsia="zh-CN"/>
        </w:rPr>
        <w:t>报价要求：</w:t>
      </w:r>
    </w:p>
    <w:p w14:paraId="48120BB3">
      <w:pPr>
        <w:pStyle w:val="25"/>
        <w:numPr>
          <w:ilvl w:val="0"/>
          <w:numId w:val="11"/>
        </w:numPr>
        <w:snapToGrid w:val="0"/>
        <w:spacing w:line="360" w:lineRule="auto"/>
        <w:ind w:firstLineChars="0"/>
        <w:contextualSpacing/>
        <w:rPr>
          <w:rFonts w:hint="eastAsia" w:ascii="宋体" w:hAnsi="宋体" w:eastAsia="宋体" w:cs="宋体"/>
          <w:b/>
          <w:bCs/>
          <w:iCs/>
          <w:color w:val="auto"/>
          <w:szCs w:val="21"/>
          <w:highlight w:val="none"/>
          <w:lang w:eastAsia="zh-CN"/>
        </w:rPr>
      </w:pPr>
      <w:r>
        <w:rPr>
          <w:rFonts w:hint="eastAsia" w:ascii="宋体" w:hAnsi="宋体" w:eastAsia="宋体" w:cs="宋体"/>
          <w:b/>
          <w:bCs/>
          <w:iCs/>
          <w:color w:val="auto"/>
          <w:szCs w:val="21"/>
          <w:highlight w:val="none"/>
          <w:lang w:val="en-US" w:eastAsia="zh-CN"/>
        </w:rPr>
        <w:t>本项目报价方式为下浮率，投标人下浮率报价范围须在0.00%≤下浮率＜100.00%（最多保留两位小数），投标下浮率应在报价范围内，且是唯一的、固定的，否则视为无效投标；</w:t>
      </w:r>
    </w:p>
    <w:p w14:paraId="652EB3B7">
      <w:pPr>
        <w:pStyle w:val="25"/>
        <w:numPr>
          <w:ilvl w:val="0"/>
          <w:numId w:val="11"/>
        </w:numPr>
        <w:snapToGrid w:val="0"/>
        <w:spacing w:line="360" w:lineRule="auto"/>
        <w:ind w:firstLineChars="0"/>
        <w:contextualSpacing/>
        <w:rPr>
          <w:rFonts w:hint="eastAsia" w:ascii="宋体" w:hAnsi="宋体" w:eastAsia="宋体" w:cs="宋体"/>
          <w:b/>
          <w:bCs/>
          <w:iCs/>
          <w:color w:val="auto"/>
          <w:szCs w:val="21"/>
          <w:highlight w:val="none"/>
        </w:rPr>
      </w:pPr>
      <w:r>
        <w:rPr>
          <w:rFonts w:hint="eastAsia" w:ascii="宋体" w:hAnsi="宋体" w:eastAsia="宋体" w:cs="宋体"/>
          <w:b/>
          <w:bCs/>
          <w:iCs/>
          <w:color w:val="auto"/>
          <w:szCs w:val="21"/>
          <w:highlight w:val="none"/>
          <w:lang w:val="en-US" w:eastAsia="zh-CN"/>
        </w:rPr>
        <w:t>投标人报价应包含完成本次项目履约的一切费用，包含：购货或自产养种植成本、货品购置、包装费、运输费、装卸费、搬运费、储存费、保险、装卸服务、粗加工、退换、检验检疫费、质量检测费、雇员费用、售后服务、全额含税发票、合同实施过程中的应预见和不可预见费用等。在项目的实施过程中，投标人必须充分考虑在本项目实施期间的一切可能产生的风险和相关费用，采购人将拒绝支付合同约定货款之外的任何费用和补偿。</w:t>
      </w:r>
    </w:p>
    <w:p w14:paraId="01C5B9AB">
      <w:pPr>
        <w:pStyle w:val="25"/>
        <w:numPr>
          <w:ilvl w:val="0"/>
          <w:numId w:val="0"/>
        </w:numPr>
        <w:shd w:val="clear"/>
        <w:snapToGrid w:val="0"/>
        <w:spacing w:line="360" w:lineRule="auto"/>
        <w:ind w:left="420" w:leftChars="0" w:hanging="420" w:firstLineChars="0"/>
        <w:contextualSpacing/>
        <w:rPr>
          <w:rFonts w:hint="eastAsia" w:ascii="宋体" w:hAnsi="宋体" w:eastAsia="宋体" w:cs="宋体"/>
          <w:b w:val="0"/>
          <w:bCs w:val="0"/>
          <w:iCs/>
          <w:color w:val="auto"/>
          <w:szCs w:val="21"/>
          <w:highlight w:val="none"/>
        </w:rPr>
      </w:pPr>
      <w:r>
        <w:rPr>
          <w:rFonts w:hint="eastAsia" w:ascii="宋体" w:hAnsi="宋体" w:eastAsia="宋体" w:cs="宋体"/>
          <w:b w:val="0"/>
          <w:bCs w:val="0"/>
          <w:iCs/>
          <w:color w:val="auto"/>
          <w:kern w:val="2"/>
          <w:sz w:val="21"/>
          <w:szCs w:val="21"/>
          <w:lang w:val="en-US" w:eastAsia="zh-CN" w:bidi="ar-SA"/>
        </w:rPr>
        <w:t>(六)</w:t>
      </w:r>
      <w:r>
        <w:rPr>
          <w:rFonts w:hint="eastAsia" w:ascii="宋体" w:hAnsi="宋体" w:eastAsia="宋体" w:cs="宋体"/>
          <w:b w:val="0"/>
          <w:bCs w:val="0"/>
          <w:color w:val="auto"/>
          <w:sz w:val="21"/>
          <w:szCs w:val="21"/>
          <w:highlight w:val="none"/>
          <w:lang w:val="en-US" w:eastAsia="zh-CN"/>
        </w:rPr>
        <w:t>定价说明</w:t>
      </w:r>
      <w:r>
        <w:rPr>
          <w:rFonts w:hint="eastAsia" w:ascii="宋体" w:hAnsi="宋体" w:eastAsia="宋体" w:cs="宋体"/>
          <w:b w:val="0"/>
          <w:bCs w:val="0"/>
          <w:iCs/>
          <w:color w:val="auto"/>
          <w:szCs w:val="21"/>
          <w:highlight w:val="none"/>
          <w:lang w:val="en-US" w:eastAsia="zh-CN"/>
        </w:rPr>
        <w:t>：</w:t>
      </w:r>
    </w:p>
    <w:p w14:paraId="46D6D908">
      <w:pPr>
        <w:pStyle w:val="25"/>
        <w:numPr>
          <w:ilvl w:val="0"/>
          <w:numId w:val="12"/>
        </w:numPr>
        <w:shd w:val="clear"/>
        <w:snapToGrid w:val="0"/>
        <w:spacing w:line="360" w:lineRule="auto"/>
        <w:ind w:firstLineChars="0"/>
        <w:contextualSpacing/>
        <w:rPr>
          <w:rFonts w:hint="eastAsia" w:ascii="宋体" w:hAnsi="宋体" w:eastAsia="宋体" w:cs="宋体"/>
          <w:iCs/>
          <w:color w:val="auto"/>
          <w:szCs w:val="21"/>
          <w:highlight w:val="none"/>
          <w:lang w:eastAsia="zh-CN"/>
        </w:rPr>
      </w:pPr>
      <w:r>
        <w:rPr>
          <w:rFonts w:hint="eastAsia" w:ascii="宋体" w:hAnsi="宋体" w:eastAsia="宋体" w:cs="宋体"/>
          <w:iCs/>
          <w:color w:val="auto"/>
          <w:szCs w:val="21"/>
          <w:highlight w:val="none"/>
          <w:lang w:val="en-US" w:eastAsia="zh-CN"/>
        </w:rPr>
        <w:t>原则上以供货当期东莞市发展和改革局官方网站“价格管理”专栏中《东</w:t>
      </w:r>
      <w:r>
        <w:rPr>
          <w:rFonts w:hint="eastAsia" w:ascii="宋体" w:hAnsi="宋体" w:eastAsia="宋体" w:cs="宋体"/>
          <w:iCs/>
          <w:color w:val="auto"/>
          <w:szCs w:val="21"/>
          <w:highlight w:val="none"/>
          <w:shd w:val="clear"/>
          <w:lang w:val="en-US" w:eastAsia="zh-CN"/>
        </w:rPr>
        <w:t>莞市菜篮子价格监测表》最新公布市场价格监测情况数据（https://dgdp.dg.gov.cn/jggl/spjg/）及采购人邻近三个市场（石碣润丰批发市场、石龙昌兴商贸市场、石龙富升商贸市场）相同品种</w:t>
      </w:r>
      <w:r>
        <w:rPr>
          <w:rFonts w:hint="eastAsia" w:ascii="宋体" w:hAnsi="宋体" w:eastAsia="宋体" w:cs="宋体"/>
          <w:iCs/>
          <w:color w:val="auto"/>
          <w:szCs w:val="21"/>
          <w:highlight w:val="none"/>
          <w:lang w:val="en-US" w:eastAsia="zh-CN"/>
        </w:rPr>
        <w:t>的市场平均价格（按以下公式计算出参考价：参考价=邻近三个市场抽样价格之和÷3）为参考价，取两个参考价中价格较低的为基准价；</w:t>
      </w:r>
    </w:p>
    <w:p w14:paraId="30802078">
      <w:pPr>
        <w:pStyle w:val="25"/>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采购人需求货品在《东莞市菜篮子价格监测表》中没有对应价格数据的，其基准价为采购人邻近三个市场（石碣润丰批发市场、石龙昌兴商贸市场、石龙富升商贸市场）相同品种的市场平均价格；</w:t>
      </w:r>
    </w:p>
    <w:p w14:paraId="2F52E01E">
      <w:pPr>
        <w:pStyle w:val="25"/>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采购人和</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按下述公式确定结算价格：结算价格＝基准价×（1-成交</w:t>
      </w:r>
      <w:r>
        <w:rPr>
          <w:rFonts w:hint="eastAsia" w:ascii="宋体" w:hAnsi="宋体" w:eastAsia="宋体" w:cs="宋体"/>
          <w:iCs/>
          <w:color w:val="auto"/>
          <w:szCs w:val="21"/>
          <w:highlight w:val="none"/>
          <w:lang w:val="en-US" w:eastAsia="zh-CN"/>
        </w:rPr>
        <w:t>下浮率</w:t>
      </w:r>
      <w:r>
        <w:rPr>
          <w:rFonts w:hint="eastAsia" w:ascii="宋体" w:hAnsi="宋体" w:eastAsia="宋体" w:cs="宋体"/>
          <w:iCs/>
          <w:color w:val="auto"/>
          <w:szCs w:val="21"/>
          <w:highlight w:val="none"/>
        </w:rPr>
        <w:t>）×实际供货数量，例如：当基准价为100.00元，成交</w:t>
      </w:r>
      <w:r>
        <w:rPr>
          <w:rFonts w:hint="eastAsia" w:ascii="宋体" w:hAnsi="宋体" w:eastAsia="宋体" w:cs="宋体"/>
          <w:iCs/>
          <w:color w:val="auto"/>
          <w:szCs w:val="21"/>
          <w:highlight w:val="none"/>
          <w:lang w:val="en-US" w:eastAsia="zh-CN"/>
        </w:rPr>
        <w:t>下浮</w:t>
      </w:r>
      <w:r>
        <w:rPr>
          <w:rFonts w:hint="eastAsia" w:ascii="宋体" w:hAnsi="宋体" w:eastAsia="宋体" w:cs="宋体"/>
          <w:iCs/>
          <w:color w:val="auto"/>
          <w:szCs w:val="21"/>
          <w:highlight w:val="none"/>
        </w:rPr>
        <w:t>率为3.00%时，结算单价=100.00×（1-3.00%）=97.00元；</w:t>
      </w:r>
    </w:p>
    <w:p w14:paraId="1639B250">
      <w:pPr>
        <w:pStyle w:val="25"/>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若遇台风、暴雨等意外原因造成的个别品种价格需临时调整，</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应在供货前及时通知采购人，并征得采购人同意后方可调整</w:t>
      </w:r>
      <w:r>
        <w:rPr>
          <w:rFonts w:hint="eastAsia" w:ascii="宋体" w:hAnsi="宋体" w:eastAsia="宋体" w:cs="宋体"/>
          <w:iCs/>
          <w:color w:val="auto"/>
          <w:szCs w:val="21"/>
          <w:highlight w:val="none"/>
          <w:lang w:eastAsia="zh-CN"/>
        </w:rPr>
        <w:t>；</w:t>
      </w:r>
    </w:p>
    <w:p w14:paraId="0092D624">
      <w:pPr>
        <w:pStyle w:val="25"/>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定价周期：每月更新一次，</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每次至少提前</w:t>
      </w:r>
      <w:r>
        <w:rPr>
          <w:rFonts w:hint="eastAsia" w:ascii="宋体" w:hAnsi="宋体" w:eastAsia="宋体" w:cs="宋体"/>
          <w:iCs/>
          <w:color w:val="auto"/>
          <w:szCs w:val="21"/>
          <w:highlight w:val="none"/>
          <w:lang w:val="en-US" w:eastAsia="zh-CN"/>
        </w:rPr>
        <w:t>5个工作日</w:t>
      </w:r>
      <w:r>
        <w:rPr>
          <w:rFonts w:hint="eastAsia" w:ascii="宋体" w:hAnsi="宋体" w:eastAsia="宋体" w:cs="宋体"/>
          <w:iCs/>
          <w:color w:val="auto"/>
          <w:szCs w:val="21"/>
          <w:highlight w:val="none"/>
        </w:rPr>
        <w:t>提交下一供货周期报价清单给采购人审核，双方签字后生效；</w:t>
      </w:r>
    </w:p>
    <w:p w14:paraId="4A76DF60">
      <w:pPr>
        <w:pStyle w:val="25"/>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如</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基准报价明显存在高于周边市场价的情况，采购人有权自行另邀请供应商进行相应食材的供货，直至重新定价或不存在明显高于周边市场价为止。</w:t>
      </w:r>
    </w:p>
    <w:p w14:paraId="2A0E7FE3">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32" w:leftChars="0" w:hanging="432" w:hangingChars="205"/>
        <w:contextualSpacing/>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iCs/>
          <w:color w:val="auto"/>
          <w:kern w:val="2"/>
          <w:sz w:val="21"/>
          <w:szCs w:val="21"/>
          <w:lang w:val="en-US" w:eastAsia="zh-CN" w:bidi="ar-SA"/>
        </w:rPr>
        <w:t>(七)</w:t>
      </w:r>
      <w:r>
        <w:rPr>
          <w:rFonts w:hint="eastAsia" w:ascii="宋体" w:hAnsi="宋体" w:eastAsia="宋体" w:cs="宋体"/>
          <w:b/>
          <w:bCs/>
          <w:color w:val="auto"/>
          <w:sz w:val="21"/>
          <w:szCs w:val="21"/>
          <w:highlight w:val="none"/>
        </w:rPr>
        <w:t>★</w:t>
      </w:r>
      <w:r>
        <w:rPr>
          <w:rFonts w:hint="eastAsia" w:ascii="宋体" w:hAnsi="宋体" w:eastAsia="宋体" w:cs="宋体"/>
          <w:b/>
          <w:bCs/>
          <w:iCs/>
          <w:color w:val="auto"/>
          <w:sz w:val="21"/>
          <w:szCs w:val="21"/>
          <w:highlight w:val="none"/>
        </w:rPr>
        <w:t>保险</w:t>
      </w:r>
      <w:r>
        <w:rPr>
          <w:rFonts w:hint="eastAsia" w:ascii="宋体" w:hAnsi="宋体" w:eastAsia="宋体" w:cs="宋体"/>
          <w:b/>
          <w:bCs/>
          <w:color w:val="auto"/>
          <w:sz w:val="21"/>
          <w:szCs w:val="21"/>
          <w:highlight w:val="none"/>
          <w:lang w:val="en-US" w:eastAsia="zh-CN"/>
        </w:rPr>
        <w:t>要求：投标人须承诺，若成为本项目中标人，将在合同签订前办理保额不低于人民币伍佰万元（¥5,000,000.00）的食品安全责任保险，保险期限须覆盖整个合同期，受益人须包含采购人及就餐人员。（须提供单独承诺函加盖投标人公章，承诺函格式自拟）</w:t>
      </w:r>
    </w:p>
    <w:p w14:paraId="362777F0">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32" w:leftChars="0" w:hanging="432" w:hangingChars="205"/>
        <w:contextualSpacing/>
        <w:textAlignment w:val="auto"/>
        <w:rPr>
          <w:rFonts w:hint="eastAsia" w:ascii="宋体" w:hAnsi="宋体" w:eastAsia="宋体" w:cs="宋体"/>
          <w:b/>
          <w:bCs/>
          <w:iCs/>
          <w:color w:val="auto"/>
          <w:sz w:val="21"/>
          <w:szCs w:val="21"/>
          <w:highlight w:val="none"/>
        </w:rPr>
      </w:pPr>
      <w:r>
        <w:rPr>
          <w:rFonts w:hint="eastAsia" w:ascii="宋体" w:hAnsi="宋体" w:eastAsia="宋体" w:cs="宋体"/>
          <w:b/>
          <w:bCs/>
          <w:iCs/>
          <w:color w:val="auto"/>
          <w:kern w:val="2"/>
          <w:sz w:val="21"/>
          <w:szCs w:val="21"/>
          <w:lang w:val="en-US" w:eastAsia="zh-CN" w:bidi="ar-SA"/>
        </w:rPr>
        <w:t>(八)</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其他要求：在合同履行期间，如市场监督管理部门对采购人食堂实施食品安全监督抽检中，判定中标人供应的产品或食品不符合国家食品安全标准，由此产生的一切责任均由中标人承担。（须提供单独承诺函加盖投标人公章，承诺函格式自拟）</w:t>
      </w:r>
    </w:p>
    <w:p w14:paraId="62A71971">
      <w:pPr>
        <w:pStyle w:val="25"/>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技术要求</w:t>
      </w:r>
    </w:p>
    <w:p w14:paraId="48F6827C">
      <w:pPr>
        <w:pStyle w:val="25"/>
        <w:numPr>
          <w:ilvl w:val="0"/>
          <w:numId w:val="13"/>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服务内容</w:t>
      </w:r>
    </w:p>
    <w:p w14:paraId="0168581B">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本项目配送食材包括蔬菜、水果、禽肉类、水产品类、粮油副食品百货类、冻品类、豆制品、调味品、禽蛋等。</w:t>
      </w:r>
    </w:p>
    <w:p w14:paraId="5AA4A821">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对采购人提出的食材订货清单，不论数量多少，应保证在规定的时间（以采购人的供货通知为依据）、地点送货；</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对采购人提出的临时性服务要求也应按时、按质、按量将货品送到采购人指定地点；</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所供应的货品必须安全卫生，量足价平，承担送货途中的一切风险并提供完善的售后服务。</w:t>
      </w:r>
    </w:p>
    <w:p w14:paraId="6D23A59D">
      <w:pPr>
        <w:pStyle w:val="25"/>
        <w:numPr>
          <w:ilvl w:val="0"/>
          <w:numId w:val="13"/>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w:t>
      </w:r>
      <w:r>
        <w:rPr>
          <w:rFonts w:hint="eastAsia" w:ascii="宋体" w:hAnsi="宋体" w:eastAsia="宋体" w:cs="宋体"/>
          <w:color w:val="auto"/>
          <w:szCs w:val="21"/>
          <w:highlight w:val="none"/>
          <w:lang w:val="en-US" w:eastAsia="zh-CN"/>
        </w:rPr>
        <w:t>总体</w:t>
      </w:r>
      <w:r>
        <w:rPr>
          <w:rFonts w:hint="eastAsia" w:ascii="宋体" w:hAnsi="宋体" w:eastAsia="宋体" w:cs="宋体"/>
          <w:color w:val="auto"/>
          <w:szCs w:val="21"/>
          <w:highlight w:val="none"/>
        </w:rPr>
        <w:t>要求</w:t>
      </w:r>
    </w:p>
    <w:p w14:paraId="497FC91F">
      <w:pPr>
        <w:pStyle w:val="25"/>
        <w:widowControl/>
        <w:numPr>
          <w:ilvl w:val="0"/>
          <w:numId w:val="1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本项目根据《中华人民共和国食品安全法》、《广东省食品安全条例》及相关文件精神，对本采购项目作总体要求；</w:t>
      </w:r>
    </w:p>
    <w:p w14:paraId="130F3A8A">
      <w:pPr>
        <w:pStyle w:val="25"/>
        <w:widowControl/>
        <w:numPr>
          <w:ilvl w:val="0"/>
          <w:numId w:val="1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需服从采购人和食品监督部门的监督管理，配合采购人及时更新所提供的符合卫生监督部门的有效证明材料；</w:t>
      </w:r>
    </w:p>
    <w:p w14:paraId="16256E9E">
      <w:pPr>
        <w:pStyle w:val="25"/>
        <w:widowControl/>
        <w:numPr>
          <w:ilvl w:val="0"/>
          <w:numId w:val="1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所送的食材及物资引起食用人身体不适、发生食物中毒等问题，经正规食品质量检验部门确定是</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责任的，由</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承担全部经济赔偿及法律责任；</w:t>
      </w:r>
    </w:p>
    <w:p w14:paraId="523354F7">
      <w:pPr>
        <w:pStyle w:val="25"/>
        <w:widowControl/>
        <w:numPr>
          <w:ilvl w:val="0"/>
          <w:numId w:val="1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在合同服务期内，如因政策性等不可抗力因素导致合同中止，采购人不承担任何责任</w:t>
      </w:r>
      <w:r>
        <w:rPr>
          <w:rFonts w:hint="eastAsia" w:ascii="宋体" w:hAnsi="宋体" w:eastAsia="宋体" w:cs="宋体"/>
          <w:color w:val="auto"/>
          <w:szCs w:val="21"/>
          <w:highlight w:val="none"/>
          <w:lang w:eastAsia="zh-CN"/>
        </w:rPr>
        <w:t>。</w:t>
      </w:r>
    </w:p>
    <w:p w14:paraId="42539D8A">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食品安全质量要求</w:t>
      </w:r>
    </w:p>
    <w:p w14:paraId="3B2A0013">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必须遵守国家规定的《中华人民共和国食品安全法》《农产品质量安全法》等法律和行政法规的规定，提供的货品必须符合国家有关卫生标准，保质、保量、保鲜，严禁配送假冒、变质、过期的农副产品，对于验收不合格的货品，</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必须无条件包退包换。</w:t>
      </w:r>
    </w:p>
    <w:p w14:paraId="493BF3BD">
      <w:pPr>
        <w:pStyle w:val="25"/>
        <w:widowControl/>
        <w:numPr>
          <w:ilvl w:val="0"/>
          <w:numId w:val="1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蔬菜、水果供应货品质量要求</w:t>
      </w:r>
    </w:p>
    <w:p w14:paraId="61D7B24B">
      <w:pPr>
        <w:pStyle w:val="25"/>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提供的蔬菜必须保证每日新鲜，品种、质量应符合采购人要求，产品符合食品卫生安全法要求并出具有效的《农产品检验报告》</w:t>
      </w:r>
      <w:r>
        <w:rPr>
          <w:rFonts w:hint="eastAsia" w:ascii="宋体" w:hAnsi="宋体" w:eastAsia="宋体" w:cs="宋体"/>
          <w:iCs/>
          <w:color w:val="auto"/>
          <w:szCs w:val="21"/>
          <w:highlight w:val="none"/>
          <w:lang w:eastAsia="zh-CN"/>
        </w:rPr>
        <w:t>；</w:t>
      </w:r>
    </w:p>
    <w:p w14:paraId="16656B16">
      <w:pPr>
        <w:pStyle w:val="25"/>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应保持较好的色泽和新鲜度，不得有黄叶，不得腐烂或有异常味道，不存在泥沙和异物，利用率不得低于95%</w:t>
      </w:r>
      <w:r>
        <w:rPr>
          <w:rFonts w:hint="eastAsia" w:ascii="宋体" w:hAnsi="宋体" w:eastAsia="宋体" w:cs="宋体"/>
          <w:iCs/>
          <w:color w:val="auto"/>
          <w:szCs w:val="21"/>
          <w:highlight w:val="none"/>
          <w:lang w:eastAsia="zh-CN"/>
        </w:rPr>
        <w:t>；</w:t>
      </w:r>
    </w:p>
    <w:p w14:paraId="2590C05D">
      <w:pPr>
        <w:pStyle w:val="25"/>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提供的水果符合国家</w:t>
      </w:r>
      <w:r>
        <w:rPr>
          <w:rFonts w:hint="eastAsia" w:ascii="宋体" w:hAnsi="宋体" w:eastAsia="宋体" w:cs="宋体"/>
          <w:iCs/>
          <w:color w:val="auto"/>
          <w:szCs w:val="21"/>
          <w:highlight w:val="none"/>
          <w:lang w:val="en-US" w:eastAsia="zh-CN"/>
        </w:rPr>
        <w:t>相关法律、法规要求</w:t>
      </w:r>
      <w:r>
        <w:rPr>
          <w:rFonts w:hint="eastAsia" w:ascii="宋体" w:hAnsi="宋体" w:eastAsia="宋体" w:cs="宋体"/>
          <w:iCs/>
          <w:color w:val="auto"/>
          <w:szCs w:val="21"/>
          <w:highlight w:val="none"/>
        </w:rPr>
        <w:t>，果面干净新鲜，果柄鲜绿，果型完整且形好，个体均匀，结实，有光泽，表面光滑，无疤痕，不干皱，不变色，无压伤，无阴伤，无病虫害</w:t>
      </w:r>
      <w:r>
        <w:rPr>
          <w:rFonts w:hint="eastAsia" w:ascii="宋体" w:hAnsi="宋体" w:eastAsia="宋体" w:cs="宋体"/>
          <w:iCs/>
          <w:color w:val="auto"/>
          <w:szCs w:val="21"/>
          <w:highlight w:val="none"/>
          <w:lang w:eastAsia="zh-CN"/>
        </w:rPr>
        <w:t>；</w:t>
      </w:r>
    </w:p>
    <w:p w14:paraId="2FEF408D">
      <w:pPr>
        <w:pStyle w:val="25"/>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不得供应转基因产品。</w:t>
      </w:r>
    </w:p>
    <w:p w14:paraId="55A1615C">
      <w:pPr>
        <w:pStyle w:val="25"/>
        <w:widowControl/>
        <w:numPr>
          <w:ilvl w:val="0"/>
          <w:numId w:val="1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禽肉类、水产品类供应货品质量要求</w:t>
      </w:r>
    </w:p>
    <w:p w14:paraId="6BCD4CD9">
      <w:pPr>
        <w:pStyle w:val="25"/>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禽肉类全部来源于正规肉联厂，保证为当日新鲜肉，并提供政府检疫部门出示的《检验检疫合格证明》（禽肉类利用率不低于98%）</w:t>
      </w:r>
      <w:r>
        <w:rPr>
          <w:rFonts w:hint="eastAsia" w:ascii="宋体" w:hAnsi="宋体" w:eastAsia="宋体" w:cs="宋体"/>
          <w:iCs/>
          <w:color w:val="auto"/>
          <w:szCs w:val="21"/>
          <w:highlight w:val="none"/>
          <w:lang w:eastAsia="zh-CN"/>
        </w:rPr>
        <w:t>；</w:t>
      </w:r>
    </w:p>
    <w:p w14:paraId="4020E6EF">
      <w:pPr>
        <w:pStyle w:val="25"/>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非冰鲜类必须鲜活，利用率不低于95%；冰鲜类水产品解冻后利用率不低于80%</w:t>
      </w:r>
      <w:r>
        <w:rPr>
          <w:rFonts w:hint="eastAsia" w:ascii="宋体" w:hAnsi="宋体" w:eastAsia="宋体" w:cs="宋体"/>
          <w:iCs/>
          <w:color w:val="auto"/>
          <w:szCs w:val="21"/>
          <w:highlight w:val="none"/>
          <w:lang w:eastAsia="zh-CN"/>
        </w:rPr>
        <w:t>；</w:t>
      </w:r>
    </w:p>
    <w:p w14:paraId="3618690F">
      <w:pPr>
        <w:pStyle w:val="25"/>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鲜鱼鳞片完整，有光泽无脱落，眼球光亮透明，鳃口紧闭，鱼鳃鲜红，鳍尾完整，确保新鲜</w:t>
      </w:r>
      <w:r>
        <w:rPr>
          <w:rFonts w:hint="eastAsia" w:ascii="宋体" w:hAnsi="宋体" w:eastAsia="宋体" w:cs="宋体"/>
          <w:iCs/>
          <w:color w:val="auto"/>
          <w:szCs w:val="21"/>
          <w:highlight w:val="none"/>
          <w:lang w:eastAsia="zh-CN"/>
        </w:rPr>
        <w:t>；</w:t>
      </w:r>
    </w:p>
    <w:p w14:paraId="0AB50225">
      <w:pPr>
        <w:pStyle w:val="25"/>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身体饱满结实，无腐烂，无异味（如泥腥味、电油味等），肉质紧密有弹性，无离骨脱刺现象</w:t>
      </w:r>
      <w:r>
        <w:rPr>
          <w:rFonts w:hint="eastAsia" w:ascii="宋体" w:hAnsi="宋体" w:eastAsia="宋体" w:cs="宋体"/>
          <w:iCs/>
          <w:color w:val="auto"/>
          <w:szCs w:val="21"/>
          <w:highlight w:val="none"/>
          <w:lang w:eastAsia="zh-CN"/>
        </w:rPr>
        <w:t>；</w:t>
      </w:r>
    </w:p>
    <w:p w14:paraId="2E08609C">
      <w:pPr>
        <w:pStyle w:val="25"/>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来源可靠放心，无毒、无害、无污染。</w:t>
      </w:r>
    </w:p>
    <w:p w14:paraId="18DFCFC8">
      <w:pPr>
        <w:pStyle w:val="25"/>
        <w:widowControl/>
        <w:numPr>
          <w:ilvl w:val="0"/>
          <w:numId w:val="1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粮油副食品百货类供应货品质量要求</w:t>
      </w:r>
    </w:p>
    <w:p w14:paraId="1C35D691">
      <w:pPr>
        <w:pStyle w:val="25"/>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需要由正规厂家生产，有相应的质检报告、食品生产许可证号，内外包装完整无变形</w:t>
      </w:r>
      <w:r>
        <w:rPr>
          <w:rFonts w:hint="eastAsia" w:ascii="宋体" w:hAnsi="宋体" w:eastAsia="宋体" w:cs="宋体"/>
          <w:iCs/>
          <w:color w:val="auto"/>
          <w:szCs w:val="21"/>
          <w:highlight w:val="none"/>
          <w:lang w:eastAsia="zh-CN"/>
        </w:rPr>
        <w:t>；</w:t>
      </w:r>
    </w:p>
    <w:p w14:paraId="239AE291">
      <w:pPr>
        <w:pStyle w:val="25"/>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所供应货品需要符合相关质量安全要求，需要通过QS认证的货品必须有QS认证标志</w:t>
      </w:r>
      <w:r>
        <w:rPr>
          <w:rFonts w:hint="eastAsia" w:ascii="宋体" w:hAnsi="宋体" w:eastAsia="宋体" w:cs="宋体"/>
          <w:iCs/>
          <w:color w:val="auto"/>
          <w:szCs w:val="21"/>
          <w:highlight w:val="none"/>
          <w:lang w:eastAsia="zh-CN"/>
        </w:rPr>
        <w:t>；</w:t>
      </w:r>
    </w:p>
    <w:p w14:paraId="0D91979F">
      <w:pPr>
        <w:pStyle w:val="25"/>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颜色品质纯正，不得有掺假、变质、变味等现象出现</w:t>
      </w:r>
      <w:r>
        <w:rPr>
          <w:rFonts w:hint="eastAsia" w:ascii="宋体" w:hAnsi="宋体" w:eastAsia="宋体" w:cs="宋体"/>
          <w:iCs/>
          <w:color w:val="auto"/>
          <w:szCs w:val="21"/>
          <w:highlight w:val="none"/>
          <w:lang w:eastAsia="zh-CN"/>
        </w:rPr>
        <w:t>；</w:t>
      </w:r>
    </w:p>
    <w:p w14:paraId="0CFB910B">
      <w:pPr>
        <w:pStyle w:val="25"/>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iCs/>
          <w:color w:val="auto"/>
          <w:szCs w:val="21"/>
          <w:highlight w:val="none"/>
        </w:rPr>
        <w:t>剩余保质期不得少于70%。</w:t>
      </w:r>
    </w:p>
    <w:p w14:paraId="103B6518">
      <w:pPr>
        <w:pStyle w:val="25"/>
        <w:widowControl/>
        <w:numPr>
          <w:ilvl w:val="0"/>
          <w:numId w:val="1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冻品类供应货品质量要求</w:t>
      </w:r>
    </w:p>
    <w:p w14:paraId="5975F3F1">
      <w:pPr>
        <w:pStyle w:val="25"/>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必须保证供应的货品均为正规生产的检验合格产品，符合国家有关卫生、质量和包装的标准</w:t>
      </w:r>
      <w:r>
        <w:rPr>
          <w:rFonts w:hint="eastAsia" w:ascii="宋体" w:hAnsi="宋体" w:eastAsia="宋体" w:cs="宋体"/>
          <w:iCs/>
          <w:color w:val="auto"/>
          <w:szCs w:val="21"/>
          <w:highlight w:val="none"/>
          <w:lang w:eastAsia="zh-CN"/>
        </w:rPr>
        <w:t>；</w:t>
      </w:r>
    </w:p>
    <w:p w14:paraId="14C391EB">
      <w:pPr>
        <w:pStyle w:val="25"/>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有保质期限的货品，其剩余保质期不得少于标注保质期的70%</w:t>
      </w:r>
      <w:r>
        <w:rPr>
          <w:rFonts w:hint="eastAsia" w:ascii="宋体" w:hAnsi="宋体" w:eastAsia="宋体" w:cs="宋体"/>
          <w:iCs/>
          <w:color w:val="auto"/>
          <w:szCs w:val="21"/>
          <w:highlight w:val="none"/>
          <w:lang w:eastAsia="zh-CN"/>
        </w:rPr>
        <w:t>；</w:t>
      </w:r>
    </w:p>
    <w:p w14:paraId="4E59E2DC">
      <w:pPr>
        <w:pStyle w:val="25"/>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有包装的货品，包装必须完整洁净，清晰列明品牌、规格、生产日期、净重、含冰率等相关参数。如果是散装货品，则须声明含冰率，其中，禽畜类货品含冰率应不高于8%，冰鲜鱼含冰率应不高于10%，其他水产类货品含冰率应不高于20%。个别特殊货品，应由中标人与采购人约定含冰率后再供货</w:t>
      </w:r>
      <w:r>
        <w:rPr>
          <w:rFonts w:hint="eastAsia" w:ascii="宋体" w:hAnsi="宋体" w:eastAsia="宋体" w:cs="宋体"/>
          <w:iCs/>
          <w:color w:val="auto"/>
          <w:szCs w:val="21"/>
          <w:highlight w:val="none"/>
          <w:lang w:eastAsia="zh-CN"/>
        </w:rPr>
        <w:t>；</w:t>
      </w:r>
    </w:p>
    <w:p w14:paraId="2FC704FD">
      <w:pPr>
        <w:pStyle w:val="25"/>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单冻货品应没有或只有少量冰屑，个体间无粘连；块冻货品内部个体应分布均匀</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rPr>
        <w:t>不能有解冻后重新冷冻的现象</w:t>
      </w:r>
      <w:r>
        <w:rPr>
          <w:rFonts w:hint="eastAsia" w:ascii="宋体" w:hAnsi="宋体" w:eastAsia="宋体" w:cs="宋体"/>
          <w:iCs/>
          <w:color w:val="auto"/>
          <w:szCs w:val="21"/>
          <w:highlight w:val="none"/>
          <w:lang w:eastAsia="zh-CN"/>
        </w:rPr>
        <w:t>；</w:t>
      </w:r>
    </w:p>
    <w:p w14:paraId="5C7513F6">
      <w:pPr>
        <w:pStyle w:val="25"/>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冻畜类应色泽均匀，肉边齐整，无血污、碎肉、碎骨，无风干现象，解冻后有肉的正常色泽和味道。冻禽类应外观滋润，无残羽、血污、伤斑，无风干现象，解冻后特征与鲜禽相同。冰鲜鱼应眼球饱满突出、透明清亮，鱼鳃鲜红无异味，鱼皮完整，鳞片有光泽且与鱼体贴附紧密，鱼体有正常的清洁透明粘液，肉质坚实有弹性，骨肉不分离。</w:t>
      </w:r>
    </w:p>
    <w:p w14:paraId="07BB8920">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货品配送要求</w:t>
      </w:r>
    </w:p>
    <w:p w14:paraId="2B84EC08">
      <w:pPr>
        <w:pStyle w:val="25"/>
        <w:widowControl/>
        <w:numPr>
          <w:ilvl w:val="0"/>
          <w:numId w:val="20"/>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必须采用符合卫生要求的运载工具，要保持清洁和定期消毒。运输车厢的内仓应为抗腐蚀、防潮，防虫、防鼠的设计，车厢内无不良气味、异味。送货车辆应保持清洁，堆放科学合理，避免造成食材的交叉污染；如对温度有要求的应确定食材的温度，记录送货车辆温度，并记录存档</w:t>
      </w:r>
      <w:r>
        <w:rPr>
          <w:rFonts w:hint="eastAsia" w:ascii="宋体" w:hAnsi="宋体" w:eastAsia="宋体" w:cs="宋体"/>
          <w:color w:val="auto"/>
          <w:szCs w:val="21"/>
          <w:highlight w:val="none"/>
          <w:lang w:eastAsia="zh-CN"/>
        </w:rPr>
        <w:t>；</w:t>
      </w:r>
    </w:p>
    <w:p w14:paraId="4663270F">
      <w:pPr>
        <w:pStyle w:val="25"/>
        <w:widowControl/>
        <w:numPr>
          <w:ilvl w:val="0"/>
          <w:numId w:val="20"/>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容器要求清洁、干燥、牢固、透气，无污染、无异味、无霉变现象</w:t>
      </w:r>
      <w:r>
        <w:rPr>
          <w:rFonts w:hint="eastAsia" w:ascii="宋体" w:hAnsi="宋体" w:eastAsia="宋体" w:cs="宋体"/>
          <w:color w:val="auto"/>
          <w:szCs w:val="21"/>
          <w:highlight w:val="none"/>
          <w:lang w:eastAsia="zh-CN"/>
        </w:rPr>
        <w:t>；</w:t>
      </w:r>
    </w:p>
    <w:p w14:paraId="5357BCF8">
      <w:pPr>
        <w:pStyle w:val="25"/>
        <w:widowControl/>
        <w:numPr>
          <w:ilvl w:val="0"/>
          <w:numId w:val="20"/>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冰鲜类水产品必须用专用冷藏、冷冻载具运输，保证运输过程冷链不中断，到达目的地时外包装箱干爽，无软化现象</w:t>
      </w:r>
      <w:r>
        <w:rPr>
          <w:rFonts w:hint="eastAsia" w:ascii="宋体" w:hAnsi="宋体" w:eastAsia="宋体" w:cs="宋体"/>
          <w:color w:val="auto"/>
          <w:szCs w:val="21"/>
          <w:highlight w:val="none"/>
          <w:lang w:eastAsia="zh-CN"/>
        </w:rPr>
        <w:t>；</w:t>
      </w:r>
    </w:p>
    <w:p w14:paraId="15C05225">
      <w:pPr>
        <w:pStyle w:val="25"/>
        <w:widowControl/>
        <w:numPr>
          <w:ilvl w:val="0"/>
          <w:numId w:val="20"/>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蔬菜、水果、蛋类应小心轻卸，严防机械损伤</w:t>
      </w:r>
      <w:r>
        <w:rPr>
          <w:rFonts w:hint="eastAsia" w:ascii="宋体" w:hAnsi="宋体" w:eastAsia="宋体" w:cs="宋体"/>
          <w:color w:val="auto"/>
          <w:szCs w:val="21"/>
          <w:highlight w:val="none"/>
          <w:lang w:eastAsia="zh-CN"/>
        </w:rPr>
        <w:t>；</w:t>
      </w:r>
    </w:p>
    <w:p w14:paraId="23549FD3">
      <w:pPr>
        <w:pStyle w:val="25"/>
        <w:widowControl/>
        <w:numPr>
          <w:ilvl w:val="0"/>
          <w:numId w:val="20"/>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要</w:t>
      </w:r>
      <w:r>
        <w:rPr>
          <w:rFonts w:hint="eastAsia" w:ascii="宋体" w:hAnsi="宋体" w:eastAsia="宋体" w:cs="宋体"/>
          <w:color w:val="auto"/>
          <w:szCs w:val="21"/>
          <w:highlight w:val="none"/>
          <w:lang w:val="en-US" w:eastAsia="zh-CN"/>
        </w:rPr>
        <w:t>无偿</w:t>
      </w:r>
      <w:r>
        <w:rPr>
          <w:rFonts w:hint="eastAsia" w:ascii="宋体" w:hAnsi="宋体" w:eastAsia="宋体" w:cs="宋体"/>
          <w:color w:val="auto"/>
          <w:szCs w:val="21"/>
          <w:highlight w:val="none"/>
        </w:rPr>
        <w:t>提供运送及卸货服务</w:t>
      </w:r>
      <w:r>
        <w:rPr>
          <w:rFonts w:hint="eastAsia" w:ascii="宋体" w:hAnsi="宋体" w:eastAsia="宋体" w:cs="宋体"/>
          <w:color w:val="auto"/>
          <w:szCs w:val="21"/>
          <w:highlight w:val="none"/>
          <w:lang w:eastAsia="zh-CN"/>
        </w:rPr>
        <w:t>；</w:t>
      </w:r>
    </w:p>
    <w:p w14:paraId="3C8AB063">
      <w:pPr>
        <w:pStyle w:val="25"/>
        <w:widowControl/>
        <w:numPr>
          <w:ilvl w:val="0"/>
          <w:numId w:val="20"/>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必须按照采购人要求的货品规格、数量、质量配送，如数量不足的，</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应立即补足；如有10%以下（含10%）货品规格、质量不符合要求的，</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应对不符合要求的货品进行更换；如有10%以上的货品规格、质量不符合要求的，由采购人选择整批退货或要求</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按时整批更换</w:t>
      </w:r>
      <w:r>
        <w:rPr>
          <w:rFonts w:hint="eastAsia" w:ascii="宋体" w:hAnsi="宋体" w:eastAsia="宋体" w:cs="宋体"/>
          <w:color w:val="auto"/>
          <w:szCs w:val="21"/>
          <w:highlight w:val="none"/>
          <w:lang w:eastAsia="zh-CN"/>
        </w:rPr>
        <w:t>。</w:t>
      </w:r>
    </w:p>
    <w:p w14:paraId="66CA763F">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货品质量安全问题处理要求</w:t>
      </w:r>
    </w:p>
    <w:p w14:paraId="3BC708D2">
      <w:pPr>
        <w:pStyle w:val="25"/>
        <w:widowControl/>
        <w:numPr>
          <w:ilvl w:val="0"/>
          <w:numId w:val="21"/>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对危及人体健康的食品质量问题采取零容忍措施，一经发现，当日所送同批次货品全部退货，并由</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承担相关责任</w:t>
      </w:r>
      <w:r>
        <w:rPr>
          <w:rFonts w:hint="eastAsia" w:ascii="宋体" w:hAnsi="宋体" w:eastAsia="宋体" w:cs="宋体"/>
          <w:color w:val="auto"/>
          <w:szCs w:val="21"/>
          <w:highlight w:val="none"/>
          <w:lang w:eastAsia="zh-CN"/>
        </w:rPr>
        <w:t>；</w:t>
      </w:r>
    </w:p>
    <w:p w14:paraId="5EBB6D93">
      <w:pPr>
        <w:pStyle w:val="25"/>
        <w:widowControl/>
        <w:numPr>
          <w:ilvl w:val="0"/>
          <w:numId w:val="21"/>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验收时凡属于规格、质量等问题的货品，</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必须按照采购人要求包退包换，退补货品需在60分钟内补给，不能影响采购人正常供餐</w:t>
      </w:r>
      <w:r>
        <w:rPr>
          <w:rFonts w:hint="eastAsia" w:ascii="宋体" w:hAnsi="宋体" w:eastAsia="宋体" w:cs="宋体"/>
          <w:color w:val="auto"/>
          <w:szCs w:val="21"/>
          <w:highlight w:val="none"/>
          <w:lang w:eastAsia="zh-CN"/>
        </w:rPr>
        <w:t>；</w:t>
      </w:r>
    </w:p>
    <w:p w14:paraId="30314837">
      <w:pPr>
        <w:pStyle w:val="25"/>
        <w:widowControl/>
        <w:numPr>
          <w:ilvl w:val="0"/>
          <w:numId w:val="21"/>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若验收时未发现问题，而在加工食用前发现部分货品质量有问题，采购人立即通知</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，将问题货品作退换货处理，并由</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承担相关责任</w:t>
      </w:r>
      <w:r>
        <w:rPr>
          <w:rFonts w:hint="eastAsia" w:ascii="宋体" w:hAnsi="宋体" w:eastAsia="宋体" w:cs="宋体"/>
          <w:color w:val="auto"/>
          <w:szCs w:val="21"/>
          <w:highlight w:val="none"/>
          <w:lang w:eastAsia="zh-CN"/>
        </w:rPr>
        <w:t>；</w:t>
      </w:r>
    </w:p>
    <w:p w14:paraId="0ED91243">
      <w:pPr>
        <w:pStyle w:val="25"/>
        <w:widowControl/>
        <w:numPr>
          <w:ilvl w:val="0"/>
          <w:numId w:val="21"/>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供应货品质量问题造成食品安全事故的，经有关部门鉴定后，</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需要负担全数的医药费及赔偿费等费用，采购人将取消该</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的供货资格、单方解除合同，</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同时承担相应的法律责任</w:t>
      </w:r>
      <w:r>
        <w:rPr>
          <w:rFonts w:hint="eastAsia" w:ascii="宋体" w:hAnsi="宋体" w:eastAsia="宋体" w:cs="宋体"/>
          <w:color w:val="auto"/>
          <w:szCs w:val="21"/>
          <w:highlight w:val="none"/>
          <w:lang w:eastAsia="zh-CN"/>
        </w:rPr>
        <w:t>；</w:t>
      </w:r>
    </w:p>
    <w:p w14:paraId="5A6231B4">
      <w:pPr>
        <w:pStyle w:val="25"/>
        <w:widowControl/>
        <w:numPr>
          <w:ilvl w:val="0"/>
          <w:numId w:val="21"/>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中标人需根据以上货品质量安全问题提供的完善的售后服务承诺，包括但不限于专线售后服务管理方案，专人服务，专人跟踪、服务时间安排、其它服务承诺等。</w:t>
      </w:r>
    </w:p>
    <w:p w14:paraId="44BE5111">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质量</w:t>
      </w:r>
      <w:r>
        <w:rPr>
          <w:rFonts w:hint="eastAsia" w:ascii="宋体" w:hAnsi="宋体" w:eastAsia="宋体" w:cs="宋体"/>
          <w:iCs/>
          <w:color w:val="auto"/>
          <w:szCs w:val="21"/>
          <w:highlight w:val="none"/>
        </w:rPr>
        <w:t>要求</w:t>
      </w:r>
    </w:p>
    <w:p w14:paraId="34195860">
      <w:pPr>
        <w:pStyle w:val="25"/>
        <w:widowControl/>
        <w:numPr>
          <w:ilvl w:val="0"/>
          <w:numId w:val="2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应充分理解并认真遵循本</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rPr>
        <w:t>文件的要求，所提供的货物必须是满足</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rPr>
        <w:t>文件要求。保证供应的货品均为正规生产的新鲜（冰鲜除外）、检验合格、无毒、无辐射、无侵权货品，符合国家有关卫生、质量、包装和保质标准，有使用有效期的货品，其剩余有效期不得少于标注有效期的70%</w:t>
      </w:r>
      <w:r>
        <w:rPr>
          <w:rFonts w:hint="eastAsia" w:ascii="宋体" w:hAnsi="宋体" w:eastAsia="宋体" w:cs="宋体"/>
          <w:color w:val="auto"/>
          <w:szCs w:val="21"/>
          <w:highlight w:val="none"/>
          <w:lang w:eastAsia="zh-CN"/>
        </w:rPr>
        <w:t>；</w:t>
      </w:r>
    </w:p>
    <w:p w14:paraId="73D42918">
      <w:pPr>
        <w:pStyle w:val="25"/>
        <w:widowControl/>
        <w:numPr>
          <w:ilvl w:val="0"/>
          <w:numId w:val="2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保证所提供的水产品和蔬菜种类的多样性和季节性，以保证新鲜感</w:t>
      </w:r>
      <w:r>
        <w:rPr>
          <w:rFonts w:hint="eastAsia" w:ascii="宋体" w:hAnsi="宋体" w:eastAsia="宋体" w:cs="宋体"/>
          <w:color w:val="auto"/>
          <w:szCs w:val="21"/>
          <w:highlight w:val="none"/>
          <w:lang w:eastAsia="zh-CN"/>
        </w:rPr>
        <w:t>；</w:t>
      </w:r>
    </w:p>
    <w:p w14:paraId="0B095546">
      <w:pPr>
        <w:pStyle w:val="25"/>
        <w:widowControl/>
        <w:numPr>
          <w:ilvl w:val="0"/>
          <w:numId w:val="2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货物有包装的，货物的包装必须完整清洁（无损、无污、无皱），采购人有权拒收包装不整齐、已拆封的货品</w:t>
      </w:r>
      <w:r>
        <w:rPr>
          <w:rFonts w:hint="eastAsia" w:ascii="宋体" w:hAnsi="宋体" w:eastAsia="宋体" w:cs="宋体"/>
          <w:color w:val="auto"/>
          <w:szCs w:val="21"/>
          <w:highlight w:val="none"/>
          <w:lang w:eastAsia="zh-CN"/>
        </w:rPr>
        <w:t>；</w:t>
      </w:r>
    </w:p>
    <w:p w14:paraId="500747B8">
      <w:pPr>
        <w:pStyle w:val="25"/>
        <w:widowControl/>
        <w:numPr>
          <w:ilvl w:val="0"/>
          <w:numId w:val="2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货品质量或包装不符合采购人要求的，</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必须无条件退货或更换</w:t>
      </w:r>
      <w:r>
        <w:rPr>
          <w:rFonts w:hint="eastAsia" w:ascii="宋体" w:hAnsi="宋体" w:eastAsia="宋体" w:cs="宋体"/>
          <w:color w:val="auto"/>
          <w:szCs w:val="21"/>
          <w:highlight w:val="none"/>
          <w:lang w:eastAsia="zh-CN"/>
        </w:rPr>
        <w:t>。</w:t>
      </w:r>
    </w:p>
    <w:p w14:paraId="6D6BA271">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配送服务要求</w:t>
      </w:r>
    </w:p>
    <w:p w14:paraId="143D4012">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一般供货要求：采购人根据实际需要，于当日晚上</w:t>
      </w:r>
      <w:r>
        <w:rPr>
          <w:rFonts w:hint="eastAsia" w:ascii="宋体" w:hAnsi="宋体" w:eastAsia="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Hans"/>
        </w:rPr>
        <w:t>：00之前列出一份次日要采购的食材物品，以电话、电子邮件等方式向</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下订单。</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在收到订单后，最迟于次日早上</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Hans"/>
        </w:rPr>
        <w:t>：</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lang w:val="en-US" w:eastAsia="zh-Hans"/>
        </w:rPr>
        <w:t>0前提供当次现场供货</w:t>
      </w:r>
      <w:r>
        <w:rPr>
          <w:rFonts w:hint="eastAsia" w:ascii="宋体" w:hAnsi="宋体" w:eastAsia="宋体" w:cs="宋体"/>
          <w:color w:val="auto"/>
          <w:sz w:val="21"/>
          <w:szCs w:val="21"/>
          <w:highlight w:val="none"/>
          <w:lang w:eastAsia="zh-CN"/>
        </w:rPr>
        <w:t>；</w:t>
      </w:r>
    </w:p>
    <w:p w14:paraId="054CA8AE">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紧急配送要求</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Hans"/>
        </w:rPr>
        <w:t>在收到采购人发出的紧急供货通知后，</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须在</w:t>
      </w:r>
      <w:r>
        <w:rPr>
          <w:rFonts w:hint="eastAsia" w:ascii="宋体" w:hAnsi="宋体" w:eastAsia="宋体" w:cs="宋体"/>
          <w:color w:val="auto"/>
          <w:sz w:val="21"/>
          <w:szCs w:val="21"/>
          <w:highlight w:val="none"/>
          <w:lang w:val="en-US" w:eastAsia="zh-CN"/>
        </w:rPr>
        <w:t>60分钟内完成</w:t>
      </w:r>
      <w:r>
        <w:rPr>
          <w:rFonts w:hint="eastAsia" w:ascii="宋体" w:hAnsi="宋体" w:eastAsia="宋体" w:cs="宋体"/>
          <w:color w:val="auto"/>
          <w:sz w:val="21"/>
          <w:szCs w:val="21"/>
          <w:highlight w:val="none"/>
          <w:lang w:val="en-US" w:eastAsia="zh-Hans"/>
        </w:rPr>
        <w:t>当次现场供货</w:t>
      </w:r>
      <w:r>
        <w:rPr>
          <w:rFonts w:hint="eastAsia" w:ascii="宋体" w:hAnsi="宋体" w:eastAsia="宋体" w:cs="宋体"/>
          <w:color w:val="auto"/>
          <w:sz w:val="21"/>
          <w:szCs w:val="21"/>
          <w:highlight w:val="none"/>
          <w:lang w:eastAsia="zh-CN"/>
        </w:rPr>
        <w:t>；</w:t>
      </w:r>
    </w:p>
    <w:p w14:paraId="73EE3F7D">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必须按照采购人要求的时间、数量品种、品质要求及协定的价格准时送货，经验收合格后签字确认，不能以任何理由推托，一旦影响到采购人饭堂的正常运转，</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应承担相应的经济赔偿</w:t>
      </w:r>
      <w:r>
        <w:rPr>
          <w:rFonts w:hint="eastAsia" w:ascii="宋体" w:hAnsi="宋体" w:eastAsia="宋体" w:cs="宋体"/>
          <w:color w:val="auto"/>
          <w:sz w:val="21"/>
          <w:szCs w:val="21"/>
          <w:highlight w:val="none"/>
          <w:lang w:eastAsia="zh-CN"/>
        </w:rPr>
        <w:t>；</w:t>
      </w:r>
    </w:p>
    <w:p w14:paraId="54F4B382">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必须在双方约定的时间内将货物送到采购人指定的地点，运输费用由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承担，如出现不合格、损坏的情况，由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负责及时调换。除发生客观不可抗力的情况外，</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不得推迟送货。如确需延迟送货的，</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应在得知情况的同时告知采购人并征得采购人书面同意，由于</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延迟造成采购人利益受损的，采购人有权要求</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赔偿</w:t>
      </w:r>
      <w:r>
        <w:rPr>
          <w:rFonts w:hint="eastAsia" w:ascii="宋体" w:hAnsi="宋体" w:eastAsia="宋体" w:cs="宋体"/>
          <w:color w:val="auto"/>
          <w:sz w:val="21"/>
          <w:szCs w:val="21"/>
          <w:highlight w:val="none"/>
          <w:lang w:val="en-US" w:eastAsia="zh-CN"/>
        </w:rPr>
        <w:t>；</w:t>
      </w:r>
    </w:p>
    <w:p w14:paraId="13E55200">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各类食材，一般每天送货1-2次，采购人在前一天确认采购订单。每次订单不论数量多少，</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都需要按采购人要求配送。对于临时性采购订单，</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需要积极配合，按照采购人要求按时、按质、按量将货品配送到指定地点</w:t>
      </w:r>
      <w:r>
        <w:rPr>
          <w:rFonts w:hint="eastAsia" w:ascii="宋体" w:hAnsi="宋体" w:eastAsia="宋体" w:cs="宋体"/>
          <w:color w:val="auto"/>
          <w:sz w:val="21"/>
          <w:szCs w:val="21"/>
          <w:highlight w:val="none"/>
          <w:lang w:val="en-US" w:eastAsia="zh-CN"/>
        </w:rPr>
        <w:t>；</w:t>
      </w:r>
    </w:p>
    <w:p w14:paraId="76A02E60">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负责货品配送前的仓储，采购人不提供仓库</w:t>
      </w:r>
      <w:r>
        <w:rPr>
          <w:rFonts w:hint="eastAsia" w:ascii="宋体" w:hAnsi="宋体" w:eastAsia="宋体" w:cs="宋体"/>
          <w:color w:val="auto"/>
          <w:sz w:val="21"/>
          <w:szCs w:val="21"/>
          <w:highlight w:val="none"/>
          <w:lang w:val="en-US" w:eastAsia="zh-CN"/>
        </w:rPr>
        <w:t>；</w:t>
      </w:r>
    </w:p>
    <w:p w14:paraId="25772782">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Hans"/>
        </w:rPr>
        <w:t>在采购人签收之前，货物的所有权和风险属于</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，货物发生遗失、损坏由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负责</w:t>
      </w:r>
      <w:r>
        <w:rPr>
          <w:rFonts w:hint="eastAsia" w:ascii="宋体" w:hAnsi="宋体" w:eastAsia="宋体" w:cs="宋体"/>
          <w:color w:val="auto"/>
          <w:sz w:val="21"/>
          <w:szCs w:val="21"/>
          <w:highlight w:val="none"/>
          <w:lang w:val="en-US" w:eastAsia="zh-CN"/>
        </w:rPr>
        <w:t>；</w:t>
      </w:r>
    </w:p>
    <w:p w14:paraId="24FFF163">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需要严格按照采购人的订单配送货品，不得随意增减数量或改变品种。如因市场流通问题确实需要变更供货内容的，</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应在得知情况的同时征得采购人同意后方可变更，否则，采购人有权拒收，由此产生的一切损失和费用由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承担</w:t>
      </w:r>
      <w:r>
        <w:rPr>
          <w:rFonts w:hint="eastAsia" w:ascii="宋体" w:hAnsi="宋体" w:eastAsia="宋体" w:cs="宋体"/>
          <w:color w:val="auto"/>
          <w:sz w:val="21"/>
          <w:szCs w:val="21"/>
          <w:highlight w:val="none"/>
          <w:lang w:val="en-US" w:eastAsia="zh-CN"/>
        </w:rPr>
        <w:t>；</w:t>
      </w:r>
    </w:p>
    <w:p w14:paraId="5F872A8F">
      <w:pPr>
        <w:pStyle w:val="25"/>
        <w:widowControl/>
        <w:numPr>
          <w:ilvl w:val="0"/>
          <w:numId w:val="2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不能按核定的供货价交付的某些货品、不能提供与其承诺相符的服务或</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存在违反合同的行为，并且在采购人要求的期限内不予纠正的，将取消其配送资格，</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不得有异议，并协助提供一家</w:t>
      </w:r>
      <w:r>
        <w:rPr>
          <w:rFonts w:hint="eastAsia" w:ascii="宋体" w:hAnsi="宋体" w:eastAsia="宋体" w:cs="宋体"/>
          <w:color w:val="auto"/>
          <w:sz w:val="21"/>
          <w:szCs w:val="21"/>
          <w:highlight w:val="none"/>
          <w:lang w:val="en-US" w:eastAsia="zh-CN"/>
        </w:rPr>
        <w:t>符合</w:t>
      </w:r>
      <w:r>
        <w:rPr>
          <w:rFonts w:hint="eastAsia" w:ascii="宋体" w:hAnsi="宋体" w:eastAsia="宋体" w:cs="宋体"/>
          <w:color w:val="auto"/>
          <w:sz w:val="21"/>
          <w:szCs w:val="21"/>
          <w:highlight w:val="none"/>
          <w:lang w:val="en-US" w:eastAsia="zh-Hans"/>
        </w:rPr>
        <w:t>资质的食材供货商作临时补给，并确保食材按采购人要求及时供应到位。此项下违约行为包括但不限于下列各项：</w:t>
      </w:r>
    </w:p>
    <w:p w14:paraId="42D8C017">
      <w:pPr>
        <w:pStyle w:val="25"/>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在收到采购人订货要求后，在承诺的供货时间内不能供货的</w:t>
      </w:r>
      <w:r>
        <w:rPr>
          <w:rFonts w:hint="eastAsia" w:ascii="宋体" w:hAnsi="宋体" w:eastAsia="宋体" w:cs="宋体"/>
          <w:iCs/>
          <w:color w:val="auto"/>
          <w:sz w:val="21"/>
          <w:szCs w:val="21"/>
          <w:highlight w:val="none"/>
          <w:lang w:eastAsia="zh-CN"/>
        </w:rPr>
        <w:t>；</w:t>
      </w:r>
    </w:p>
    <w:p w14:paraId="0C77838F">
      <w:pPr>
        <w:pStyle w:val="25"/>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未能提供承诺的服务的</w:t>
      </w:r>
      <w:r>
        <w:rPr>
          <w:rFonts w:hint="eastAsia" w:ascii="宋体" w:hAnsi="宋体" w:eastAsia="宋体" w:cs="宋体"/>
          <w:iCs/>
          <w:color w:val="auto"/>
          <w:sz w:val="21"/>
          <w:szCs w:val="21"/>
          <w:highlight w:val="none"/>
          <w:lang w:eastAsia="zh-CN"/>
        </w:rPr>
        <w:t>；</w:t>
      </w:r>
    </w:p>
    <w:p w14:paraId="1D44702F">
      <w:pPr>
        <w:pStyle w:val="25"/>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color w:val="auto"/>
          <w:sz w:val="21"/>
          <w:szCs w:val="21"/>
          <w:highlight w:val="none"/>
          <w:lang w:val="en-US" w:eastAsia="zh-Hans"/>
        </w:rPr>
        <w:t>每月超过三次因数量或质量问题导致退换货品的</w:t>
      </w:r>
      <w:r>
        <w:rPr>
          <w:rFonts w:hint="eastAsia" w:ascii="宋体" w:hAnsi="宋体" w:eastAsia="宋体" w:cs="宋体"/>
          <w:iCs/>
          <w:color w:val="auto"/>
          <w:sz w:val="21"/>
          <w:szCs w:val="21"/>
          <w:highlight w:val="none"/>
          <w:lang w:eastAsia="zh-CN"/>
        </w:rPr>
        <w:t>；</w:t>
      </w:r>
    </w:p>
    <w:p w14:paraId="6BDC1DF9">
      <w:pPr>
        <w:pStyle w:val="25"/>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不能在约定时间内提供合法票据进行结算的</w:t>
      </w:r>
      <w:r>
        <w:rPr>
          <w:rFonts w:hint="eastAsia" w:ascii="宋体" w:hAnsi="宋体" w:eastAsia="宋体" w:cs="宋体"/>
          <w:iCs/>
          <w:color w:val="auto"/>
          <w:sz w:val="21"/>
          <w:szCs w:val="21"/>
          <w:highlight w:val="none"/>
          <w:lang w:eastAsia="zh-CN"/>
        </w:rPr>
        <w:t>；</w:t>
      </w:r>
    </w:p>
    <w:p w14:paraId="2211ADF0">
      <w:pPr>
        <w:pStyle w:val="25"/>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送货专员在采购人单位活动但不遵守采购人单位各项规章制度或做出有损采购人形象和利益的事情的</w:t>
      </w:r>
      <w:r>
        <w:rPr>
          <w:rFonts w:hint="eastAsia" w:ascii="宋体" w:hAnsi="宋体" w:eastAsia="宋体" w:cs="宋体"/>
          <w:color w:val="auto"/>
          <w:sz w:val="21"/>
          <w:szCs w:val="21"/>
          <w:highlight w:val="none"/>
          <w:lang w:val="en-US" w:eastAsia="zh-CN"/>
        </w:rPr>
        <w:t>；</w:t>
      </w:r>
    </w:p>
    <w:p w14:paraId="467DBE13">
      <w:pPr>
        <w:pStyle w:val="25"/>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泄露采购人的秘密的，泄密行为造成采购人损失的，</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Hans"/>
        </w:rPr>
        <w:t>将承担由此产生的一切损失和法律责任</w:t>
      </w:r>
      <w:r>
        <w:rPr>
          <w:rFonts w:hint="eastAsia" w:ascii="宋体" w:hAnsi="宋体" w:eastAsia="宋体" w:cs="宋体"/>
          <w:color w:val="auto"/>
          <w:sz w:val="21"/>
          <w:szCs w:val="21"/>
          <w:highlight w:val="none"/>
          <w:lang w:val="en-US" w:eastAsia="zh-CN"/>
        </w:rPr>
        <w:t>。</w:t>
      </w:r>
    </w:p>
    <w:p w14:paraId="7BADF98A">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应急预案要求</w:t>
      </w:r>
    </w:p>
    <w:p w14:paraId="672FE7D6">
      <w:pPr>
        <w:pStyle w:val="25"/>
        <w:widowControl/>
        <w:numPr>
          <w:ilvl w:val="0"/>
          <w:numId w:val="25"/>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针对食材仓储环节中可能出现的导致食材种类、数量不足的紧急情况（如突发火灾、被水淹没等），应有相应的处置措施</w:t>
      </w:r>
      <w:r>
        <w:rPr>
          <w:rFonts w:hint="eastAsia" w:ascii="宋体" w:hAnsi="宋体" w:eastAsia="宋体" w:cs="宋体"/>
          <w:color w:val="auto"/>
          <w:sz w:val="21"/>
          <w:szCs w:val="21"/>
          <w:highlight w:val="none"/>
          <w:lang w:eastAsia="zh-CN"/>
        </w:rPr>
        <w:t>；</w:t>
      </w:r>
    </w:p>
    <w:p w14:paraId="270D0129">
      <w:pPr>
        <w:pStyle w:val="25"/>
        <w:widowControl/>
        <w:numPr>
          <w:ilvl w:val="0"/>
          <w:numId w:val="25"/>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针对食材流通和使用环节可能会出现的质量问题（如仓储、运具不达标致使食材变得不合格等），应有相应的处置措施</w:t>
      </w:r>
      <w:r>
        <w:rPr>
          <w:rFonts w:hint="eastAsia" w:ascii="宋体" w:hAnsi="宋体" w:eastAsia="宋体" w:cs="宋体"/>
          <w:color w:val="auto"/>
          <w:sz w:val="21"/>
          <w:szCs w:val="21"/>
          <w:highlight w:val="none"/>
          <w:lang w:eastAsia="zh-CN"/>
        </w:rPr>
        <w:t>；</w:t>
      </w:r>
    </w:p>
    <w:p w14:paraId="7ED777ED">
      <w:pPr>
        <w:pStyle w:val="25"/>
        <w:widowControl/>
        <w:numPr>
          <w:ilvl w:val="0"/>
          <w:numId w:val="25"/>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针对台风、暴雨等恶劣天气，应有相应的配送保障措施</w:t>
      </w:r>
      <w:r>
        <w:rPr>
          <w:rFonts w:hint="eastAsia" w:ascii="宋体" w:hAnsi="宋体" w:eastAsia="宋体" w:cs="宋体"/>
          <w:color w:val="auto"/>
          <w:sz w:val="21"/>
          <w:szCs w:val="21"/>
          <w:highlight w:val="none"/>
          <w:lang w:eastAsia="zh-CN"/>
        </w:rPr>
        <w:t>；</w:t>
      </w:r>
    </w:p>
    <w:p w14:paraId="0402A028">
      <w:pPr>
        <w:pStyle w:val="25"/>
        <w:widowControl/>
        <w:numPr>
          <w:ilvl w:val="0"/>
          <w:numId w:val="25"/>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针对配送人员在配送途中突发车辆故障、交通事故等情况，应有相应的人员替换保障措施。</w:t>
      </w:r>
    </w:p>
    <w:p w14:paraId="32F4CB01">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保密条款</w:t>
      </w:r>
    </w:p>
    <w:p w14:paraId="536E001F">
      <w:pPr>
        <w:pStyle w:val="25"/>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在实施货物供货期间，不得将供货的实际数量及供货地点泄露给其他企业或者个人，</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必须指派相对固定的人员完成货物配送服务，并需将配送人员的详细资料报采购人备案，货物配送人员必须遵纪守法、品行良好，无违法犯罪记录。如需要更换配送人员，必须事先通知采购人并将其个人资料送采购人审批，审批合格者才能更换。</w:t>
      </w:r>
    </w:p>
    <w:p w14:paraId="19352A85">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违约及安全事故处理措施</w:t>
      </w:r>
    </w:p>
    <w:p w14:paraId="17A4733B">
      <w:pPr>
        <w:pStyle w:val="25"/>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对服务期间出现下列情况之一的，采购人有权无条件单方面终止合同：</w:t>
      </w:r>
    </w:p>
    <w:p w14:paraId="6695E248">
      <w:pPr>
        <w:pStyle w:val="25"/>
        <w:widowControl/>
        <w:numPr>
          <w:ilvl w:val="0"/>
          <w:numId w:val="26"/>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因配送原材料问题，发生职工人员食物中毒等食材安全责任事故，且造成严重后果的</w:t>
      </w:r>
      <w:r>
        <w:rPr>
          <w:rFonts w:hint="eastAsia" w:ascii="宋体" w:hAnsi="宋体" w:eastAsia="宋体" w:cs="宋体"/>
          <w:color w:val="auto"/>
          <w:sz w:val="21"/>
          <w:szCs w:val="21"/>
          <w:highlight w:val="none"/>
          <w:lang w:eastAsia="zh-CN"/>
        </w:rPr>
        <w:t>；</w:t>
      </w:r>
    </w:p>
    <w:p w14:paraId="2E11206B">
      <w:pPr>
        <w:pStyle w:val="25"/>
        <w:widowControl/>
        <w:numPr>
          <w:ilvl w:val="0"/>
          <w:numId w:val="26"/>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在原材料配送过程中，存在掺杂作假，销售劣质、有害过期或无证食品等违规行为，经采购人规劝，或市场监督管理部门要求整改依然无效的</w:t>
      </w:r>
      <w:r>
        <w:rPr>
          <w:rFonts w:hint="eastAsia" w:ascii="宋体" w:hAnsi="宋体" w:eastAsia="宋体" w:cs="宋体"/>
          <w:color w:val="auto"/>
          <w:sz w:val="21"/>
          <w:szCs w:val="21"/>
          <w:highlight w:val="none"/>
          <w:lang w:eastAsia="zh-CN"/>
        </w:rPr>
        <w:t>；</w:t>
      </w:r>
    </w:p>
    <w:p w14:paraId="7B24B93A">
      <w:pPr>
        <w:pStyle w:val="25"/>
        <w:widowControl/>
        <w:numPr>
          <w:ilvl w:val="0"/>
          <w:numId w:val="26"/>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在经营过程中，存在转包、分包和挂靠经营行为的</w:t>
      </w:r>
      <w:r>
        <w:rPr>
          <w:rFonts w:hint="eastAsia" w:ascii="宋体" w:hAnsi="宋体" w:eastAsia="宋体" w:cs="宋体"/>
          <w:color w:val="auto"/>
          <w:sz w:val="21"/>
          <w:szCs w:val="21"/>
          <w:highlight w:val="none"/>
          <w:lang w:eastAsia="zh-CN"/>
        </w:rPr>
        <w:t>；</w:t>
      </w:r>
    </w:p>
    <w:p w14:paraId="47B05623">
      <w:pPr>
        <w:pStyle w:val="25"/>
        <w:widowControl/>
        <w:numPr>
          <w:ilvl w:val="0"/>
          <w:numId w:val="26"/>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在招投标过程中以弄虚作假等欺诈手段获得准入资格的，或经营情况发生变化已不符合准入条件而又不改变的</w:t>
      </w:r>
      <w:r>
        <w:rPr>
          <w:rFonts w:hint="eastAsia" w:ascii="宋体" w:hAnsi="宋体" w:eastAsia="宋体" w:cs="宋体"/>
          <w:color w:val="auto"/>
          <w:sz w:val="21"/>
          <w:szCs w:val="21"/>
          <w:highlight w:val="none"/>
          <w:lang w:eastAsia="zh-CN"/>
        </w:rPr>
        <w:t>；</w:t>
      </w:r>
    </w:p>
    <w:p w14:paraId="52EEC836">
      <w:pPr>
        <w:pStyle w:val="25"/>
        <w:widowControl/>
        <w:numPr>
          <w:ilvl w:val="0"/>
          <w:numId w:val="26"/>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配送的食材已过保质期或保存期。</w:t>
      </w:r>
    </w:p>
    <w:p w14:paraId="72A7794A">
      <w:pPr>
        <w:pStyle w:val="25"/>
        <w:numPr>
          <w:ilvl w:val="0"/>
          <w:numId w:val="13"/>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考核管理机制</w:t>
      </w:r>
    </w:p>
    <w:p w14:paraId="5F51B0D9">
      <w:pPr>
        <w:pStyle w:val="25"/>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每月安排相关人员对中标人进行食材及服务质量考核跟踪，一个月为一个考核期，根据食品安全第一，品质控制和服务质量并列第二的精神，编制《饭堂食材配送供应商考核评价表》为评分依据。详见下表：</w:t>
      </w:r>
    </w:p>
    <w:tbl>
      <w:tblPr>
        <w:tblStyle w:val="12"/>
        <w:tblW w:w="4996" w:type="pct"/>
        <w:tblInd w:w="0" w:type="dxa"/>
        <w:tblLayout w:type="autofit"/>
        <w:tblCellMar>
          <w:top w:w="0" w:type="dxa"/>
          <w:left w:w="108" w:type="dxa"/>
          <w:bottom w:w="0" w:type="dxa"/>
          <w:right w:w="108" w:type="dxa"/>
        </w:tblCellMar>
      </w:tblPr>
      <w:tblGrid>
        <w:gridCol w:w="702"/>
        <w:gridCol w:w="1230"/>
        <w:gridCol w:w="677"/>
        <w:gridCol w:w="5223"/>
        <w:gridCol w:w="716"/>
        <w:gridCol w:w="725"/>
      </w:tblGrid>
      <w:tr w14:paraId="58D241EB">
        <w:tblPrEx>
          <w:tblCellMar>
            <w:top w:w="0" w:type="dxa"/>
            <w:left w:w="108" w:type="dxa"/>
            <w:bottom w:w="0" w:type="dxa"/>
            <w:right w:w="108" w:type="dxa"/>
          </w:tblCellMar>
        </w:tblPrEx>
        <w:tc>
          <w:tcPr>
            <w:tcW w:w="1407" w:type="pct"/>
            <w:gridSpan w:val="3"/>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AD30C93">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食材供应商名称：</w:t>
            </w:r>
          </w:p>
        </w:tc>
        <w:tc>
          <w:tcPr>
            <w:tcW w:w="3592" w:type="pct"/>
            <w:gridSpan w:val="3"/>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08DD629">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考核</w:t>
            </w:r>
            <w:r>
              <w:rPr>
                <w:rFonts w:hint="eastAsia" w:ascii="宋体" w:hAnsi="宋体" w:eastAsia="宋体" w:cs="宋体"/>
                <w:color w:val="auto"/>
                <w:sz w:val="21"/>
                <w:szCs w:val="21"/>
                <w:highlight w:val="none"/>
              </w:rPr>
              <w:t>月份：   年   月</w:t>
            </w:r>
          </w:p>
        </w:tc>
      </w:tr>
      <w:tr w14:paraId="5334D154">
        <w:tblPrEx>
          <w:tblCellMar>
            <w:top w:w="0" w:type="dxa"/>
            <w:left w:w="108" w:type="dxa"/>
            <w:bottom w:w="0" w:type="dxa"/>
            <w:right w:w="108" w:type="dxa"/>
          </w:tblCellMar>
        </w:tblPrEx>
        <w:tc>
          <w:tcPr>
            <w:tcW w:w="379"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6095A0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CDC0D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食材种类</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DE6E27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79A001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评价依据</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06D00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得分</w:t>
            </w: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99BA4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22188ABA">
        <w:tblPrEx>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8794E6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食材配送情况考核(共</w:t>
            </w:r>
            <w:r>
              <w:rPr>
                <w:rFonts w:hint="eastAsia" w:ascii="宋体" w:hAnsi="宋体" w:eastAsia="宋体" w:cs="宋体"/>
                <w:color w:val="auto"/>
                <w:sz w:val="21"/>
                <w:szCs w:val="21"/>
                <w:highlight w:val="none"/>
                <w:lang w:val="en-US" w:eastAsia="zh-CN"/>
              </w:rPr>
              <w:t>55</w:t>
            </w:r>
            <w:r>
              <w:rPr>
                <w:rFonts w:hint="eastAsia" w:ascii="宋体" w:hAnsi="宋体" w:eastAsia="宋体" w:cs="宋体"/>
                <w:color w:val="auto"/>
                <w:sz w:val="21"/>
                <w:szCs w:val="21"/>
                <w:highlight w:val="none"/>
              </w:rPr>
              <w:t>分)</w:t>
            </w:r>
          </w:p>
        </w:tc>
      </w:tr>
      <w:tr w14:paraId="4A641FA5">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3870E3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40359DD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干货、杂货、副食类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28E595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6D3ED7">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优：外观新鲜、完整，无霉变异味，无虫尸鼠粪等的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78751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6AADB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9ADDF6C">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02F170C0">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B542DA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75DCFD2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95DC45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良：产品外观不够新鲜，极少部分有杂质的，得3分。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2BA57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2E7257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30F1F0E">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68E83C2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47C189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0E86C6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ECFD11E">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差：外观破损不完整，有异味的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92186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42155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9315E3B">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9EB4F2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150D55A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肉类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EA1C1E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61E9C1">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优：无异味、无霉烂，肉色鲜美的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5EDA6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88AC41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04149D3">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593A4ABB">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CA9606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9DFA07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91D930">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良：肉色欠佳的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BECE7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70972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54E7714">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6A88A04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C6EA34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79589D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2F99FC9">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差：肉色暗淡的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59F0EC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9EE43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646ACA2">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FAA91A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6BD61E2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水产品类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44B5B4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A68FA5B">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优：无异味、无霉烂，眼球光亮透明，鱼鳃鲜红，鳍尾完整的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C98E86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6A04B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7A908A1">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5F255045">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4A9732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091F83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6D3573D">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良：眼球不够透亮或鱼鳃暗红或鳍尾不够完整的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5BCCF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CFE51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D7A37EC">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038681A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15368EE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288FBD6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C42CC09">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差：眼球浑浊或鱼鳃变黑或鳍尾残缺的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A3864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FACA60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5C7617F">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7C33CA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605D1E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三鸟类</w:t>
            </w:r>
          </w:p>
          <w:p w14:paraId="23CFD1E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(屠杀好的）</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67EFBA6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FD85FAC">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优：色泽正常、肉质结实、内脏清掏干净的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E8C930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A717D1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4FF27CE">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10FBF79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45DF2C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6BD8F37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902731B">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良：色泽暗淡或肉质松垮或有极少量内脏残留的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70AC48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D3578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4218131">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3BD9B19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457C36C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DBA9C65">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4AA3263">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差：肉质有异味或内脏清掏不够干净的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7CE10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185B80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3C6CE4F">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B89BF5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7C1180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零星冻品副食类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4087554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0A0EEF">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优：冻肉色泽鲜亮、奶制品具备正常滋气味及包装完好的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E8241E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52D0B8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5034C3D">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7068AE7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7B193B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1D8EC10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AA59DA1">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良：冻肉色泽欠佳、冻肉产品中间有过多冰块的或奶制品临近保质期的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42E3EF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7726AD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24EB37E">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7CD4CF2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2B8F5C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BA8D56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009600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差：冻肉有异味、肉色发黑或奶制品有不良口感的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736C3E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2BF3FF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F88BE97">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5072F8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6</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6EC358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蔬菜类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0C8DF12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DE7E88D">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优：新鲜、无异味、无霉烂变质的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1A50C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F221B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47DEEC1">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0864D80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906B07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B827B8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F4C3A88">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良：有少量挤伤、压伤或皱皮的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BFF200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FE5178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89BFA10">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3A97C69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477B8F6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5ED0A8B">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4C9376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差：萎蔫、大的碰伤或切口的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F9B1E7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0D7FE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BB985D4">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EF0AED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1FEBEB8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水果类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F8F2AF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666B177">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优：新鲜、无异味、无霉烂变质的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94A934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F6BBC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C105441">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1D510A8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DDDCBE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79D0540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E26E46C">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良：有少量挤伤、压伤或皱皮的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2C3265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21698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0E223C4">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3BDB881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904E59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1D0F2A9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E90A211">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差：萎蔫、大的碰伤或切口的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D8DC94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B4B43D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84FA219">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9ED9B8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609C004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粮食大米类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2DA963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222168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优：颜米粒色洁白、有光泽的，得5分。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C7B0B0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8300A2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F362C89">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5CC6B2D5">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1351035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83A765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A7CAE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良：米粒颜色无光泽的，得3分。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B5252E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781864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D57A606">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056B084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32058D4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864ECE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377CEC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差：部分颜色异常发黄，有虫害的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1EEB81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AE357B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66CCDC7">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72F867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9</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112BDB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食用油类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0D0729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E4A374">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优：色泽、透明度、气味、滋味、色泽正常，无焦臭、酸败及其它异味的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AB87B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828CE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6BE8632">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236C29D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4212471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23D8B6A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7BA5B83">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良：色泽、透明度、气味和滋味正常、但色泽暗淡，透明度一般的，得3分。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E7B236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16DD2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9A42524">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7E892F4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1AC03E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21D71AC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4ACCDB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差：气味和滋味异常，色泽和透明度差，得0分，并换货。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E5815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AEA723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7281497">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C459FF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C44662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调味品类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50C46E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1D99CD">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优：形态、色泽、气味和滋味正常的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E83704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40B77F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DBE9DC9">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7657A19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99CDAB1">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DBDC26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D028A4F">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良：形态、色泽、气味和滋味欠佳的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649947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7D96C5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861E77C">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59707DD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AC7578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2ED58AC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BFA48B">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差：颜色发黑，有异味的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AC5C76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1D1225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3DB9F43">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1ED1E7F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4B6A2D5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鲜奶酸奶类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0C39DAF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5A41A91">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优：均匀胶体，无粘稠、浓厚、分层现象，无异物杂质的，得5分。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78BB2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880FB4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D9C668C">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tcPr>
          <w:p w14:paraId="13CED697">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tcPr>
          <w:p w14:paraId="5394F7B5">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tcPr>
          <w:p w14:paraId="4A3401EF">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DC9EB48">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良：产品外观不够完整，少部分有破碎的，得3分。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0B3C0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3B625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6F0B168">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tcPr>
          <w:p w14:paraId="11D6C8DA">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tcPr>
          <w:p w14:paraId="45A21586">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tcPr>
          <w:p w14:paraId="287114D9">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EE92B49">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差：出现异味、结块分层的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131704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AE5878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3963B95">
        <w:tblPrEx>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8CA4BA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612D3F0">
        <w:tblPrEx>
          <w:tblCellMar>
            <w:top w:w="0" w:type="dxa"/>
            <w:left w:w="108" w:type="dxa"/>
            <w:bottom w:w="0" w:type="dxa"/>
            <w:right w:w="108" w:type="dxa"/>
          </w:tblCellMar>
        </w:tblPrEx>
        <w:tc>
          <w:tcPr>
            <w:tcW w:w="379"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089BBF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D3A283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供应商服务</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E87377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D20FBF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评价依据</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14F267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得分</w:t>
            </w: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229503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334A2843">
        <w:tblPrEx>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CDC084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供应商服务情况考核(共</w:t>
            </w:r>
            <w:r>
              <w:rPr>
                <w:rFonts w:hint="eastAsia" w:ascii="宋体" w:hAnsi="宋体" w:eastAsia="宋体" w:cs="宋体"/>
                <w:color w:val="auto"/>
                <w:sz w:val="21"/>
                <w:szCs w:val="21"/>
                <w:highlight w:val="none"/>
                <w:lang w:eastAsia="zh-CN"/>
              </w:rPr>
              <w:t>4</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14:paraId="34378815">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E0DDAC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2</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004C81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服务质量</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DD186A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2CD1596">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优：配送及相关人员服务态度好的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7B66B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85B11C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4C9753F">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3DFF6A6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5622730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558E2B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2F9E108">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良：配送及相关人员服务态度一般的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DCD5C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ECBEAE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116D416">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491CC71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1DA3929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F268CF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090BB90">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差：配送及相关人员服务态度差的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A6A31E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2A9D6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5E0F8AA">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DC1D26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3</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6C90721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配送标准</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03E0F2B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4DC0AC6">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优：按规定时间把食材送达的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25A2E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E0F6F6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2B82BF0">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4D38BA2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0EA278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5B8D4C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C8F036E">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良：配送不准时的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CD1701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A7AF2A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4BE8C0D">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0EE4C8C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3CFFF0B0">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7D4C73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78BECAE">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差：未按要求把食材送达指定地点的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得</w:t>
            </w:r>
            <w:r>
              <w:rPr>
                <w:rFonts w:hint="eastAsia" w:ascii="宋体" w:hAnsi="宋体" w:eastAsia="宋体" w:cs="宋体"/>
                <w:color w:val="auto"/>
                <w:sz w:val="21"/>
                <w:szCs w:val="21"/>
                <w:highlight w:val="none"/>
              </w:rPr>
              <w:t>0分。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41044F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3CCF81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EDBF298">
        <w:tblPrEx>
          <w:tblCellMar>
            <w:top w:w="0" w:type="dxa"/>
            <w:left w:w="108" w:type="dxa"/>
            <w:bottom w:w="0" w:type="dxa"/>
            <w:right w:w="108" w:type="dxa"/>
          </w:tblCellMar>
        </w:tblPrEx>
        <w:tc>
          <w:tcPr>
            <w:tcW w:w="379"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C6DE11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4</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6BBB04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需求调整</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0B91D20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D4ACD22">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优：接收临时要求增加配送食材的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8C668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E7B586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404CF27">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716701DB">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5DA4E12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522853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DDC5A2">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良：有时按要求退、换、补食材的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976EE8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542970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31C5EC1">
        <w:tblPrEx>
          <w:tblCellMar>
            <w:top w:w="0" w:type="dxa"/>
            <w:left w:w="108" w:type="dxa"/>
            <w:bottom w:w="0" w:type="dxa"/>
            <w:right w:w="108" w:type="dxa"/>
          </w:tblCellMar>
        </w:tblPrEx>
        <w:tc>
          <w:tcPr>
            <w:tcW w:w="379" w:type="pct"/>
            <w:vMerge w:val="continue"/>
            <w:tcBorders>
              <w:top w:val="nil"/>
              <w:left w:val="single" w:color="000000" w:sz="4" w:space="0"/>
              <w:bottom w:val="single" w:color="000000" w:sz="4" w:space="0"/>
              <w:right w:val="single" w:color="000000" w:sz="4" w:space="0"/>
            </w:tcBorders>
            <w:vAlign w:val="center"/>
          </w:tcPr>
          <w:p w14:paraId="6F7AD130">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3B7DB3A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EB033B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D3F0259">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差：不接受临时要求按时、按质、按量配送食材的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F1A4BD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EF059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FCCCB00">
        <w:tblPrEx>
          <w:tblCellMar>
            <w:top w:w="0" w:type="dxa"/>
            <w:left w:w="108" w:type="dxa"/>
            <w:bottom w:w="0" w:type="dxa"/>
            <w:right w:w="108" w:type="dxa"/>
          </w:tblCellMar>
        </w:tblPrEx>
        <w:tc>
          <w:tcPr>
            <w:tcW w:w="379"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77999C5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5</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A18BA9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食材价格</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765DE1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1760D1">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出现食材价格不按合同供货价或双方协定价格的，</w:t>
            </w:r>
            <w:r>
              <w:rPr>
                <w:rFonts w:hint="eastAsia" w:ascii="宋体" w:hAnsi="宋体" w:eastAsia="宋体" w:cs="宋体"/>
                <w:color w:val="auto"/>
                <w:sz w:val="21"/>
                <w:szCs w:val="21"/>
                <w:highlight w:val="none"/>
                <w:lang w:val="en-US" w:eastAsia="zh-CN"/>
              </w:rPr>
              <w:t>得0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6F6333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4DA85D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47B4B3A">
        <w:tblPrEx>
          <w:tblCellMar>
            <w:top w:w="0" w:type="dxa"/>
            <w:left w:w="108" w:type="dxa"/>
            <w:bottom w:w="0" w:type="dxa"/>
            <w:right w:w="108" w:type="dxa"/>
          </w:tblCellMar>
        </w:tblPrEx>
        <w:tc>
          <w:tcPr>
            <w:tcW w:w="379"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5771EE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6</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B7CF75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食材验收</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85AE89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D09653E">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不配合、不按流程进行食材验收的，</w:t>
            </w:r>
            <w:r>
              <w:rPr>
                <w:rFonts w:hint="eastAsia" w:ascii="宋体" w:hAnsi="宋体" w:eastAsia="宋体" w:cs="宋体"/>
                <w:color w:val="auto"/>
                <w:sz w:val="21"/>
                <w:szCs w:val="21"/>
                <w:highlight w:val="none"/>
                <w:lang w:val="en-US" w:eastAsia="zh-CN"/>
              </w:rPr>
              <w:t>得0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1F3746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9DF38F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3710580">
        <w:tblPrEx>
          <w:tblCellMar>
            <w:top w:w="0" w:type="dxa"/>
            <w:left w:w="108" w:type="dxa"/>
            <w:bottom w:w="0" w:type="dxa"/>
            <w:right w:w="108" w:type="dxa"/>
          </w:tblCellMar>
        </w:tblPrEx>
        <w:tc>
          <w:tcPr>
            <w:tcW w:w="1407" w:type="pct"/>
            <w:gridSpan w:val="3"/>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D65E19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满分（共100分）</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top"/>
          </w:tcPr>
          <w:p w14:paraId="4BED899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合计得分：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06D787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89"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E545A0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FC9164C">
        <w:tblPrEx>
          <w:tblCellMar>
            <w:top w:w="0" w:type="dxa"/>
            <w:left w:w="108" w:type="dxa"/>
            <w:bottom w:w="0" w:type="dxa"/>
            <w:right w:w="108" w:type="dxa"/>
          </w:tblCellMar>
        </w:tblPrEx>
        <w:tc>
          <w:tcPr>
            <w:tcW w:w="1042" w:type="pct"/>
            <w:gridSpan w:val="2"/>
            <w:tcMar>
              <w:top w:w="0" w:type="dxa"/>
              <w:left w:w="105" w:type="dxa"/>
              <w:bottom w:w="0" w:type="dxa"/>
              <w:right w:w="105" w:type="dxa"/>
            </w:tcMar>
            <w:vAlign w:val="top"/>
          </w:tcPr>
          <w:p w14:paraId="7D8771EB">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审核人：                                </w:t>
            </w:r>
          </w:p>
        </w:tc>
        <w:tc>
          <w:tcPr>
            <w:tcW w:w="3181" w:type="pct"/>
            <w:gridSpan w:val="2"/>
            <w:tcMar>
              <w:top w:w="0" w:type="dxa"/>
              <w:left w:w="105" w:type="dxa"/>
              <w:bottom w:w="0" w:type="dxa"/>
              <w:right w:w="105" w:type="dxa"/>
            </w:tcMar>
            <w:vAlign w:val="top"/>
          </w:tcPr>
          <w:p w14:paraId="323FA176">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填表人：                 </w:t>
            </w:r>
          </w:p>
        </w:tc>
        <w:tc>
          <w:tcPr>
            <w:tcW w:w="775" w:type="pct"/>
            <w:gridSpan w:val="2"/>
            <w:tcMar>
              <w:top w:w="0" w:type="dxa"/>
              <w:left w:w="105" w:type="dxa"/>
              <w:bottom w:w="0" w:type="dxa"/>
              <w:right w:w="105" w:type="dxa"/>
            </w:tcMar>
            <w:vAlign w:val="top"/>
          </w:tcPr>
          <w:p w14:paraId="6F10E5C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填报日期：</w:t>
            </w:r>
          </w:p>
        </w:tc>
      </w:tr>
    </w:tbl>
    <w:p w14:paraId="6AC7AD41">
      <w:pPr>
        <w:pStyle w:val="19"/>
        <w:keepNext w:val="0"/>
        <w:keepLines w:val="0"/>
        <w:pageBreakBefore w:val="0"/>
        <w:widowControl/>
        <w:kinsoku/>
        <w:wordWrap/>
        <w:overflowPunct/>
        <w:topLinePunct w:val="0"/>
        <w:autoSpaceDE/>
        <w:autoSpaceDN/>
        <w:bidi w:val="0"/>
        <w:adjustRightInd/>
        <w:snapToGrid w:val="0"/>
        <w:spacing w:before="437" w:beforeLines="100" w:line="360" w:lineRule="auto"/>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注：</w:t>
      </w:r>
    </w:p>
    <w:p w14:paraId="5DFB0896">
      <w:pPr>
        <w:pStyle w:val="25"/>
        <w:widowControl/>
        <w:numPr>
          <w:ilvl w:val="0"/>
          <w:numId w:val="27"/>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当中标人的考核成绩为良【即考核成绩分数在75分（含）~85分（不含）区间】，前两次采购人向中标人下达《整改意见书》，中标人累计出现三次考核成绩良时，采购人有权在当月货款中扣除人民币3000元为罚款；</w:t>
      </w:r>
    </w:p>
    <w:p w14:paraId="2F9ED706">
      <w:pPr>
        <w:pStyle w:val="25"/>
        <w:widowControl/>
        <w:numPr>
          <w:ilvl w:val="0"/>
          <w:numId w:val="27"/>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当中标人的考核成绩为一般【即考核成绩分数65分（含）~75分（不含）区间】，采购人向中标人下达《整改意见书》并在当月货款中扣除人民币5000元为罚款；</w:t>
      </w:r>
    </w:p>
    <w:p w14:paraId="09FE7E47">
      <w:pPr>
        <w:pStyle w:val="25"/>
        <w:widowControl/>
        <w:numPr>
          <w:ilvl w:val="0"/>
          <w:numId w:val="27"/>
        </w:numPr>
        <w:snapToGrid w:val="0"/>
        <w:spacing w:line="360" w:lineRule="auto"/>
        <w:ind w:firstLineChars="0"/>
        <w:contextualSpacing/>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当中标人的考核成绩为差（即考核成绩分数在65分以下）时，采购人向中标人下达《整改意见书》并在当月货款中扣除人民币7000元为罚款；</w:t>
      </w:r>
    </w:p>
    <w:p w14:paraId="6944BC12">
      <w:pPr>
        <w:pStyle w:val="25"/>
        <w:widowControl/>
        <w:numPr>
          <w:ilvl w:val="0"/>
          <w:numId w:val="27"/>
        </w:numPr>
        <w:snapToGrid w:val="0"/>
        <w:spacing w:line="360" w:lineRule="auto"/>
        <w:ind w:firstLineChars="0"/>
        <w:contextualSpacing/>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中标人一年内累计出现三次考核成绩差时，采购人有权无条件单方面终止合同。</w:t>
      </w:r>
    </w:p>
    <w:p w14:paraId="1FF456F9">
      <w:pPr>
        <w:adjustRightInd w:val="0"/>
        <w:spacing w:line="360" w:lineRule="auto"/>
        <w:contextualSpacing/>
        <w:jc w:val="left"/>
        <w:rPr>
          <w:rFonts w:hint="eastAsia" w:ascii="宋体" w:hAnsi="宋体" w:eastAsia="宋体"/>
          <w:szCs w:val="21"/>
        </w:rPr>
      </w:pP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9" w:name="_Toc169799780"/>
      <w:bookmarkStart w:id="10" w:name="_Toc169807542"/>
      <w:r>
        <w:rPr>
          <w:rFonts w:ascii="Calibri" w:hAnsi="Calibri" w:eastAsia="宋体" w:cs="Times New Roman"/>
          <w:b/>
          <w:kern w:val="0"/>
          <w:sz w:val="36"/>
          <w:szCs w:val="20"/>
          <w:lang w:eastAsia="zh-Hans"/>
        </w:rPr>
        <w:t>第三章 投标人须知</w:t>
      </w:r>
      <w:bookmarkEnd w:id="9"/>
      <w:bookmarkEnd w:id="10"/>
    </w:p>
    <w:p w14:paraId="2050E244">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5"/>
        <w:widowControl/>
        <w:numPr>
          <w:ilvl w:val="0"/>
          <w:numId w:val="28"/>
        </w:numPr>
        <w:tabs>
          <w:tab w:val="left" w:pos="426"/>
          <w:tab w:val="left" w:pos="709"/>
          <w:tab w:val="left" w:pos="1418"/>
        </w:tabs>
        <w:ind w:hanging="2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5"/>
        <w:widowControl/>
        <w:numPr>
          <w:ilvl w:val="0"/>
          <w:numId w:val="2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5"/>
        <w:widowControl/>
        <w:numPr>
          <w:ilvl w:val="0"/>
          <w:numId w:val="2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5"/>
        <w:widowControl/>
        <w:numPr>
          <w:ilvl w:val="0"/>
          <w:numId w:val="2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5"/>
        <w:widowControl/>
        <w:numPr>
          <w:ilvl w:val="0"/>
          <w:numId w:val="2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5"/>
        <w:widowControl/>
        <w:numPr>
          <w:ilvl w:val="0"/>
          <w:numId w:val="2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5"/>
        <w:widowControl/>
        <w:numPr>
          <w:ilvl w:val="0"/>
          <w:numId w:val="2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5"/>
        <w:widowControl/>
        <w:numPr>
          <w:ilvl w:val="0"/>
          <w:numId w:val="2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hint="eastAsia" w:ascii="宋体" w:hAnsi="宋体" w:eastAsia="宋体" w:cs="Times New Roman"/>
                <w:kern w:val="0"/>
                <w:szCs w:val="21"/>
              </w:rPr>
            </w:pPr>
            <w:r>
              <w:rPr>
                <w:rFonts w:hint="eastAsia" w:ascii="宋体" w:hAnsi="宋体" w:eastAsia="宋体" w:cs="Times New Roman"/>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hint="eastAsia"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自筹</w:t>
            </w:r>
            <w:r>
              <w:rPr>
                <w:rFonts w:hint="eastAsia" w:ascii="宋体" w:hAnsi="宋体" w:eastAsia="宋体" w:cs="Times New Roman"/>
                <w:color w:val="auto"/>
                <w:kern w:val="0"/>
                <w:szCs w:val="21"/>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3619" w:type="pct"/>
          </w:tcPr>
          <w:p w14:paraId="24CD24CA">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现场踏勘</w:t>
            </w:r>
          </w:p>
        </w:tc>
        <w:tc>
          <w:tcPr>
            <w:tcW w:w="3619" w:type="pct"/>
          </w:tcPr>
          <w:p w14:paraId="03EDA9B2">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投标有效期</w:t>
            </w:r>
          </w:p>
        </w:tc>
        <w:tc>
          <w:tcPr>
            <w:tcW w:w="3619" w:type="pct"/>
          </w:tcPr>
          <w:p w14:paraId="5E78C339">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从提交投标文件的截止之日起90日历天</w:t>
            </w:r>
            <w:r>
              <w:rPr>
                <w:rFonts w:hint="eastAsia" w:ascii="宋体" w:hAnsi="宋体" w:eastAsia="宋体" w:cs="Times New Roman"/>
                <w:color w:val="auto"/>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hint="eastAsia" w:ascii="宋体" w:hAnsi="宋体" w:eastAsia="宋体" w:cs="Times New Roman"/>
                <w:kern w:val="0"/>
                <w:szCs w:val="21"/>
                <w:lang w:eastAsia="zh-CN"/>
              </w:rPr>
            </w:pPr>
            <w:r>
              <w:rPr>
                <w:rFonts w:hint="eastAsia" w:ascii="宋体" w:hAnsi="宋体" w:eastAsia="宋体" w:cs="Times New Roman"/>
                <w:kern w:val="0"/>
                <w:szCs w:val="21"/>
                <w:lang w:val="en-US" w:eastAsia="zh-CN"/>
              </w:rPr>
              <w:t>不收取</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3DE569D8">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722E9ECD">
            <w:pPr>
              <w:widowControl/>
              <w:jc w:val="left"/>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0E437443">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592934D7">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727708AC">
            <w:pPr>
              <w:widowControl/>
              <w:jc w:val="left"/>
              <w:rPr>
                <w:rFonts w:hint="eastAsia"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51A53DE">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7C9E2491">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有效供应商家数</w:t>
            </w:r>
          </w:p>
        </w:tc>
        <w:tc>
          <w:tcPr>
            <w:tcW w:w="3619" w:type="pct"/>
            <w:vAlign w:val="center"/>
          </w:tcPr>
          <w:p w14:paraId="29A83F12">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3家</w:t>
            </w:r>
          </w:p>
          <w:p w14:paraId="36886E4B">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中标供应商确定方式</w:t>
            </w:r>
          </w:p>
        </w:tc>
        <w:tc>
          <w:tcPr>
            <w:tcW w:w="3619" w:type="pct"/>
            <w:vAlign w:val="center"/>
          </w:tcPr>
          <w:p w14:paraId="30BE4449">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代理服务费</w:t>
            </w:r>
          </w:p>
        </w:tc>
        <w:tc>
          <w:tcPr>
            <w:tcW w:w="3619" w:type="pct"/>
            <w:vAlign w:val="center"/>
          </w:tcPr>
          <w:p w14:paraId="39992AB2">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收取。采购机构代理服务收费标准：以中标金额作为采购代理服务费的计算基数，采用差额定率累进法计算，具体计算费率按规定标准“</w:t>
            </w:r>
            <w:r>
              <w:rPr>
                <w:rFonts w:hint="eastAsia" w:ascii="宋体" w:hAnsi="宋体" w:eastAsia="宋体" w:cs="Times New Roman"/>
                <w:color w:val="auto"/>
                <w:kern w:val="0"/>
                <w:szCs w:val="21"/>
                <w:lang w:val="en-US" w:eastAsia="zh-CN"/>
              </w:rPr>
              <w:t>服务类</w:t>
            </w:r>
            <w:r>
              <w:rPr>
                <w:rFonts w:hint="eastAsia" w:ascii="宋体" w:hAnsi="宋体" w:eastAsia="宋体" w:cs="Times New Roman"/>
                <w:color w:val="auto"/>
                <w:kern w:val="0"/>
                <w:szCs w:val="21"/>
                <w:lang w:eastAsia="zh-Hans"/>
              </w:rPr>
              <w:t>”收取代理服务费。100万元以下1.5%；100～500万元1.1%；500～1000万元0.8%；1000～5000万元0.5%；5000万元～1亿元0.25%；1～5亿元0.05%；5～10亿元0.035%；10～50亿元0.008%；50～100亿元0.006%；100亿以上0.004%。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代理服务费收取方式</w:t>
            </w:r>
          </w:p>
        </w:tc>
        <w:tc>
          <w:tcPr>
            <w:tcW w:w="3619" w:type="pct"/>
            <w:vAlign w:val="center"/>
          </w:tcPr>
          <w:p w14:paraId="5C9EABB9">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hint="eastAsia" w:ascii="宋体" w:hAnsi="宋体" w:eastAsia="宋体" w:cs="Times New Roman"/>
                <w:color w:val="auto"/>
                <w:kern w:val="0"/>
                <w:szCs w:val="21"/>
                <w:lang w:eastAsia="zh-CN"/>
              </w:rPr>
            </w:pPr>
            <w:r>
              <w:rPr>
                <w:rFonts w:hint="eastAsia" w:ascii="宋体" w:hAnsi="宋体" w:eastAsia="宋体"/>
                <w:color w:val="auto"/>
                <w:szCs w:val="21"/>
                <w:lang w:val="en-US" w:eastAsia="zh-CN"/>
              </w:rPr>
              <w:t>不收取</w:t>
            </w:r>
          </w:p>
        </w:tc>
      </w:tr>
      <w:bookmarkEnd w:id="11"/>
    </w:tbl>
    <w:p w14:paraId="5685938B">
      <w:pPr>
        <w:pStyle w:val="25"/>
        <w:keepLines/>
        <w:numPr>
          <w:ilvl w:val="0"/>
          <w:numId w:val="2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采购人、采购代理机构及投标人进行的本</w:t>
      </w:r>
      <w:r>
        <w:rPr>
          <w:rFonts w:ascii="宋体" w:hAnsi="宋体" w:eastAsia="宋体" w:cs="Times New Roman"/>
          <w:color w:val="auto"/>
          <w:kern w:val="0"/>
          <w:szCs w:val="21"/>
          <w:lang w:eastAsia="zh-Hans"/>
        </w:rPr>
        <w:t>次采购活动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4A0E9A7F">
      <w:pPr>
        <w:widowControl/>
        <w:ind w:firstLine="48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投标人应仔细阅读本项目招标公告及招标文件的所有内容（包括变更、补充、澄清以及修改等，且均为招标文件的组成部分），按照招标文件要求以及格式编制投</w:t>
      </w:r>
      <w:r>
        <w:rPr>
          <w:rFonts w:ascii="宋体" w:hAnsi="宋体" w:eastAsia="宋体" w:cs="Times New Roman"/>
          <w:kern w:val="0"/>
          <w:szCs w:val="21"/>
          <w:lang w:eastAsia="zh-Hans"/>
        </w:rPr>
        <w:t>标文件，并保证其真实性，否则一切后果自负。</w:t>
      </w:r>
    </w:p>
    <w:p w14:paraId="2D49CE35">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r>
        <w:rPr>
          <w:rFonts w:hint="eastAsia" w:ascii="宋体" w:hAnsi="宋体" w:eastAsia="宋体" w:cs="Times New Roman"/>
          <w:b/>
          <w:kern w:val="0"/>
          <w:szCs w:val="21"/>
          <w:lang w:eastAsia="zh-CN"/>
        </w:rPr>
        <w:t>（</w:t>
      </w:r>
      <w:r>
        <w:rPr>
          <w:rFonts w:hint="eastAsia" w:ascii="宋体" w:hAnsi="宋体" w:eastAsia="宋体" w:cs="Times New Roman"/>
          <w:b/>
          <w:kern w:val="0"/>
          <w:szCs w:val="21"/>
          <w:lang w:val="en-US" w:eastAsia="zh-CN"/>
        </w:rPr>
        <w:t>本项目不适用</w:t>
      </w:r>
      <w:r>
        <w:rPr>
          <w:rFonts w:hint="eastAsia" w:ascii="宋体" w:hAnsi="宋体" w:eastAsia="宋体" w:cs="Times New Roman"/>
          <w:b/>
          <w:kern w:val="0"/>
          <w:szCs w:val="21"/>
          <w:lang w:eastAsia="zh-CN"/>
        </w:rPr>
        <w:t>）</w:t>
      </w:r>
    </w:p>
    <w:p w14:paraId="4F4BC43C">
      <w:pPr>
        <w:pStyle w:val="25"/>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5"/>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5"/>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5"/>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5"/>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5"/>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5"/>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5"/>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5"/>
        <w:widowControl/>
        <w:numPr>
          <w:ilvl w:val="0"/>
          <w:numId w:val="3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5"/>
        <w:widowControl/>
        <w:numPr>
          <w:ilvl w:val="0"/>
          <w:numId w:val="3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5"/>
        <w:widowControl/>
        <w:numPr>
          <w:ilvl w:val="3"/>
          <w:numId w:val="3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5"/>
        <w:widowControl/>
        <w:numPr>
          <w:ilvl w:val="0"/>
          <w:numId w:val="3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5"/>
        <w:widowControl/>
        <w:numPr>
          <w:ilvl w:val="0"/>
          <w:numId w:val="3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5"/>
        <w:widowControl/>
        <w:numPr>
          <w:ilvl w:val="0"/>
          <w:numId w:val="3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5"/>
        <w:widowControl/>
        <w:numPr>
          <w:ilvl w:val="3"/>
          <w:numId w:val="30"/>
        </w:numPr>
        <w:ind w:left="284" w:hanging="284"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5"/>
        <w:widowControl/>
        <w:numPr>
          <w:ilvl w:val="0"/>
          <w:numId w:val="3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5"/>
        <w:widowControl/>
        <w:numPr>
          <w:ilvl w:val="0"/>
          <w:numId w:val="3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5"/>
        <w:widowControl/>
        <w:numPr>
          <w:ilvl w:val="0"/>
          <w:numId w:val="3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5"/>
        <w:widowControl/>
        <w:numPr>
          <w:ilvl w:val="0"/>
          <w:numId w:val="28"/>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5"/>
        <w:widowControl/>
        <w:numPr>
          <w:ilvl w:val="0"/>
          <w:numId w:val="36"/>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5"/>
        <w:widowControl/>
        <w:numPr>
          <w:ilvl w:val="0"/>
          <w:numId w:val="36"/>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5"/>
        <w:widowControl/>
        <w:numPr>
          <w:ilvl w:val="0"/>
          <w:numId w:val="36"/>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5"/>
        <w:widowControl/>
        <w:numPr>
          <w:ilvl w:val="0"/>
          <w:numId w:val="2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5"/>
        <w:widowControl/>
        <w:numPr>
          <w:ilvl w:val="0"/>
          <w:numId w:val="37"/>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5"/>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5"/>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5"/>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5"/>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5"/>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5"/>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5"/>
        <w:widowControl/>
        <w:numPr>
          <w:ilvl w:val="0"/>
          <w:numId w:val="38"/>
        </w:numPr>
        <w:tabs>
          <w:tab w:val="left" w:pos="709"/>
        </w:tabs>
        <w:ind w:left="567" w:hanging="567" w:firstLineChars="0"/>
        <w:jc w:val="left"/>
        <w:rPr>
          <w:rFonts w:hint="eastAsia"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w:t>
      </w:r>
      <w:r>
        <w:rPr>
          <w:rFonts w:hint="eastAsia" w:ascii="宋体" w:hAnsi="宋体" w:eastAsia="宋体" w:cs="Times New Roman"/>
          <w:kern w:val="0"/>
          <w:szCs w:val="21"/>
          <w:lang w:val="en-US" w:eastAsia="zh-CN"/>
        </w:rPr>
        <w:t>及有关部门</w:t>
      </w:r>
      <w:r>
        <w:rPr>
          <w:rFonts w:ascii="宋体" w:hAnsi="宋体" w:eastAsia="宋体" w:cs="Times New Roman"/>
          <w:kern w:val="0"/>
          <w:szCs w:val="21"/>
          <w:lang w:eastAsia="zh-Hans"/>
        </w:rPr>
        <w:t>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有关</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w:t>
      </w:r>
    </w:p>
    <w:p w14:paraId="204880C2">
      <w:pPr>
        <w:pStyle w:val="25"/>
        <w:widowControl/>
        <w:numPr>
          <w:ilvl w:val="0"/>
          <w:numId w:val="37"/>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5"/>
        <w:widowControl/>
        <w:numPr>
          <w:ilvl w:val="0"/>
          <w:numId w:val="39"/>
        </w:numPr>
        <w:ind w:firstLineChars="0"/>
        <w:jc w:val="left"/>
        <w:outlineLvl w:val="3"/>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5"/>
        <w:widowControl/>
        <w:numPr>
          <w:ilvl w:val="0"/>
          <w:numId w:val="39"/>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5"/>
        <w:widowControl/>
        <w:numPr>
          <w:ilvl w:val="0"/>
          <w:numId w:val="40"/>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5"/>
        <w:widowControl/>
        <w:numPr>
          <w:ilvl w:val="0"/>
          <w:numId w:val="40"/>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5"/>
        <w:widowControl/>
        <w:numPr>
          <w:ilvl w:val="0"/>
          <w:numId w:val="39"/>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5"/>
        <w:widowControl/>
        <w:numPr>
          <w:ilvl w:val="0"/>
          <w:numId w:val="37"/>
        </w:numPr>
        <w:ind w:left="284" w:hanging="284" w:firstLineChars="0"/>
        <w:jc w:val="left"/>
        <w:outlineLvl w:val="3"/>
        <w:rPr>
          <w:rFonts w:hint="eastAsia"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5"/>
        <w:numPr>
          <w:ilvl w:val="0"/>
          <w:numId w:val="41"/>
        </w:numPr>
        <w:ind w:firstLineChars="0"/>
        <w:rPr>
          <w:rFonts w:hint="eastAsia" w:ascii="宋体" w:hAnsi="宋体" w:eastAsia="宋体"/>
          <w:b/>
          <w:color w:val="000000" w:themeColor="text1"/>
          <w:szCs w:val="21"/>
          <w14:textFill>
            <w14:solidFill>
              <w14:schemeClr w14:val="tx1"/>
            </w14:solidFill>
          </w14:textFill>
        </w:rPr>
      </w:pPr>
      <w:bookmarkStart w:id="12"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2"/>
    </w:p>
    <w:p w14:paraId="07A59821">
      <w:pPr>
        <w:pStyle w:val="25"/>
        <w:numPr>
          <w:ilvl w:val="0"/>
          <w:numId w:val="42"/>
        </w:numPr>
        <w:tabs>
          <w:tab w:val="left" w:pos="851"/>
        </w:tabs>
        <w:ind w:left="567" w:hanging="567" w:firstLineChars="0"/>
        <w:rPr>
          <w:rFonts w:hint="eastAsia"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hint="eastAsia"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hint="eastAsia"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hint="eastAsia"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hint="eastAsia"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hint="eastAsia" w:ascii="宋体" w:hAnsi="宋体" w:eastAsia="宋体"/>
                <w:szCs w:val="21"/>
              </w:rPr>
            </w:pPr>
            <w:r>
              <w:rPr>
                <w:rFonts w:hint="eastAsia" w:ascii="宋体" w:hAnsi="宋体" w:eastAsia="宋体"/>
                <w:szCs w:val="21"/>
              </w:rPr>
              <w:t>正本、副本一起密封包装</w:t>
            </w:r>
          </w:p>
          <w:p w14:paraId="7A90E36D">
            <w:pPr>
              <w:jc w:val="center"/>
              <w:rPr>
                <w:rFonts w:hint="eastAsia"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szCs w:val="21"/>
              </w:rPr>
            </w:pPr>
            <w:r>
              <w:rPr>
                <w:rFonts w:ascii="宋体" w:hAnsi="宋体" w:eastAsia="宋体"/>
                <w:szCs w:val="21"/>
              </w:rPr>
              <w:t>2</w:t>
            </w:r>
          </w:p>
        </w:tc>
        <w:tc>
          <w:tcPr>
            <w:tcW w:w="1413" w:type="pct"/>
            <w:vAlign w:val="center"/>
          </w:tcPr>
          <w:p w14:paraId="6C498650">
            <w:pPr>
              <w:jc w:val="center"/>
              <w:rPr>
                <w:rFonts w:hint="eastAsia"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hint="eastAsia" w:ascii="宋体" w:hAnsi="宋体" w:eastAsia="宋体"/>
                <w:szCs w:val="21"/>
              </w:rPr>
            </w:pPr>
            <w:r>
              <w:rPr>
                <w:rFonts w:hint="eastAsia" w:ascii="宋体" w:hAnsi="宋体" w:eastAsia="宋体"/>
                <w:szCs w:val="21"/>
              </w:rPr>
              <w:t>单独密封包装</w:t>
            </w:r>
          </w:p>
        </w:tc>
      </w:tr>
    </w:tbl>
    <w:p w14:paraId="2473E1C4">
      <w:pPr>
        <w:pStyle w:val="25"/>
        <w:numPr>
          <w:ilvl w:val="0"/>
          <w:numId w:val="42"/>
        </w:numPr>
        <w:tabs>
          <w:tab w:val="left" w:pos="851"/>
        </w:tabs>
        <w:ind w:left="567" w:hanging="567" w:firstLineChars="0"/>
        <w:rPr>
          <w:rFonts w:hint="eastAsia" w:ascii="宋体" w:hAnsi="宋体" w:eastAsia="宋体"/>
          <w:bCs/>
          <w:szCs w:val="21"/>
        </w:rPr>
      </w:pPr>
      <w:r>
        <w:rPr>
          <w:rFonts w:hint="eastAsia" w:ascii="宋体" w:hAnsi="宋体" w:eastAsia="宋体"/>
          <w:bCs/>
          <w:szCs w:val="21"/>
        </w:rPr>
        <w:t>电子投标文件</w:t>
      </w:r>
      <w:bookmarkStart w:id="13" w:name="_Hlk86740118"/>
      <w:r>
        <w:rPr>
          <w:rFonts w:hint="eastAsia" w:ascii="宋体" w:hAnsi="宋体" w:eastAsia="宋体"/>
          <w:bCs/>
          <w:szCs w:val="21"/>
        </w:rPr>
        <w:t>须同时提交以下文件</w:t>
      </w:r>
      <w:bookmarkEnd w:id="13"/>
      <w:r>
        <w:rPr>
          <w:rFonts w:hint="eastAsia" w:ascii="宋体" w:hAnsi="宋体" w:eastAsia="宋体"/>
          <w:bCs/>
          <w:szCs w:val="21"/>
        </w:rPr>
        <w:t>：</w:t>
      </w:r>
      <w:bookmarkStart w:id="14"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4"/>
      <w:r>
        <w:rPr>
          <w:rFonts w:hint="eastAsia" w:ascii="宋体" w:hAnsi="宋体" w:eastAsia="宋体"/>
          <w:bCs/>
          <w:szCs w:val="21"/>
        </w:rPr>
        <w:t>。</w:t>
      </w:r>
    </w:p>
    <w:p w14:paraId="0CA8DBE5">
      <w:pPr>
        <w:pStyle w:val="25"/>
        <w:numPr>
          <w:ilvl w:val="0"/>
          <w:numId w:val="42"/>
        </w:numPr>
        <w:tabs>
          <w:tab w:val="left" w:pos="851"/>
        </w:tabs>
        <w:ind w:left="567" w:hanging="567" w:firstLineChars="0"/>
        <w:rPr>
          <w:rFonts w:hint="eastAsia" w:ascii="宋体" w:hAnsi="宋体" w:eastAsia="宋体"/>
          <w:bCs/>
          <w:szCs w:val="21"/>
        </w:rPr>
      </w:pPr>
      <w:r>
        <w:rPr>
          <w:rFonts w:hint="eastAsia" w:ascii="宋体" w:hAnsi="宋体" w:eastAsia="宋体"/>
          <w:bCs/>
          <w:szCs w:val="21"/>
        </w:rPr>
        <w:t>为方便开标唱标，投标人应将开标一览表、分项报价表（如适用）、法定代表人身份证明书或法定代表人授权委托书一起密封提交，并在信封上标明“唱标信封”的字样。</w:t>
      </w:r>
    </w:p>
    <w:p w14:paraId="4508A2CD">
      <w:pPr>
        <w:pStyle w:val="25"/>
        <w:widowControl/>
        <w:numPr>
          <w:ilvl w:val="0"/>
          <w:numId w:val="37"/>
        </w:numPr>
        <w:ind w:left="284" w:hanging="284" w:firstLineChars="0"/>
        <w:jc w:val="left"/>
        <w:outlineLvl w:val="3"/>
        <w:rPr>
          <w:rFonts w:hint="eastAsia"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5"/>
        <w:numPr>
          <w:ilvl w:val="0"/>
          <w:numId w:val="43"/>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5"/>
        <w:numPr>
          <w:ilvl w:val="0"/>
          <w:numId w:val="43"/>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5"/>
        <w:numPr>
          <w:ilvl w:val="0"/>
          <w:numId w:val="43"/>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5"/>
        <w:ind w:left="567" w:firstLine="0" w:firstLineChars="0"/>
        <w:rPr>
          <w:rFonts w:hint="eastAsia"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5"/>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5"/>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5"/>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5"/>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5"/>
        <w:widowControl/>
        <w:numPr>
          <w:ilvl w:val="0"/>
          <w:numId w:val="37"/>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5"/>
        <w:widowControl/>
        <w:numPr>
          <w:ilvl w:val="0"/>
          <w:numId w:val="44"/>
        </w:numPr>
        <w:ind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5"/>
        <w:widowControl/>
        <w:numPr>
          <w:ilvl w:val="0"/>
          <w:numId w:val="44"/>
        </w:numPr>
        <w:ind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5"/>
        <w:widowControl/>
        <w:numPr>
          <w:ilvl w:val="0"/>
          <w:numId w:val="44"/>
        </w:numPr>
        <w:ind w:firstLineChars="0"/>
        <w:jc w:val="left"/>
        <w:rPr>
          <w:rFonts w:ascii="Calibri" w:hAnsi="Calibri" w:eastAsia="宋体" w:cs="Times New Roman"/>
          <w:kern w:val="0"/>
          <w:sz w:val="20"/>
          <w:szCs w:val="20"/>
        </w:rPr>
      </w:pPr>
      <w:r>
        <w:rPr>
          <w:rFonts w:ascii="Calibri" w:hAnsi="Calibri" w:eastAsia="宋体" w:cs="Times New Roman"/>
          <w:kern w:val="0"/>
          <w:szCs w:val="21"/>
        </w:rPr>
        <w:t>在提交投标文件截止时间至投标有效期满之前，投标人不得撤回其投标文件。</w:t>
      </w:r>
    </w:p>
    <w:p w14:paraId="5B06180D">
      <w:pPr>
        <w:pStyle w:val="25"/>
        <w:widowControl/>
        <w:numPr>
          <w:ilvl w:val="0"/>
          <w:numId w:val="37"/>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本项目不适用</w:t>
      </w:r>
      <w:r>
        <w:rPr>
          <w:rFonts w:hint="eastAsia" w:ascii="Calibri" w:hAnsi="Calibri" w:eastAsia="宋体" w:cs="Times New Roman"/>
          <w:b/>
          <w:kern w:val="0"/>
          <w:szCs w:val="21"/>
          <w:lang w:eastAsia="zh-CN"/>
        </w:rPr>
        <w:t>）</w:t>
      </w:r>
    </w:p>
    <w:p w14:paraId="13D58769">
      <w:pPr>
        <w:pStyle w:val="25"/>
        <w:widowControl/>
        <w:numPr>
          <w:ilvl w:val="0"/>
          <w:numId w:val="45"/>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5909AF1A">
      <w:pPr>
        <w:pStyle w:val="25"/>
        <w:widowControl/>
        <w:numPr>
          <w:ilvl w:val="0"/>
          <w:numId w:val="4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投标人在提交投标文件时，应按投标人须知前附表规定的金额和缴纳要求缴纳投标保证金，并作为其投标文件的组成部分。</w:t>
      </w:r>
    </w:p>
    <w:p w14:paraId="09E9AB64">
      <w:pPr>
        <w:pStyle w:val="25"/>
        <w:widowControl/>
        <w:numPr>
          <w:ilvl w:val="0"/>
          <w:numId w:val="46"/>
        </w:numPr>
        <w:ind w:left="567" w:hanging="567"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如采用转账、支票、本</w:t>
      </w:r>
      <w:r>
        <w:rPr>
          <w:rFonts w:ascii="宋体" w:hAnsi="宋体" w:eastAsia="宋体" w:cs="Times New Roman"/>
          <w:color w:val="auto"/>
          <w:kern w:val="0"/>
          <w:szCs w:val="21"/>
          <w:lang w:eastAsia="zh-Hans"/>
        </w:rPr>
        <w:t>票、汇票形式提交的，投标保证金从投标人基本账户递交；请各投标人在投标文件递交截止时间前按</w:t>
      </w:r>
      <w:bookmarkStart w:id="15"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5"/>
    <w:p w14:paraId="08ED3A20">
      <w:pPr>
        <w:pStyle w:val="25"/>
        <w:widowControl/>
        <w:numPr>
          <w:ilvl w:val="0"/>
          <w:numId w:val="46"/>
        </w:numPr>
        <w:ind w:left="567" w:hanging="567" w:firstLineChars="0"/>
        <w:jc w:val="left"/>
        <w:rPr>
          <w:rFonts w:hint="eastAsia"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5"/>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5"/>
        <w:widowControl/>
        <w:numPr>
          <w:ilvl w:val="0"/>
          <w:numId w:val="47"/>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5"/>
        <w:widowControl/>
        <w:numPr>
          <w:ilvl w:val="0"/>
          <w:numId w:val="47"/>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5"/>
        <w:widowControl/>
        <w:numPr>
          <w:ilvl w:val="0"/>
          <w:numId w:val="47"/>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5"/>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5"/>
        <w:widowControl/>
        <w:numPr>
          <w:ilvl w:val="0"/>
          <w:numId w:val="4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5"/>
        <w:widowControl/>
        <w:numPr>
          <w:ilvl w:val="0"/>
          <w:numId w:val="4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5"/>
        <w:widowControl/>
        <w:numPr>
          <w:ilvl w:val="0"/>
          <w:numId w:val="4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5"/>
        <w:widowControl/>
        <w:numPr>
          <w:ilvl w:val="0"/>
          <w:numId w:val="4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5"/>
        <w:widowControl/>
        <w:numPr>
          <w:ilvl w:val="0"/>
          <w:numId w:val="4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5"/>
        <w:widowControl/>
        <w:numPr>
          <w:ilvl w:val="0"/>
          <w:numId w:val="37"/>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5"/>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5"/>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5"/>
        <w:widowControl/>
        <w:numPr>
          <w:ilvl w:val="0"/>
          <w:numId w:val="37"/>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样品（演示）</w:t>
      </w:r>
      <w:r>
        <w:rPr>
          <w:rFonts w:hint="eastAsia" w:ascii="宋体" w:hAnsi="宋体" w:eastAsia="宋体" w:cs="Times New Roman"/>
          <w:b/>
          <w:kern w:val="0"/>
          <w:szCs w:val="21"/>
          <w:lang w:eastAsia="zh-CN"/>
        </w:rPr>
        <w:t>（</w:t>
      </w:r>
      <w:r>
        <w:rPr>
          <w:rFonts w:hint="eastAsia" w:ascii="宋体" w:hAnsi="宋体" w:eastAsia="宋体" w:cs="Times New Roman"/>
          <w:b/>
          <w:kern w:val="0"/>
          <w:szCs w:val="21"/>
          <w:lang w:val="en-US" w:eastAsia="zh-CN"/>
        </w:rPr>
        <w:t>本项目不适用</w:t>
      </w:r>
      <w:r>
        <w:rPr>
          <w:rFonts w:hint="eastAsia" w:ascii="宋体" w:hAnsi="宋体" w:eastAsia="宋体" w:cs="Times New Roman"/>
          <w:b/>
          <w:kern w:val="0"/>
          <w:szCs w:val="21"/>
          <w:lang w:eastAsia="zh-CN"/>
        </w:rPr>
        <w:t>）</w:t>
      </w:r>
    </w:p>
    <w:p w14:paraId="75980878">
      <w:pPr>
        <w:pStyle w:val="25"/>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5"/>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5"/>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5"/>
        <w:widowControl/>
        <w:numPr>
          <w:ilvl w:val="0"/>
          <w:numId w:val="37"/>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5"/>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5"/>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5"/>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5"/>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5"/>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5"/>
        <w:widowControl/>
        <w:numPr>
          <w:ilvl w:val="0"/>
          <w:numId w:val="28"/>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5"/>
        <w:widowControl/>
        <w:numPr>
          <w:ilvl w:val="3"/>
          <w:numId w:val="5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5"/>
        <w:widowControl/>
        <w:numPr>
          <w:ilvl w:val="0"/>
          <w:numId w:val="5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5"/>
        <w:widowControl/>
        <w:numPr>
          <w:ilvl w:val="3"/>
          <w:numId w:val="5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5"/>
        <w:widowControl/>
        <w:numPr>
          <w:ilvl w:val="3"/>
          <w:numId w:val="5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5"/>
        <w:widowControl/>
        <w:numPr>
          <w:ilvl w:val="0"/>
          <w:numId w:val="54"/>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5"/>
        <w:widowControl/>
        <w:numPr>
          <w:ilvl w:val="0"/>
          <w:numId w:val="55"/>
        </w:numPr>
        <w:ind w:left="709" w:hanging="709" w:firstLineChars="0"/>
        <w:jc w:val="left"/>
        <w:rPr>
          <w:rFonts w:hint="eastAsia"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公告中标结果和发出中标通知书，公告期为1个工作日。</w:t>
      </w:r>
    </w:p>
    <w:p w14:paraId="00414DA4">
      <w:pPr>
        <w:pStyle w:val="25"/>
        <w:widowControl/>
        <w:numPr>
          <w:ilvl w:val="0"/>
          <w:numId w:val="54"/>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5"/>
        <w:widowControl/>
        <w:numPr>
          <w:ilvl w:val="0"/>
          <w:numId w:val="56"/>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5"/>
        <w:widowControl/>
        <w:numPr>
          <w:ilvl w:val="0"/>
          <w:numId w:val="56"/>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5"/>
        <w:widowControl/>
        <w:numPr>
          <w:ilvl w:val="0"/>
          <w:numId w:val="56"/>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5"/>
        <w:widowControl/>
        <w:numPr>
          <w:ilvl w:val="0"/>
          <w:numId w:val="28"/>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5"/>
        <w:widowControl/>
        <w:numPr>
          <w:ilvl w:val="3"/>
          <w:numId w:val="57"/>
        </w:numPr>
        <w:tabs>
          <w:tab w:val="left" w:pos="426"/>
          <w:tab w:val="left" w:pos="709"/>
          <w:tab w:val="left" w:pos="993"/>
          <w:tab w:val="left" w:pos="1418"/>
        </w:tabs>
        <w:ind w:hanging="1760"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5"/>
        <w:widowControl/>
        <w:numPr>
          <w:ilvl w:val="0"/>
          <w:numId w:val="5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5"/>
        <w:widowControl/>
        <w:numPr>
          <w:ilvl w:val="3"/>
          <w:numId w:val="57"/>
        </w:numPr>
        <w:tabs>
          <w:tab w:val="left" w:pos="426"/>
          <w:tab w:val="left" w:pos="709"/>
          <w:tab w:val="left" w:pos="993"/>
          <w:tab w:val="left" w:pos="1418"/>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5"/>
        <w:widowControl/>
        <w:numPr>
          <w:ilvl w:val="0"/>
          <w:numId w:val="5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5"/>
        <w:widowControl/>
        <w:numPr>
          <w:ilvl w:val="0"/>
          <w:numId w:val="60"/>
        </w:numPr>
        <w:tabs>
          <w:tab w:val="left" w:pos="709"/>
        </w:tabs>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5"/>
        <w:widowControl/>
        <w:numPr>
          <w:ilvl w:val="0"/>
          <w:numId w:val="60"/>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5"/>
        <w:widowControl/>
        <w:numPr>
          <w:ilvl w:val="0"/>
          <w:numId w:val="60"/>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5"/>
        <w:widowControl/>
        <w:numPr>
          <w:ilvl w:val="0"/>
          <w:numId w:val="5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5"/>
        <w:widowControl/>
        <w:numPr>
          <w:ilvl w:val="0"/>
          <w:numId w:val="6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5"/>
        <w:widowControl/>
        <w:numPr>
          <w:ilvl w:val="0"/>
          <w:numId w:val="6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5"/>
        <w:widowControl/>
        <w:numPr>
          <w:ilvl w:val="0"/>
          <w:numId w:val="6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5"/>
        <w:widowControl/>
        <w:numPr>
          <w:ilvl w:val="0"/>
          <w:numId w:val="6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5"/>
        <w:widowControl/>
        <w:numPr>
          <w:ilvl w:val="0"/>
          <w:numId w:val="5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5"/>
        <w:widowControl/>
        <w:numPr>
          <w:ilvl w:val="0"/>
          <w:numId w:val="5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5"/>
        <w:widowControl/>
        <w:numPr>
          <w:ilvl w:val="0"/>
          <w:numId w:val="5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5"/>
        <w:widowControl/>
        <w:numPr>
          <w:ilvl w:val="0"/>
          <w:numId w:val="59"/>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04E1EE58">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黄工</w:t>
      </w:r>
    </w:p>
    <w:p w14:paraId="6A816235">
      <w:pPr>
        <w:widowControl/>
        <w:ind w:firstLine="480"/>
        <w:jc w:val="left"/>
        <w:rPr>
          <w:rFonts w:hint="eastAsia"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电话：（0769）22367009</w:t>
      </w:r>
    </w:p>
    <w:p w14:paraId="50A95697">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662604D3">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4ABBDBCF">
      <w:pPr>
        <w:widowControl/>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3.投诉</w:t>
      </w:r>
    </w:p>
    <w:p w14:paraId="23EC7FB9">
      <w:pPr>
        <w:pStyle w:val="25"/>
        <w:widowControl/>
        <w:numPr>
          <w:ilvl w:val="0"/>
          <w:numId w:val="62"/>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质疑人对采购人</w:t>
      </w:r>
      <w:r>
        <w:rPr>
          <w:rFonts w:ascii="宋体" w:hAnsi="宋体" w:eastAsia="宋体" w:cs="Times New Roman"/>
          <w:color w:val="auto"/>
          <w:kern w:val="0"/>
          <w:szCs w:val="21"/>
          <w:lang w:eastAsia="zh-Hans"/>
        </w:rPr>
        <w:t>或采购代理机构的质疑答复不满意或在规定时间内未得到答复的，可以在答复期满后15个工作日内，</w:t>
      </w:r>
      <w:r>
        <w:rPr>
          <w:rFonts w:hint="eastAsia" w:ascii="宋体" w:hAnsi="宋体" w:eastAsia="宋体" w:cs="Times New Roman"/>
          <w:color w:val="auto"/>
          <w:kern w:val="0"/>
          <w:szCs w:val="21"/>
          <w:lang w:eastAsia="zh-Hans"/>
        </w:rPr>
        <w:t>向本项目采购人有关部门提起投诉</w:t>
      </w:r>
      <w:r>
        <w:rPr>
          <w:rFonts w:ascii="宋体" w:hAnsi="宋体" w:eastAsia="宋体" w:cs="Times New Roman"/>
          <w:color w:val="auto"/>
          <w:kern w:val="0"/>
          <w:szCs w:val="21"/>
          <w:lang w:eastAsia="zh-Hans"/>
        </w:rPr>
        <w:t>。</w:t>
      </w:r>
    </w:p>
    <w:p w14:paraId="7D73C36D">
      <w:pPr>
        <w:pStyle w:val="25"/>
        <w:widowControl/>
        <w:numPr>
          <w:ilvl w:val="0"/>
          <w:numId w:val="28"/>
        </w:numPr>
        <w:spacing w:before="217" w:beforeLines="50"/>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5"/>
        <w:widowControl/>
        <w:numPr>
          <w:ilvl w:val="0"/>
          <w:numId w:val="63"/>
        </w:numPr>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5"/>
        <w:widowControl/>
        <w:numPr>
          <w:ilvl w:val="0"/>
          <w:numId w:val="63"/>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5"/>
        <w:widowControl/>
        <w:numPr>
          <w:ilvl w:val="0"/>
          <w:numId w:val="28"/>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5"/>
        <w:widowControl/>
        <w:numPr>
          <w:ilvl w:val="3"/>
          <w:numId w:val="64"/>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5"/>
        <w:widowControl/>
        <w:numPr>
          <w:ilvl w:val="0"/>
          <w:numId w:val="6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5"/>
        <w:widowControl/>
        <w:numPr>
          <w:ilvl w:val="0"/>
          <w:numId w:val="6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5"/>
        <w:widowControl/>
        <w:numPr>
          <w:ilvl w:val="3"/>
          <w:numId w:val="64"/>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63899B25">
      <w:pPr>
        <w:pStyle w:val="25"/>
        <w:widowControl/>
        <w:numPr>
          <w:ilvl w:val="0"/>
          <w:numId w:val="66"/>
        </w:numPr>
        <w:ind w:firstLineChars="0"/>
        <w:jc w:val="left"/>
        <w:rPr>
          <w:rFonts w:hint="eastAsia" w:ascii="宋体" w:hAnsi="宋体" w:eastAsia="宋体" w:cs="Times New Roman"/>
          <w:color w:val="auto"/>
          <w:kern w:val="0"/>
          <w:szCs w:val="21"/>
          <w:lang w:eastAsia="zh-Hans"/>
        </w:rPr>
      </w:pPr>
      <w:bookmarkStart w:id="18" w:name="_Hlk170237916"/>
      <w:r>
        <w:rPr>
          <w:rFonts w:ascii="宋体" w:hAnsi="宋体" w:eastAsia="宋体" w:cs="Times New Roman"/>
          <w:kern w:val="0"/>
          <w:szCs w:val="21"/>
          <w:lang w:eastAsia="zh-Hans"/>
        </w:rPr>
        <w:t>采购合同订立后，合同各方</w:t>
      </w:r>
      <w:r>
        <w:rPr>
          <w:rFonts w:ascii="宋体" w:hAnsi="宋体" w:eastAsia="宋体" w:cs="Times New Roman"/>
          <w:color w:val="auto"/>
          <w:kern w:val="0"/>
          <w:szCs w:val="21"/>
          <w:lang w:eastAsia="zh-Hans"/>
        </w:rPr>
        <w:t>不得擅自变更、中止或者终止合同。采购合同需要变更的，采购人应将有关合同变更内容，以书面形式报</w:t>
      </w:r>
      <w:r>
        <w:rPr>
          <w:rFonts w:hint="eastAsia" w:ascii="宋体" w:hAnsi="宋体" w:eastAsia="宋体" w:cs="Times New Roman"/>
          <w:color w:val="auto"/>
          <w:kern w:val="0"/>
          <w:szCs w:val="21"/>
          <w:lang w:val="en-US" w:eastAsia="zh-CN"/>
        </w:rPr>
        <w:t>本单位</w:t>
      </w:r>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本单位</w:t>
      </w:r>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7DB3A8A0">
      <w:pPr>
        <w:pStyle w:val="25"/>
        <w:widowControl/>
        <w:numPr>
          <w:ilvl w:val="0"/>
          <w:numId w:val="66"/>
        </w:numPr>
        <w:tabs>
          <w:tab w:val="left" w:pos="993"/>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kern w:val="0"/>
          <w:szCs w:val="21"/>
          <w:lang w:eastAsia="zh-Hans"/>
        </w:rPr>
        <w:t>签订补充合同的必须按规定备案。</w:t>
      </w:r>
    </w:p>
    <w:bookmarkEnd w:id="19"/>
    <w:p w14:paraId="7058F3DD">
      <w:pPr>
        <w:pageBreakBefore/>
        <w:widowControl/>
        <w:jc w:val="center"/>
        <w:outlineLvl w:val="1"/>
        <w:rPr>
          <w:rFonts w:ascii="Calibri" w:hAnsi="Calibri" w:eastAsia="宋体" w:cs="Times New Roman"/>
          <w:kern w:val="0"/>
          <w:sz w:val="20"/>
          <w:szCs w:val="20"/>
          <w:lang w:eastAsia="zh-Hans"/>
        </w:rPr>
      </w:pPr>
      <w:bookmarkStart w:id="20" w:name="_Toc169807543"/>
      <w:bookmarkStart w:id="21" w:name="_Toc169799781"/>
      <w:r>
        <w:rPr>
          <w:rFonts w:ascii="Calibri" w:hAnsi="Calibri" w:eastAsia="宋体" w:cs="Times New Roman"/>
          <w:b/>
          <w:kern w:val="0"/>
          <w:sz w:val="36"/>
          <w:szCs w:val="20"/>
          <w:lang w:eastAsia="zh-Hans"/>
        </w:rPr>
        <w:t>第四章 评标</w:t>
      </w:r>
      <w:bookmarkEnd w:id="20"/>
      <w:bookmarkEnd w:id="21"/>
    </w:p>
    <w:p w14:paraId="1F905B4D">
      <w:pPr>
        <w:pStyle w:val="25"/>
        <w:numPr>
          <w:ilvl w:val="0"/>
          <w:numId w:val="67"/>
        </w:numPr>
        <w:ind w:firstLineChars="0"/>
        <w:rPr>
          <w:rFonts w:hint="eastAsia" w:ascii="宋体" w:hAnsi="宋体" w:eastAsia="宋体"/>
          <w:b/>
          <w:bCs/>
        </w:rPr>
      </w:pPr>
      <w:r>
        <w:rPr>
          <w:rFonts w:ascii="宋体" w:hAnsi="宋体" w:eastAsia="宋体"/>
          <w:b/>
          <w:bCs/>
        </w:rPr>
        <w:t>评标要求</w:t>
      </w:r>
    </w:p>
    <w:p w14:paraId="000B4FC0">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5"/>
        <w:widowControl/>
        <w:numPr>
          <w:ilvl w:val="0"/>
          <w:numId w:val="69"/>
        </w:numPr>
        <w:ind w:firstLineChars="0"/>
        <w:jc w:val="left"/>
        <w:rPr>
          <w:rFonts w:hint="eastAsia"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5"/>
        <w:widowControl/>
        <w:numPr>
          <w:ilvl w:val="0"/>
          <w:numId w:val="69"/>
        </w:numPr>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5"/>
        <w:widowControl/>
        <w:numPr>
          <w:ilvl w:val="0"/>
          <w:numId w:val="70"/>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5"/>
        <w:widowControl/>
        <w:numPr>
          <w:ilvl w:val="0"/>
          <w:numId w:val="70"/>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5"/>
        <w:widowControl/>
        <w:numPr>
          <w:ilvl w:val="0"/>
          <w:numId w:val="70"/>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1328CF1C">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5"/>
        <w:widowControl/>
        <w:numPr>
          <w:ilvl w:val="0"/>
          <w:numId w:val="71"/>
        </w:numPr>
        <w:tabs>
          <w:tab w:val="left" w:pos="284"/>
          <w:tab w:val="left" w:pos="426"/>
          <w:tab w:val="left" w:pos="851"/>
          <w:tab w:val="left" w:pos="1134"/>
          <w:tab w:val="left" w:pos="1560"/>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5"/>
        <w:widowControl/>
        <w:numPr>
          <w:ilvl w:val="0"/>
          <w:numId w:val="71"/>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5"/>
        <w:widowControl/>
        <w:numPr>
          <w:ilvl w:val="0"/>
          <w:numId w:val="72"/>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5"/>
        <w:widowControl/>
        <w:numPr>
          <w:ilvl w:val="0"/>
          <w:numId w:val="72"/>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5"/>
        <w:widowControl/>
        <w:numPr>
          <w:ilvl w:val="0"/>
          <w:numId w:val="72"/>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5"/>
        <w:widowControl/>
        <w:numPr>
          <w:ilvl w:val="0"/>
          <w:numId w:val="72"/>
        </w:numPr>
        <w:tabs>
          <w:tab w:val="left" w:pos="709"/>
          <w:tab w:val="left" w:pos="851"/>
          <w:tab w:val="left" w:pos="1418"/>
        </w:tabs>
        <w:ind w:left="709" w:hanging="709" w:firstLineChars="0"/>
        <w:jc w:val="left"/>
        <w:rPr>
          <w:rFonts w:hint="eastAsia"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5"/>
        <w:widowControl/>
        <w:numPr>
          <w:ilvl w:val="0"/>
          <w:numId w:val="72"/>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5"/>
        <w:widowControl/>
        <w:numPr>
          <w:ilvl w:val="0"/>
          <w:numId w:val="71"/>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5"/>
        <w:widowControl/>
        <w:numPr>
          <w:ilvl w:val="0"/>
          <w:numId w:val="73"/>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5"/>
        <w:widowControl/>
        <w:numPr>
          <w:ilvl w:val="0"/>
          <w:numId w:val="73"/>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5"/>
        <w:widowControl/>
        <w:numPr>
          <w:ilvl w:val="0"/>
          <w:numId w:val="73"/>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5"/>
        <w:widowControl/>
        <w:numPr>
          <w:ilvl w:val="0"/>
          <w:numId w:val="73"/>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5"/>
        <w:widowControl/>
        <w:numPr>
          <w:ilvl w:val="0"/>
          <w:numId w:val="73"/>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5"/>
        <w:widowControl/>
        <w:numPr>
          <w:ilvl w:val="0"/>
          <w:numId w:val="73"/>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5"/>
        <w:widowControl/>
        <w:numPr>
          <w:ilvl w:val="0"/>
          <w:numId w:val="73"/>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5"/>
        <w:widowControl/>
        <w:numPr>
          <w:ilvl w:val="0"/>
          <w:numId w:val="73"/>
        </w:numPr>
        <w:tabs>
          <w:tab w:val="left" w:pos="567"/>
          <w:tab w:val="left" w:pos="709"/>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087B6B85">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5"/>
        <w:numPr>
          <w:ilvl w:val="0"/>
          <w:numId w:val="74"/>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5"/>
        <w:numPr>
          <w:ilvl w:val="0"/>
          <w:numId w:val="74"/>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5"/>
        <w:numPr>
          <w:ilvl w:val="0"/>
          <w:numId w:val="74"/>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5"/>
        <w:numPr>
          <w:ilvl w:val="0"/>
          <w:numId w:val="74"/>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5"/>
        <w:numPr>
          <w:ilvl w:val="0"/>
          <w:numId w:val="74"/>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5"/>
        <w:numPr>
          <w:ilvl w:val="0"/>
          <w:numId w:val="74"/>
        </w:numPr>
        <w:tabs>
          <w:tab w:val="left" w:pos="426"/>
          <w:tab w:val="left" w:pos="1276"/>
        </w:tabs>
        <w:ind w:hanging="2240" w:firstLineChars="0"/>
        <w:jc w:val="left"/>
        <w:rPr>
          <w:rFonts w:hint="eastAsia"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5"/>
        <w:widowControl/>
        <w:numPr>
          <w:ilvl w:val="0"/>
          <w:numId w:val="75"/>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5"/>
        <w:widowControl/>
        <w:numPr>
          <w:ilvl w:val="3"/>
          <w:numId w:val="68"/>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5"/>
        <w:widowControl/>
        <w:numPr>
          <w:ilvl w:val="0"/>
          <w:numId w:val="76"/>
        </w:numPr>
        <w:tabs>
          <w:tab w:val="left" w:pos="426"/>
          <w:tab w:val="left" w:pos="993"/>
          <w:tab w:val="left" w:pos="1276"/>
        </w:tabs>
        <w:ind w:hanging="2240"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5"/>
        <w:widowControl/>
        <w:numPr>
          <w:ilvl w:val="0"/>
          <w:numId w:val="77"/>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5"/>
        <w:widowControl/>
        <w:numPr>
          <w:ilvl w:val="0"/>
          <w:numId w:val="77"/>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5"/>
        <w:widowControl/>
        <w:numPr>
          <w:ilvl w:val="0"/>
          <w:numId w:val="77"/>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5"/>
        <w:widowControl/>
        <w:numPr>
          <w:ilvl w:val="0"/>
          <w:numId w:val="77"/>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hint="eastAsia" w:ascii="宋体" w:hAnsi="宋体" w:eastAsia="宋体"/>
          <w:color w:val="333333"/>
          <w:szCs w:val="21"/>
          <w:shd w:val="clear" w:color="auto" w:fill="FFFFFF"/>
        </w:rPr>
      </w:pPr>
      <w:bookmarkStart w:id="22"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5"/>
        <w:widowControl/>
        <w:numPr>
          <w:ilvl w:val="0"/>
          <w:numId w:val="76"/>
        </w:numPr>
        <w:tabs>
          <w:tab w:val="left" w:pos="426"/>
          <w:tab w:val="left" w:pos="993"/>
          <w:tab w:val="left" w:pos="1276"/>
          <w:tab w:val="left" w:pos="1843"/>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kern w:val="0"/>
          <w:szCs w:val="21"/>
        </w:rPr>
        <w:t>投标文件中开标一览表、分项报价表内容与唱标信封中开标一览表</w:t>
      </w:r>
      <w:r>
        <w:rPr>
          <w:rFonts w:hint="eastAsia" w:ascii="宋体" w:hAnsi="宋体" w:eastAsia="宋体" w:cs="Times New Roman"/>
          <w:kern w:val="0"/>
          <w:szCs w:val="21"/>
        </w:rPr>
        <w:t>、</w:t>
      </w:r>
      <w:r>
        <w:rPr>
          <w:rFonts w:ascii="宋体" w:hAnsi="宋体" w:eastAsia="宋体" w:cs="Times New Roman"/>
          <w:kern w:val="0"/>
          <w:szCs w:val="21"/>
        </w:rPr>
        <w:t>分项报价报内容不一致的，以唱标</w:t>
      </w:r>
      <w:r>
        <w:rPr>
          <w:rFonts w:ascii="宋体" w:hAnsi="宋体" w:eastAsia="宋体" w:cs="Times New Roman"/>
          <w:color w:val="auto"/>
          <w:kern w:val="0"/>
          <w:szCs w:val="21"/>
          <w:highlight w:val="none"/>
        </w:rPr>
        <w:t>信封中开标一览表、分项报价表内容为准。</w:t>
      </w:r>
    </w:p>
    <w:p w14:paraId="609FC80E">
      <w:pPr>
        <w:pStyle w:val="25"/>
        <w:numPr>
          <w:ilvl w:val="0"/>
          <w:numId w:val="67"/>
        </w:numPr>
        <w:ind w:firstLineChars="0"/>
        <w:rPr>
          <w:rFonts w:hint="eastAsia"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79D17283">
      <w:pPr>
        <w:pStyle w:val="25"/>
        <w:numPr>
          <w:ilvl w:val="1"/>
          <w:numId w:val="78"/>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5"/>
        <w:numPr>
          <w:ilvl w:val="2"/>
          <w:numId w:val="79"/>
        </w:numPr>
        <w:tabs>
          <w:tab w:val="left" w:pos="1418"/>
        </w:tabs>
        <w:ind w:left="426" w:hanging="426" w:firstLineChars="0"/>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5"/>
        <w:numPr>
          <w:ilvl w:val="1"/>
          <w:numId w:val="78"/>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5"/>
        <w:numPr>
          <w:ilvl w:val="2"/>
          <w:numId w:val="80"/>
        </w:numPr>
        <w:ind w:firstLineChars="0"/>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w:t>
      </w:r>
      <w:r>
        <w:rPr>
          <w:rFonts w:ascii="宋体" w:hAnsi="宋体" w:eastAsia="宋体"/>
          <w:bCs/>
          <w:color w:val="000000" w:themeColor="text1"/>
          <w:szCs w:val="21"/>
          <w14:textFill>
            <w14:solidFill>
              <w14:schemeClr w14:val="tx1"/>
            </w14:solidFill>
          </w14:textFill>
        </w:rPr>
        <w:t>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5"/>
        <w:numPr>
          <w:ilvl w:val="1"/>
          <w:numId w:val="78"/>
        </w:numPr>
        <w:tabs>
          <w:tab w:val="left" w:pos="426"/>
          <w:tab w:val="left" w:pos="1418"/>
        </w:tabs>
        <w:ind w:left="851" w:hanging="851" w:firstLineChars="0"/>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5"/>
        <w:numPr>
          <w:ilvl w:val="2"/>
          <w:numId w:val="81"/>
        </w:numPr>
        <w:ind w:left="424" w:hanging="424" w:hangingChars="202"/>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为了发挥政府采购促进残疾人就业的作用，根据财政部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E40FCE0">
      <w:pPr>
        <w:pStyle w:val="25"/>
        <w:numPr>
          <w:ilvl w:val="1"/>
          <w:numId w:val="78"/>
        </w:numPr>
        <w:ind w:left="426" w:hanging="426" w:firstLineChars="0"/>
        <w:jc w:val="left"/>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5"/>
        <w:numPr>
          <w:ilvl w:val="1"/>
          <w:numId w:val="78"/>
        </w:numPr>
        <w:tabs>
          <w:tab w:val="left" w:pos="426"/>
          <w:tab w:val="left" w:pos="1418"/>
        </w:tabs>
        <w:ind w:left="851" w:hanging="851" w:firstLineChars="0"/>
        <w:rPr>
          <w:rFonts w:hint="eastAsia" w:ascii="宋体" w:hAnsi="宋体" w:eastAsia="宋体"/>
          <w:b/>
          <w:color w:val="385724" w:themeColor="accent6" w:themeShade="80"/>
          <w:szCs w:val="21"/>
        </w:rPr>
      </w:pPr>
      <w:bookmarkStart w:id="25" w:name="_Hlk86745708"/>
      <w:bookmarkStart w:id="26"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5"/>
        <w:ind w:left="-141" w:leftChars="-67" w:firstLine="567" w:firstLineChars="270"/>
        <w:rPr>
          <w:rFonts w:hint="eastAsia"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5"/>
    <w:p w14:paraId="29F7F539">
      <w:pP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6"/>
    <w:p w14:paraId="288746E7">
      <w:pPr>
        <w:pStyle w:val="25"/>
        <w:numPr>
          <w:ilvl w:val="1"/>
          <w:numId w:val="78"/>
        </w:numPr>
        <w:ind w:left="426" w:hanging="426" w:firstLineChars="0"/>
        <w:rPr>
          <w:rFonts w:hint="eastAsia" w:ascii="宋体" w:hAnsi="宋体" w:eastAsia="宋体"/>
          <w:b/>
          <w:szCs w:val="21"/>
        </w:rPr>
      </w:pPr>
      <w:r>
        <w:rPr>
          <w:rFonts w:hint="eastAsia" w:ascii="宋体" w:hAnsi="宋体" w:eastAsia="宋体"/>
          <w:b/>
          <w:szCs w:val="21"/>
        </w:rPr>
        <w:t>节能产品、环境标志产品价格扣除：</w:t>
      </w:r>
    </w:p>
    <w:p w14:paraId="3FB4B18E">
      <w:pPr>
        <w:pStyle w:val="25"/>
        <w:numPr>
          <w:ilvl w:val="0"/>
          <w:numId w:val="82"/>
        </w:numPr>
        <w:ind w:left="426" w:hanging="426" w:firstLineChars="0"/>
        <w:rPr>
          <w:rFonts w:hint="eastAsia" w:ascii="宋体" w:hAnsi="宋体" w:eastAsia="宋体"/>
          <w:color w:val="auto"/>
          <w:szCs w:val="21"/>
          <w:highlight w:val="none"/>
        </w:rPr>
      </w:pPr>
      <w:r>
        <w:rPr>
          <w:rFonts w:hint="eastAsia" w:ascii="宋体" w:hAnsi="宋体" w:eastAsia="宋体"/>
          <w:szCs w:val="21"/>
        </w:rPr>
        <w:t>投标产品(针对非政府强</w:t>
      </w:r>
      <w:r>
        <w:rPr>
          <w:rFonts w:hint="eastAsia" w:ascii="宋体" w:hAnsi="宋体" w:eastAsia="宋体"/>
          <w:color w:val="auto"/>
          <w:szCs w:val="21"/>
          <w:highlight w:val="none"/>
        </w:rPr>
        <w:t>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5"/>
        <w:numPr>
          <w:ilvl w:val="0"/>
          <w:numId w:val="82"/>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31417427">
      <w:pPr>
        <w:pStyle w:val="25"/>
        <w:numPr>
          <w:ilvl w:val="1"/>
          <w:numId w:val="78"/>
        </w:numPr>
        <w:ind w:left="426" w:hanging="426"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6CAB27F9">
      <w:pPr>
        <w:keepNext w:val="0"/>
        <w:keepLines w:val="0"/>
        <w:pageBreakBefore w:val="0"/>
        <w:widowControl w:val="0"/>
        <w:kinsoku/>
        <w:wordWrap/>
        <w:overflowPunct/>
        <w:topLinePunct w:val="0"/>
        <w:autoSpaceDE/>
        <w:autoSpaceDN/>
        <w:bidi w:val="0"/>
        <w:adjustRightInd/>
        <w:snapToGrid/>
        <w:ind w:firstLine="404" w:firstLineChars="200"/>
        <w:jc w:val="left"/>
        <w:textAlignment w:val="auto"/>
        <w:rPr>
          <w:rFonts w:hint="eastAsia" w:ascii="宋体" w:hAnsi="宋体" w:eastAsia="宋体"/>
          <w:bCs/>
          <w:color w:val="auto"/>
          <w:spacing w:val="-4"/>
          <w:szCs w:val="21"/>
          <w:highlight w:val="none"/>
        </w:rPr>
      </w:pPr>
      <w:r>
        <w:rPr>
          <w:rFonts w:hint="eastAsia" w:ascii="宋体" w:hAnsi="宋体" w:eastAsia="宋体"/>
          <w:bCs/>
          <w:color w:val="auto"/>
          <w:spacing w:val="-4"/>
          <w:szCs w:val="21"/>
          <w:highlight w:val="none"/>
        </w:rPr>
        <w:t>注：</w:t>
      </w:r>
    </w:p>
    <w:p w14:paraId="3F691DA3">
      <w:pPr>
        <w:keepNext w:val="0"/>
        <w:keepLines w:val="0"/>
        <w:pageBreakBefore w:val="0"/>
        <w:widowControl w:val="0"/>
        <w:kinsoku/>
        <w:wordWrap/>
        <w:overflowPunct/>
        <w:topLinePunct w:val="0"/>
        <w:autoSpaceDE/>
        <w:autoSpaceDN/>
        <w:bidi w:val="0"/>
        <w:adjustRightInd/>
        <w:snapToGrid/>
        <w:ind w:firstLine="404" w:firstLineChars="200"/>
        <w:jc w:val="left"/>
        <w:textAlignment w:val="auto"/>
        <w:rPr>
          <w:rStyle w:val="18"/>
          <w:rFonts w:hint="eastAsia" w:ascii="宋体" w:hAnsi="宋体" w:eastAsia="宋体" w:cs="宋体"/>
          <w:color w:val="auto"/>
          <w:highlight w:val="none"/>
          <w:lang w:eastAsia="zh-CN"/>
        </w:rPr>
      </w:pPr>
      <w:r>
        <w:rPr>
          <w:rFonts w:hint="eastAsia" w:ascii="宋体" w:hAnsi="宋体" w:eastAsia="宋体" w:cs="宋体"/>
          <w:bCs/>
          <w:color w:val="auto"/>
          <w:spacing w:val="-4"/>
          <w:szCs w:val="21"/>
          <w:highlight w:val="none"/>
          <w:lang w:val="en-US" w:eastAsia="zh-CN"/>
        </w:rPr>
        <w:t>1.</w:t>
      </w:r>
      <w:r>
        <w:rPr>
          <w:rStyle w:val="18"/>
          <w:rFonts w:hint="eastAsia" w:ascii="宋体" w:hAnsi="宋体" w:eastAsia="宋体" w:cs="宋体"/>
          <w:color w:val="auto"/>
          <w:highlight w:val="none"/>
          <w:lang w:val="en-US" w:eastAsia="zh-CN"/>
        </w:rPr>
        <w:t>投标报价换算成（1-投标下浮率），换算后的投标报价仅作为价格评审使用</w:t>
      </w:r>
      <w:r>
        <w:rPr>
          <w:rFonts w:hint="eastAsia" w:ascii="宋体" w:hAnsi="宋体" w:eastAsia="宋体" w:cs="宋体"/>
          <w:bCs/>
          <w:color w:val="auto"/>
          <w:spacing w:val="-4"/>
          <w:szCs w:val="21"/>
          <w:highlight w:val="none"/>
          <w:lang w:eastAsia="zh-CN"/>
        </w:rPr>
        <w:t>；</w:t>
      </w:r>
    </w:p>
    <w:p w14:paraId="68570AE8">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Style w:val="18"/>
          <w:rFonts w:hint="eastAsia" w:ascii="宋体" w:hAnsi="宋体" w:eastAsia="宋体" w:cs="宋体"/>
          <w:color w:val="auto"/>
          <w:highlight w:val="none"/>
          <w:lang w:val="en-US" w:eastAsia="zh-CN"/>
        </w:rPr>
      </w:pPr>
      <w:r>
        <w:rPr>
          <w:rStyle w:val="18"/>
          <w:rFonts w:hint="eastAsia" w:ascii="宋体" w:hAnsi="宋体" w:eastAsia="宋体" w:cs="宋体"/>
          <w:color w:val="auto"/>
          <w:highlight w:val="none"/>
          <w:lang w:val="en-US" w:eastAsia="zh-CN"/>
        </w:rPr>
        <w:t>2.</w:t>
      </w:r>
      <w:r>
        <w:rPr>
          <w:rFonts w:hint="eastAsia" w:ascii="宋体" w:hAnsi="宋体" w:eastAsia="宋体" w:cs="宋体"/>
          <w:bCs/>
          <w:color w:val="auto"/>
          <w:spacing w:val="-4"/>
          <w:szCs w:val="21"/>
          <w:highlight w:val="none"/>
        </w:rPr>
        <w:t>因落实采购政策进行价格调整的，以调整后的价格计算评标基准价和投标报价</w:t>
      </w:r>
      <w:r>
        <w:rPr>
          <w:rStyle w:val="18"/>
          <w:rFonts w:hint="eastAsia" w:ascii="宋体" w:hAnsi="宋体" w:eastAsia="宋体" w:cs="宋体"/>
          <w:color w:val="auto"/>
          <w:highlight w:val="none"/>
          <w:lang w:val="en-US" w:eastAsia="zh-CN"/>
        </w:rPr>
        <w:t>。</w:t>
      </w:r>
    </w:p>
    <w:p w14:paraId="78157BCE">
      <w:pPr>
        <w:ind w:firstLine="404" w:firstLineChars="200"/>
        <w:jc w:val="left"/>
        <w:rPr>
          <w:rFonts w:hint="eastAsia" w:ascii="宋体" w:hAnsi="宋体" w:eastAsia="宋体"/>
          <w:bCs/>
          <w:spacing w:val="-4"/>
          <w:szCs w:val="21"/>
        </w:rPr>
      </w:pPr>
    </w:p>
    <w:p w14:paraId="3EA2C08B">
      <w:pPr>
        <w:pStyle w:val="25"/>
        <w:numPr>
          <w:ilvl w:val="1"/>
          <w:numId w:val="78"/>
        </w:numPr>
        <w:ind w:left="426" w:hanging="426" w:firstLineChars="0"/>
        <w:rPr>
          <w:rFonts w:hint="eastAsia"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szCs w:val="21"/>
              </w:rPr>
            </w:pPr>
            <w:r>
              <w:rPr>
                <w:rFonts w:hint="eastAsia" w:ascii="宋体" w:hAnsi="宋体" w:eastAsia="宋体"/>
                <w:szCs w:val="21"/>
              </w:rPr>
              <w:t>评分项目</w:t>
            </w:r>
          </w:p>
        </w:tc>
        <w:tc>
          <w:tcPr>
            <w:tcW w:w="1082" w:type="pct"/>
            <w:vAlign w:val="center"/>
          </w:tcPr>
          <w:p w14:paraId="0CC69E81">
            <w:pPr>
              <w:jc w:val="center"/>
              <w:rPr>
                <w:rFonts w:hint="eastAsia" w:ascii="宋体" w:hAnsi="宋体" w:eastAsia="宋体"/>
                <w:szCs w:val="21"/>
              </w:rPr>
            </w:pPr>
            <w:r>
              <w:rPr>
                <w:rFonts w:hint="eastAsia" w:ascii="宋体" w:hAnsi="宋体" w:eastAsia="宋体"/>
                <w:szCs w:val="21"/>
              </w:rPr>
              <w:t>价格部分</w:t>
            </w:r>
          </w:p>
        </w:tc>
        <w:tc>
          <w:tcPr>
            <w:tcW w:w="1081" w:type="pct"/>
            <w:vAlign w:val="center"/>
          </w:tcPr>
          <w:p w14:paraId="3ABB61E7">
            <w:pPr>
              <w:jc w:val="center"/>
              <w:rPr>
                <w:rFonts w:hint="eastAsia" w:ascii="宋体" w:hAnsi="宋体" w:eastAsia="宋体"/>
                <w:szCs w:val="21"/>
              </w:rPr>
            </w:pPr>
            <w:r>
              <w:rPr>
                <w:rFonts w:hint="eastAsia" w:ascii="宋体" w:hAnsi="宋体" w:eastAsia="宋体"/>
                <w:szCs w:val="21"/>
              </w:rPr>
              <w:t>商务部分</w:t>
            </w:r>
          </w:p>
        </w:tc>
        <w:tc>
          <w:tcPr>
            <w:tcW w:w="1081" w:type="pct"/>
            <w:vAlign w:val="center"/>
          </w:tcPr>
          <w:p w14:paraId="41A7A6BF">
            <w:pPr>
              <w:jc w:val="center"/>
              <w:rPr>
                <w:rFonts w:hint="eastAsia" w:ascii="宋体" w:hAnsi="宋体" w:eastAsia="宋体"/>
                <w:szCs w:val="21"/>
              </w:rPr>
            </w:pPr>
            <w:r>
              <w:rPr>
                <w:rFonts w:hint="eastAsia" w:ascii="宋体" w:hAnsi="宋体" w:eastAsia="宋体"/>
                <w:szCs w:val="21"/>
              </w:rPr>
              <w:t>技术部分</w:t>
            </w:r>
          </w:p>
        </w:tc>
        <w:tc>
          <w:tcPr>
            <w:tcW w:w="780" w:type="pct"/>
            <w:vAlign w:val="center"/>
          </w:tcPr>
          <w:p w14:paraId="57B4C055">
            <w:pPr>
              <w:jc w:val="center"/>
              <w:rPr>
                <w:rFonts w:hint="eastAsia" w:ascii="宋体" w:hAnsi="宋体" w:eastAsia="宋体"/>
                <w:szCs w:val="21"/>
              </w:rPr>
            </w:pPr>
            <w:r>
              <w:rPr>
                <w:rFonts w:hint="eastAsia" w:ascii="宋体" w:hAnsi="宋体" w:eastAsia="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szCs w:val="21"/>
              </w:rPr>
            </w:pPr>
            <w:r>
              <w:rPr>
                <w:rFonts w:hint="eastAsia" w:ascii="宋体" w:hAnsi="宋体" w:eastAsia="宋体"/>
                <w:szCs w:val="21"/>
              </w:rPr>
              <w:t>权值</w:t>
            </w:r>
          </w:p>
        </w:tc>
        <w:tc>
          <w:tcPr>
            <w:tcW w:w="1082" w:type="pct"/>
            <w:vAlign w:val="center"/>
          </w:tcPr>
          <w:p w14:paraId="05BB9D15">
            <w:pPr>
              <w:jc w:val="center"/>
              <w:rPr>
                <w:rFonts w:hint="eastAsia" w:ascii="宋体" w:hAnsi="宋体" w:eastAsia="宋体"/>
                <w:szCs w:val="21"/>
              </w:rPr>
            </w:pPr>
            <w:r>
              <w:rPr>
                <w:rFonts w:hint="eastAsia" w:ascii="宋体" w:hAnsi="宋体" w:eastAsia="宋体"/>
                <w:szCs w:val="21"/>
                <w:lang w:val="en-US" w:eastAsia="zh-CN"/>
              </w:rPr>
              <w:t>15</w:t>
            </w:r>
            <w:r>
              <w:rPr>
                <w:rFonts w:hint="eastAsia" w:ascii="宋体" w:hAnsi="宋体" w:eastAsia="宋体"/>
                <w:szCs w:val="21"/>
              </w:rPr>
              <w:t>%</w:t>
            </w:r>
          </w:p>
        </w:tc>
        <w:tc>
          <w:tcPr>
            <w:tcW w:w="1081" w:type="pct"/>
            <w:vAlign w:val="center"/>
          </w:tcPr>
          <w:p w14:paraId="0985E51B">
            <w:pPr>
              <w:jc w:val="center"/>
              <w:rPr>
                <w:rFonts w:hint="eastAsia" w:ascii="宋体" w:hAnsi="宋体" w:eastAsia="宋体"/>
                <w:szCs w:val="21"/>
                <w:highlight w:val="red"/>
              </w:rPr>
            </w:pPr>
            <w:r>
              <w:rPr>
                <w:rFonts w:hint="eastAsia" w:ascii="宋体" w:hAnsi="宋体" w:eastAsia="宋体"/>
                <w:szCs w:val="21"/>
                <w:lang w:val="en-US" w:eastAsia="zh-CN"/>
              </w:rPr>
              <w:t>25</w:t>
            </w:r>
            <w:r>
              <w:rPr>
                <w:rFonts w:hint="eastAsia" w:ascii="宋体" w:hAnsi="宋体" w:eastAsia="宋体"/>
                <w:szCs w:val="21"/>
              </w:rPr>
              <w:t>%</w:t>
            </w:r>
          </w:p>
        </w:tc>
        <w:tc>
          <w:tcPr>
            <w:tcW w:w="1081" w:type="pct"/>
            <w:vAlign w:val="center"/>
          </w:tcPr>
          <w:p w14:paraId="70B2F24E">
            <w:pPr>
              <w:jc w:val="center"/>
              <w:rPr>
                <w:rFonts w:hint="eastAsia" w:ascii="宋体" w:hAnsi="宋体" w:eastAsia="宋体"/>
                <w:i/>
                <w:szCs w:val="21"/>
                <w:highlight w:val="red"/>
              </w:rPr>
            </w:pPr>
            <w:r>
              <w:rPr>
                <w:rFonts w:hint="eastAsia" w:ascii="宋体" w:hAnsi="宋体" w:eastAsia="宋体"/>
                <w:szCs w:val="21"/>
                <w:lang w:val="en-US" w:eastAsia="zh-CN"/>
              </w:rPr>
              <w:t>60</w:t>
            </w:r>
            <w:r>
              <w:rPr>
                <w:rFonts w:hint="eastAsia" w:ascii="宋体" w:hAnsi="宋体" w:eastAsia="宋体"/>
                <w:szCs w:val="21"/>
              </w:rPr>
              <w:t>%</w:t>
            </w:r>
          </w:p>
        </w:tc>
        <w:tc>
          <w:tcPr>
            <w:tcW w:w="780" w:type="pct"/>
          </w:tcPr>
          <w:p w14:paraId="1C068EB4">
            <w:pPr>
              <w:jc w:val="center"/>
              <w:rPr>
                <w:rFonts w:hint="eastAsia"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269F4A60">
      <w:pPr>
        <w:pStyle w:val="25"/>
        <w:numPr>
          <w:ilvl w:val="0"/>
          <w:numId w:val="83"/>
        </w:numPr>
        <w:ind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5"/>
        <w:numPr>
          <w:ilvl w:val="0"/>
          <w:numId w:val="67"/>
        </w:numPr>
        <w:spacing w:before="217" w:beforeLines="50"/>
        <w:ind w:left="442" w:hanging="442" w:firstLineChars="0"/>
        <w:rPr>
          <w:rFonts w:hint="eastAsia" w:ascii="宋体" w:hAnsi="宋体" w:eastAsia="宋体" w:cs="Times New Roman"/>
          <w:kern w:val="0"/>
          <w:szCs w:val="21"/>
          <w:lang w:eastAsia="zh-Hans"/>
        </w:rPr>
      </w:pPr>
      <w:r>
        <w:rPr>
          <w:rFonts w:ascii="宋体" w:hAnsi="宋体" w:eastAsia="宋体"/>
          <w:b/>
          <w:bCs/>
        </w:rPr>
        <w:t>评审程序</w:t>
      </w:r>
    </w:p>
    <w:p w14:paraId="458046BA">
      <w:pPr>
        <w:pStyle w:val="25"/>
        <w:widowControl/>
        <w:numPr>
          <w:ilvl w:val="3"/>
          <w:numId w:val="84"/>
        </w:numPr>
        <w:ind w:left="426" w:hanging="426"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5"/>
        <w:widowControl/>
        <w:numPr>
          <w:ilvl w:val="0"/>
          <w:numId w:val="85"/>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5"/>
        <w:widowControl/>
        <w:numPr>
          <w:ilvl w:val="0"/>
          <w:numId w:val="85"/>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5"/>
        <w:widowControl/>
        <w:numPr>
          <w:ilvl w:val="0"/>
          <w:numId w:val="85"/>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5"/>
        <w:widowControl/>
        <w:numPr>
          <w:ilvl w:val="0"/>
          <w:numId w:val="85"/>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5"/>
        <w:widowControl/>
        <w:numPr>
          <w:ilvl w:val="0"/>
          <w:numId w:val="85"/>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hint="eastAsia"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Times New Roman"/>
                <w:b/>
                <w:bCs/>
                <w:kern w:val="0"/>
                <w:szCs w:val="21"/>
                <w:lang w:eastAsia="zh-Hans"/>
              </w:rPr>
            </w:pPr>
            <w:bookmarkStart w:id="27"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hint="eastAsia"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具有良好的商业信誉和健全的财务会计制度</w:t>
            </w:r>
          </w:p>
        </w:tc>
        <w:tc>
          <w:tcPr>
            <w:tcW w:w="3159" w:type="pct"/>
            <w:vAlign w:val="center"/>
          </w:tcPr>
          <w:p w14:paraId="4DE1DEA5">
            <w:pPr>
              <w:widowControl/>
              <w:rPr>
                <w:rFonts w:hint="eastAsia"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lang w:val="en-US" w:eastAsia="zh-CN"/>
              </w:rPr>
              <w:t>具有</w:t>
            </w:r>
            <w:r>
              <w:rPr>
                <w:rFonts w:ascii="Calibri" w:hAnsi="Calibri" w:eastAsia="宋体" w:cs="Times New Roman"/>
                <w:bCs/>
                <w:kern w:val="0"/>
                <w:szCs w:val="21"/>
              </w:rPr>
              <w:t>履行合同所必需的设备和专业技术能力</w:t>
            </w:r>
          </w:p>
        </w:tc>
        <w:tc>
          <w:tcPr>
            <w:tcW w:w="3159" w:type="pct"/>
            <w:vAlign w:val="center"/>
          </w:tcPr>
          <w:p w14:paraId="409A9692">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lang w:val="en-US" w:eastAsia="zh-CN"/>
              </w:rPr>
              <w:t>填报</w:t>
            </w:r>
            <w:r>
              <w:rPr>
                <w:rFonts w:hint="eastAsia" w:ascii="Calibri" w:hAnsi="Calibri" w:eastAsia="宋体" w:cs="Times New Roman"/>
                <w:bCs/>
                <w:kern w:val="0"/>
                <w:szCs w:val="21"/>
              </w:rPr>
              <w:t>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2000BE63">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45A3F9A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提供《中小企业声明函》或属于监狱企业的证明材料或《残疾人福利性单位声明函》</w:t>
            </w:r>
            <w:r>
              <w:rPr>
                <w:rFonts w:hint="eastAsia" w:ascii="宋体" w:hAnsi="宋体" w:eastAsia="宋体" w:cs="Times New Roman"/>
                <w:kern w:val="0"/>
                <w:szCs w:val="21"/>
                <w:lang w:eastAsia="zh-CN"/>
              </w:rPr>
              <w:t>（</w:t>
            </w:r>
            <w:r>
              <w:rPr>
                <w:rFonts w:hint="eastAsia" w:ascii="宋体" w:hAnsi="宋体" w:eastAsia="宋体" w:cs="Times New Roman"/>
                <w:kern w:val="0"/>
                <w:szCs w:val="21"/>
                <w:lang w:eastAsia="zh-Hans"/>
              </w:rPr>
              <w:t>详见投标文件格式</w:t>
            </w:r>
            <w:r>
              <w:rPr>
                <w:rFonts w:hint="eastAsia" w:ascii="宋体" w:hAnsi="宋体" w:eastAsia="宋体" w:cs="Times New Roman"/>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bookmarkEnd w:id="27"/>
    </w:tbl>
    <w:p w14:paraId="33A23CF5">
      <w:pPr>
        <w:pageBreakBefore/>
        <w:jc w:val="left"/>
        <w:rPr>
          <w:rFonts w:hint="eastAsia" w:ascii="宋体" w:hAnsi="宋体" w:eastAsia="宋体" w:cs="Times New Roman"/>
          <w:b/>
          <w:bCs/>
          <w:kern w:val="0"/>
          <w:szCs w:val="21"/>
          <w:lang w:eastAsia="zh-Hans"/>
        </w:rPr>
      </w:pPr>
      <w:bookmarkStart w:id="28"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8"/>
    </w:tbl>
    <w:p w14:paraId="0AEDB113">
      <w:pPr>
        <w:pStyle w:val="25"/>
        <w:numPr>
          <w:ilvl w:val="3"/>
          <w:numId w:val="84"/>
        </w:numPr>
        <w:spacing w:before="217" w:beforeLines="50"/>
        <w:ind w:left="284" w:hanging="284" w:firstLineChars="0"/>
        <w:jc w:val="left"/>
        <w:outlineLvl w:val="3"/>
        <w:rPr>
          <w:rFonts w:hint="eastAsia" w:ascii="宋体" w:hAnsi="宋体" w:eastAsia="宋体" w:cs="Times New Roman"/>
          <w:kern w:val="0"/>
          <w:szCs w:val="21"/>
          <w:lang w:eastAsia="zh-Hans"/>
        </w:rPr>
      </w:pPr>
      <w:bookmarkStart w:id="29" w:name="_Hlk169889470"/>
      <w:r>
        <w:rPr>
          <w:rFonts w:ascii="宋体" w:hAnsi="宋体" w:eastAsia="宋体" w:cs="Times New Roman"/>
          <w:b/>
          <w:kern w:val="0"/>
          <w:szCs w:val="21"/>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479" w:type="pct"/>
            <w:vAlign w:val="center"/>
          </w:tcPr>
          <w:p w14:paraId="53D69B6E">
            <w:pPr>
              <w:pStyle w:val="28"/>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bookmarkStart w:id="30"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6B159EA7">
            <w:pPr>
              <w:pStyle w:val="28"/>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28"/>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28"/>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5000" w:type="pct"/>
            <w:gridSpan w:val="5"/>
            <w:vAlign w:val="center"/>
          </w:tcPr>
          <w:p w14:paraId="5AE958CD">
            <w:pPr>
              <w:pStyle w:val="28"/>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25</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821" w:type="pct"/>
            <w:vAlign w:val="center"/>
          </w:tcPr>
          <w:p w14:paraId="010C9188">
            <w:pPr>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537" w:type="pct"/>
            <w:gridSpan w:val="2"/>
            <w:vAlign w:val="center"/>
          </w:tcPr>
          <w:p w14:paraId="5A37C5ED">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12</w:t>
            </w:r>
            <w:r>
              <w:rPr>
                <w:rFonts w:hint="eastAsia" w:ascii="宋体" w:hAnsi="宋体" w:eastAsia="宋体"/>
                <w:bCs/>
                <w:color w:val="000000" w:themeColor="text1"/>
                <w:szCs w:val="21"/>
                <w14:textFill>
                  <w14:solidFill>
                    <w14:schemeClr w14:val="tx1"/>
                  </w14:solidFill>
                </w14:textFill>
              </w:rPr>
              <w:t>分</w:t>
            </w:r>
          </w:p>
        </w:tc>
        <w:tc>
          <w:tcPr>
            <w:tcW w:w="3161" w:type="pct"/>
            <w:vAlign w:val="center"/>
          </w:tcPr>
          <w:p w14:paraId="28B105CB">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根据投标人具有的食材配送类项目业绩进行评审，每提供一个得2分，最高得</w:t>
            </w:r>
            <w:r>
              <w:rPr>
                <w:rFonts w:hint="eastAsia" w:ascii="宋体" w:hAnsi="宋体" w:eastAsia="宋体"/>
                <w:bCs/>
                <w:color w:val="000000" w:themeColor="text1"/>
                <w:szCs w:val="21"/>
                <w:lang w:val="en-US" w:eastAsia="zh-CN"/>
                <w14:textFill>
                  <w14:solidFill>
                    <w14:schemeClr w14:val="tx1"/>
                  </w14:solidFill>
                </w14:textFill>
              </w:rPr>
              <w:t>12</w:t>
            </w:r>
            <w:r>
              <w:rPr>
                <w:rFonts w:hint="eastAsia" w:ascii="宋体" w:hAnsi="宋体" w:eastAsia="宋体"/>
                <w:bCs/>
                <w:color w:val="000000" w:themeColor="text1"/>
                <w:szCs w:val="21"/>
                <w14:textFill>
                  <w14:solidFill>
                    <w14:schemeClr w14:val="tx1"/>
                  </w14:solidFill>
                </w14:textFill>
              </w:rPr>
              <w:t>分。</w:t>
            </w:r>
          </w:p>
          <w:p w14:paraId="3D267734">
            <w:pPr>
              <w:spacing w:line="400" w:lineRule="exact"/>
              <w:rPr>
                <w:rFonts w:hint="eastAsia" w:ascii="宋体" w:hAnsi="宋体" w:eastAsia="宋体"/>
                <w:b/>
                <w:bCs/>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注：须提供合同复印件加盖投标人公章。</w:t>
            </w:r>
          </w:p>
        </w:tc>
      </w:tr>
      <w:tr w14:paraId="1302A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1592F41E">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17E5A04A">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人员配置</w:t>
            </w:r>
          </w:p>
        </w:tc>
        <w:tc>
          <w:tcPr>
            <w:tcW w:w="537" w:type="pct"/>
            <w:gridSpan w:val="2"/>
            <w:vAlign w:val="center"/>
          </w:tcPr>
          <w:p w14:paraId="1F2CEE82">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3分</w:t>
            </w:r>
          </w:p>
        </w:tc>
        <w:tc>
          <w:tcPr>
            <w:tcW w:w="3161" w:type="pct"/>
            <w:vAlign w:val="center"/>
          </w:tcPr>
          <w:p w14:paraId="70D49541">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根据投标人拟投入本项目的人员具有市场监管部门颁发的</w:t>
            </w:r>
            <w:r>
              <w:rPr>
                <w:rFonts w:hint="eastAsia" w:ascii="宋体" w:hAnsi="宋体" w:eastAsia="宋体"/>
                <w:bCs/>
                <w:color w:val="000000" w:themeColor="text1"/>
                <w:szCs w:val="21"/>
                <w:lang w:val="en-US" w:eastAsia="zh-CN"/>
                <w14:textFill>
                  <w14:solidFill>
                    <w14:schemeClr w14:val="tx1"/>
                  </w14:solidFill>
                </w14:textFill>
              </w:rPr>
              <w:t>有效期内的食品安全管理员类证书进行评审</w:t>
            </w:r>
            <w:r>
              <w:rPr>
                <w:rFonts w:hint="eastAsia" w:ascii="宋体" w:hAnsi="宋体" w:eastAsia="宋体"/>
                <w:bCs/>
                <w:color w:val="000000" w:themeColor="text1"/>
                <w:szCs w:val="21"/>
                <w:lang w:eastAsia="zh-CN"/>
                <w14:textFill>
                  <w14:solidFill>
                    <w14:schemeClr w14:val="tx1"/>
                  </w14:solidFill>
                </w14:textFill>
              </w:rPr>
              <w:t>，</w:t>
            </w:r>
            <w:r>
              <w:rPr>
                <w:rFonts w:hint="eastAsia" w:ascii="宋体" w:hAnsi="宋体" w:eastAsia="宋体"/>
                <w:bCs/>
                <w:color w:val="000000" w:themeColor="text1"/>
                <w:szCs w:val="21"/>
                <w:lang w:val="en-US" w:eastAsia="zh-CN"/>
                <w14:textFill>
                  <w14:solidFill>
                    <w14:schemeClr w14:val="tx1"/>
                  </w14:solidFill>
                </w14:textFill>
              </w:rPr>
              <w:t>每</w:t>
            </w:r>
            <w:r>
              <w:rPr>
                <w:rFonts w:hint="eastAsia" w:ascii="宋体" w:hAnsi="宋体" w:eastAsia="宋体"/>
                <w:bCs/>
                <w:color w:val="000000" w:themeColor="text1"/>
                <w:szCs w:val="21"/>
                <w14:textFill>
                  <w14:solidFill>
                    <w14:schemeClr w14:val="tx1"/>
                  </w14:solidFill>
                </w14:textFill>
              </w:rPr>
              <w:t>提供一个得</w:t>
            </w: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分，最高得</w:t>
            </w: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p w14:paraId="1763E7C6">
            <w:pPr>
              <w:spacing w:line="400" w:lineRule="exact"/>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注：须提供有效证书复印件及投标人在距开标时间前三个月内任意一个月（含开标当月）为其缴纳的社保证明复印件并加盖投标人公章。</w:t>
            </w:r>
          </w:p>
        </w:tc>
      </w:tr>
      <w:tr w14:paraId="0EE20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163B5DE1">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21" w:type="pct"/>
            <w:vAlign w:val="center"/>
          </w:tcPr>
          <w:p w14:paraId="25A38479">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b w:val="0"/>
                <w:bCs w:val="0"/>
                <w:color w:val="auto"/>
                <w:sz w:val="21"/>
                <w:szCs w:val="21"/>
              </w:rPr>
              <w:t>配送车辆配置</w:t>
            </w:r>
          </w:p>
        </w:tc>
        <w:tc>
          <w:tcPr>
            <w:tcW w:w="537" w:type="pct"/>
            <w:gridSpan w:val="2"/>
            <w:vAlign w:val="center"/>
          </w:tcPr>
          <w:p w14:paraId="671B18C1">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6分</w:t>
            </w:r>
          </w:p>
        </w:tc>
        <w:tc>
          <w:tcPr>
            <w:tcW w:w="3161" w:type="pct"/>
            <w:vAlign w:val="center"/>
          </w:tcPr>
          <w:p w14:paraId="0C8AA5E6">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根据投标人拟投入本项目的</w:t>
            </w:r>
            <w:r>
              <w:rPr>
                <w:rFonts w:hint="eastAsia" w:ascii="宋体" w:hAnsi="宋体" w:eastAsia="宋体" w:cs="宋体"/>
                <w:b w:val="0"/>
                <w:bCs w:val="0"/>
                <w:color w:val="auto"/>
                <w:sz w:val="21"/>
                <w:szCs w:val="21"/>
                <w:highlight w:val="none"/>
                <w:lang w:val="en-US" w:eastAsia="zh-CN"/>
              </w:rPr>
              <w:t>冷链运输车</w:t>
            </w:r>
            <w:r>
              <w:rPr>
                <w:rFonts w:hint="eastAsia" w:ascii="宋体" w:hAnsi="宋体" w:eastAsia="宋体"/>
                <w:bCs/>
                <w:color w:val="000000" w:themeColor="text1"/>
                <w:szCs w:val="21"/>
                <w:lang w:val="en-US" w:eastAsia="zh-CN"/>
                <w14:textFill>
                  <w14:solidFill>
                    <w14:schemeClr w14:val="tx1"/>
                  </w14:solidFill>
                </w14:textFill>
              </w:rPr>
              <w:t>进行评审</w:t>
            </w:r>
            <w:r>
              <w:rPr>
                <w:rFonts w:hint="eastAsia" w:ascii="宋体" w:hAnsi="宋体" w:eastAsia="宋体"/>
                <w:bCs/>
                <w:color w:val="000000" w:themeColor="text1"/>
                <w:szCs w:val="21"/>
                <w14:textFill>
                  <w14:solidFill>
                    <w14:schemeClr w14:val="tx1"/>
                  </w14:solidFill>
                </w14:textFill>
              </w:rPr>
              <w:t>，每提供1辆得</w:t>
            </w:r>
            <w:r>
              <w:rPr>
                <w:rFonts w:hint="eastAsia" w:ascii="宋体" w:hAnsi="宋体" w:eastAsia="宋体"/>
                <w:bCs/>
                <w:color w:val="000000" w:themeColor="text1"/>
                <w:szCs w:val="21"/>
                <w:lang w:val="en-US" w:eastAsia="zh-CN"/>
                <w14:textFill>
                  <w14:solidFill>
                    <w14:schemeClr w14:val="tx1"/>
                  </w14:solidFill>
                </w14:textFill>
              </w:rPr>
              <w:t>2</w:t>
            </w:r>
            <w:r>
              <w:rPr>
                <w:rFonts w:hint="eastAsia" w:ascii="宋体" w:hAnsi="宋体" w:eastAsia="宋体"/>
                <w:bCs/>
                <w:color w:val="000000" w:themeColor="text1"/>
                <w:szCs w:val="21"/>
                <w14:textFill>
                  <w14:solidFill>
                    <w14:schemeClr w14:val="tx1"/>
                  </w14:solidFill>
                </w14:textFill>
              </w:rPr>
              <w:t>分，最高得</w:t>
            </w:r>
            <w:r>
              <w:rPr>
                <w:rFonts w:hint="eastAsia" w:ascii="宋体" w:hAnsi="宋体" w:eastAsia="宋体"/>
                <w:bCs/>
                <w:color w:val="000000" w:themeColor="text1"/>
                <w:szCs w:val="21"/>
                <w:lang w:val="en-US" w:eastAsia="zh-CN"/>
                <w14:textFill>
                  <w14:solidFill>
                    <w14:schemeClr w14:val="tx1"/>
                  </w14:solidFill>
                </w14:textFill>
              </w:rPr>
              <w:t>6</w:t>
            </w:r>
            <w:r>
              <w:rPr>
                <w:rFonts w:hint="eastAsia" w:ascii="宋体" w:hAnsi="宋体" w:eastAsia="宋体"/>
                <w:bCs/>
                <w:color w:val="000000" w:themeColor="text1"/>
                <w:szCs w:val="21"/>
                <w14:textFill>
                  <w14:solidFill>
                    <w14:schemeClr w14:val="tx1"/>
                  </w14:solidFill>
                </w14:textFill>
              </w:rPr>
              <w:t>分。</w:t>
            </w:r>
          </w:p>
          <w:p w14:paraId="4F9D3D6C">
            <w:pPr>
              <w:spacing w:line="400" w:lineRule="exact"/>
              <w:rPr>
                <w:rFonts w:hint="eastAsia" w:ascii="宋体" w:hAnsi="宋体" w:eastAsia="宋体"/>
                <w:b/>
                <w:color w:val="000000" w:themeColor="text1"/>
                <w:szCs w:val="21"/>
                <w:u w:val="single"/>
                <w:lang w:eastAsia="zh-CN"/>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注：①自有车辆</w:t>
            </w:r>
            <w:r>
              <w:rPr>
                <w:rFonts w:hint="eastAsia" w:ascii="宋体" w:hAnsi="宋体" w:eastAsia="宋体"/>
                <w:b/>
                <w:color w:val="000000" w:themeColor="text1"/>
                <w:szCs w:val="21"/>
                <w:u w:val="single"/>
                <w:lang w:val="en-US" w:eastAsia="zh-CN"/>
                <w14:textFill>
                  <w14:solidFill>
                    <w14:schemeClr w14:val="tx1"/>
                  </w14:solidFill>
                </w14:textFill>
              </w:rPr>
              <w:t>需</w:t>
            </w:r>
            <w:r>
              <w:rPr>
                <w:rFonts w:hint="eastAsia" w:ascii="宋体" w:hAnsi="宋体" w:eastAsia="宋体"/>
                <w:b/>
                <w:color w:val="000000" w:themeColor="text1"/>
                <w:szCs w:val="21"/>
                <w:u w:val="single"/>
                <w14:textFill>
                  <w14:solidFill>
                    <w14:schemeClr w14:val="tx1"/>
                  </w14:solidFill>
                </w14:textFill>
              </w:rPr>
              <w:t>提供车辆行驶证复印件（车辆所有人为投标人或其</w:t>
            </w:r>
            <w:r>
              <w:rPr>
                <w:rFonts w:hint="eastAsia" w:ascii="宋体" w:hAnsi="宋体" w:eastAsia="宋体"/>
                <w:b/>
                <w:color w:val="000000" w:themeColor="text1"/>
                <w:szCs w:val="21"/>
                <w:u w:val="single"/>
                <w:lang w:val="en-US" w:eastAsia="zh-CN"/>
                <w14:textFill>
                  <w14:solidFill>
                    <w14:schemeClr w14:val="tx1"/>
                  </w14:solidFill>
                </w14:textFill>
              </w:rPr>
              <w:t>法定代表人</w:t>
            </w:r>
            <w:r>
              <w:rPr>
                <w:rFonts w:hint="eastAsia" w:ascii="宋体" w:hAnsi="宋体" w:eastAsia="宋体"/>
                <w:b/>
                <w:color w:val="000000" w:themeColor="text1"/>
                <w:szCs w:val="21"/>
                <w:u w:val="single"/>
                <w14:textFill>
                  <w14:solidFill>
                    <w14:schemeClr w14:val="tx1"/>
                  </w14:solidFill>
                </w14:textFill>
              </w:rPr>
              <w:t>）；②租赁配送车辆需提供</w:t>
            </w:r>
            <w:r>
              <w:rPr>
                <w:rFonts w:hint="eastAsia" w:ascii="宋体" w:hAnsi="宋体" w:eastAsia="宋体"/>
                <w:b/>
                <w:color w:val="000000" w:themeColor="text1"/>
                <w:szCs w:val="21"/>
                <w:u w:val="single"/>
                <w:lang w:val="en-US" w:eastAsia="zh-CN"/>
                <w14:textFill>
                  <w14:solidFill>
                    <w14:schemeClr w14:val="tx1"/>
                  </w14:solidFill>
                </w14:textFill>
              </w:rPr>
              <w:t>有效期内的</w:t>
            </w:r>
            <w:r>
              <w:rPr>
                <w:rFonts w:hint="eastAsia" w:ascii="宋体" w:hAnsi="宋体" w:eastAsia="宋体"/>
                <w:b/>
                <w:color w:val="000000" w:themeColor="text1"/>
                <w:szCs w:val="21"/>
                <w:u w:val="single"/>
                <w14:textFill>
                  <w14:solidFill>
                    <w14:schemeClr w14:val="tx1"/>
                  </w14:solidFill>
                </w14:textFill>
              </w:rPr>
              <w:t>车辆租赁合同及车辆行驶证复印件</w:t>
            </w:r>
            <w:r>
              <w:rPr>
                <w:rFonts w:hint="eastAsia" w:ascii="宋体" w:hAnsi="宋体" w:eastAsia="宋体"/>
                <w:b/>
                <w:color w:val="000000" w:themeColor="text1"/>
                <w:szCs w:val="21"/>
                <w:u w:val="single"/>
                <w:lang w:eastAsia="zh-CN"/>
                <w14:textFill>
                  <w14:solidFill>
                    <w14:schemeClr w14:val="tx1"/>
                  </w14:solidFill>
                </w14:textFill>
              </w:rPr>
              <w:t>；</w:t>
            </w:r>
            <w:r>
              <w:rPr>
                <w:rFonts w:hint="eastAsia" w:ascii="宋体" w:hAnsi="宋体" w:eastAsia="宋体"/>
                <w:b/>
                <w:color w:val="000000" w:themeColor="text1"/>
                <w:szCs w:val="21"/>
                <w:u w:val="single"/>
                <w14:textFill>
                  <w14:solidFill>
                    <w14:schemeClr w14:val="tx1"/>
                  </w14:solidFill>
                </w14:textFill>
              </w:rPr>
              <w:t>③车辆行驶证复印件</w:t>
            </w:r>
            <w:r>
              <w:rPr>
                <w:rFonts w:hint="eastAsia" w:ascii="宋体" w:hAnsi="宋体" w:eastAsia="宋体"/>
                <w:b/>
                <w:color w:val="000000" w:themeColor="text1"/>
                <w:szCs w:val="21"/>
                <w:u w:val="single"/>
                <w:lang w:eastAsia="zh-CN"/>
                <w14:textFill>
                  <w14:solidFill>
                    <w14:schemeClr w14:val="tx1"/>
                  </w14:solidFill>
                </w14:textFill>
              </w:rPr>
              <w:t>的</w:t>
            </w:r>
            <w:r>
              <w:rPr>
                <w:rFonts w:hint="eastAsia" w:ascii="宋体" w:hAnsi="宋体" w:eastAsia="宋体"/>
                <w:b/>
                <w:color w:val="000000" w:themeColor="text1"/>
                <w:szCs w:val="21"/>
                <w:u w:val="single"/>
                <w:lang w:val="en-US" w:eastAsia="zh-CN"/>
                <w14:textFill>
                  <w14:solidFill>
                    <w14:schemeClr w14:val="tx1"/>
                  </w14:solidFill>
                </w14:textFill>
              </w:rPr>
              <w:t>车辆检验记录页应显示年检在有效期内；</w:t>
            </w:r>
            <w:r>
              <w:rPr>
                <w:rFonts w:hint="eastAsia" w:ascii="宋体" w:hAnsi="宋体" w:eastAsia="宋体"/>
                <w:b/>
                <w:color w:val="000000" w:themeColor="text1"/>
                <w:szCs w:val="21"/>
                <w:u w:val="single"/>
                <w14:textFill>
                  <w14:solidFill>
                    <w14:schemeClr w14:val="tx1"/>
                  </w14:solidFill>
                </w14:textFill>
              </w:rPr>
              <w:t>④</w:t>
            </w:r>
            <w:r>
              <w:rPr>
                <w:rFonts w:hint="eastAsia" w:ascii="宋体" w:hAnsi="宋体" w:eastAsia="宋体"/>
                <w:b/>
                <w:color w:val="000000" w:themeColor="text1"/>
                <w:szCs w:val="21"/>
                <w:u w:val="single"/>
                <w:lang w:val="en-US" w:eastAsia="zh-CN"/>
                <w14:textFill>
                  <w14:solidFill>
                    <w14:schemeClr w14:val="tx1"/>
                  </w14:solidFill>
                </w14:textFill>
              </w:rPr>
              <w:t>提供对应车辆的实拍照片</w:t>
            </w:r>
            <w:r>
              <w:rPr>
                <w:rFonts w:hint="eastAsia" w:ascii="宋体" w:hAnsi="宋体" w:eastAsia="宋体" w:cs="宋体"/>
                <w:b/>
                <w:bCs/>
                <w:color w:val="auto"/>
                <w:sz w:val="21"/>
                <w:szCs w:val="21"/>
                <w:highlight w:val="none"/>
                <w:u w:val="single"/>
                <w:lang w:val="en-US" w:eastAsia="zh-CN"/>
              </w:rPr>
              <w:t>（照片能清晰体现车牌号和冷藏/冷冻功能）</w:t>
            </w:r>
            <w:r>
              <w:rPr>
                <w:rFonts w:hint="eastAsia" w:ascii="宋体" w:hAnsi="宋体" w:eastAsia="宋体"/>
                <w:b/>
                <w:color w:val="000000" w:themeColor="text1"/>
                <w:szCs w:val="21"/>
                <w:u w:val="single"/>
                <w:lang w:eastAsia="zh-CN"/>
                <w14:textFill>
                  <w14:solidFill>
                    <w14:schemeClr w14:val="tx1"/>
                  </w14:solidFill>
                </w14:textFill>
              </w:rPr>
              <w:t>；</w:t>
            </w:r>
            <w:r>
              <w:rPr>
                <w:rFonts w:hint="eastAsia" w:ascii="宋体" w:hAnsi="宋体" w:eastAsia="宋体"/>
                <w:b/>
                <w:color w:val="000000" w:themeColor="text1"/>
                <w:szCs w:val="21"/>
                <w:u w:val="single"/>
                <w14:textFill>
                  <w14:solidFill>
                    <w14:schemeClr w14:val="tx1"/>
                  </w14:solidFill>
                </w14:textFill>
              </w:rPr>
              <w:t>⑤</w:t>
            </w:r>
            <w:r>
              <w:rPr>
                <w:rFonts w:hint="eastAsia" w:ascii="宋体" w:hAnsi="宋体" w:eastAsia="宋体"/>
                <w:b/>
                <w:color w:val="000000" w:themeColor="text1"/>
                <w:szCs w:val="21"/>
                <w:u w:val="single"/>
                <w:lang w:val="en-US" w:eastAsia="zh-CN"/>
                <w14:textFill>
                  <w14:solidFill>
                    <w14:schemeClr w14:val="tx1"/>
                  </w14:solidFill>
                </w14:textFill>
              </w:rPr>
              <w:t>上述证明材料均需</w:t>
            </w:r>
            <w:r>
              <w:rPr>
                <w:rFonts w:hint="eastAsia" w:ascii="宋体" w:hAnsi="宋体" w:eastAsia="宋体"/>
                <w:b/>
                <w:color w:val="000000" w:themeColor="text1"/>
                <w:szCs w:val="21"/>
                <w:u w:val="single"/>
                <w14:textFill>
                  <w14:solidFill>
                    <w14:schemeClr w14:val="tx1"/>
                  </w14:solidFill>
                </w14:textFill>
              </w:rPr>
              <w:t>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21" w:type="pct"/>
            <w:vAlign w:val="center"/>
          </w:tcPr>
          <w:p w14:paraId="1F2B12E5">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紧急配送</w:t>
            </w:r>
            <w:r>
              <w:rPr>
                <w:rFonts w:hint="eastAsia" w:ascii="宋体" w:hAnsi="宋体" w:eastAsia="宋体"/>
                <w:color w:val="000000" w:themeColor="text1"/>
                <w:szCs w:val="21"/>
                <w14:textFill>
                  <w14:solidFill>
                    <w14:schemeClr w14:val="tx1"/>
                  </w14:solidFill>
                </w14:textFill>
              </w:rPr>
              <w:t>响应时间</w:t>
            </w:r>
          </w:p>
        </w:tc>
        <w:tc>
          <w:tcPr>
            <w:tcW w:w="537" w:type="pct"/>
            <w:gridSpan w:val="2"/>
            <w:vAlign w:val="center"/>
          </w:tcPr>
          <w:p w14:paraId="52809DCD">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6738F1B0">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根据投标人承诺的</w:t>
            </w:r>
            <w:r>
              <w:rPr>
                <w:rFonts w:hint="eastAsia" w:ascii="宋体" w:hAnsi="宋体" w:eastAsia="宋体"/>
                <w:bCs/>
                <w:color w:val="000000" w:themeColor="text1"/>
                <w:szCs w:val="21"/>
                <w:lang w:val="en-US" w:eastAsia="zh-CN"/>
                <w14:textFill>
                  <w14:solidFill>
                    <w14:schemeClr w14:val="tx1"/>
                  </w14:solidFill>
                </w14:textFill>
              </w:rPr>
              <w:t>紧急配送</w:t>
            </w:r>
            <w:r>
              <w:rPr>
                <w:rFonts w:hint="eastAsia" w:ascii="宋体" w:hAnsi="宋体" w:eastAsia="宋体"/>
                <w:bCs/>
                <w:color w:val="000000" w:themeColor="text1"/>
                <w:szCs w:val="21"/>
                <w14:textFill>
                  <w14:solidFill>
                    <w14:schemeClr w14:val="tx1"/>
                  </w14:solidFill>
                </w14:textFill>
              </w:rPr>
              <w:t>响应时间进行评审：</w:t>
            </w:r>
          </w:p>
          <w:p w14:paraId="703BA3D9">
            <w:pPr>
              <w:numPr>
                <w:ilvl w:val="0"/>
                <w:numId w:val="86"/>
              </w:num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投标人承诺在接到采购人通知后</w:t>
            </w:r>
            <w:r>
              <w:rPr>
                <w:rFonts w:hint="eastAsia" w:ascii="宋体" w:hAnsi="宋体" w:eastAsia="宋体"/>
                <w:bCs/>
                <w:color w:val="000000" w:themeColor="text1"/>
                <w:szCs w:val="21"/>
                <w:lang w:val="en-US" w:eastAsia="zh-CN"/>
                <w14:textFill>
                  <w14:solidFill>
                    <w14:schemeClr w14:val="tx1"/>
                  </w14:solidFill>
                </w14:textFill>
              </w:rPr>
              <w:t>30分钟</w:t>
            </w:r>
            <w:r>
              <w:rPr>
                <w:rFonts w:hint="eastAsia" w:ascii="宋体" w:hAnsi="宋体" w:eastAsia="宋体"/>
                <w:bCs/>
                <w:color w:val="000000" w:themeColor="text1"/>
                <w:szCs w:val="21"/>
                <w14:textFill>
                  <w14:solidFill>
                    <w14:schemeClr w14:val="tx1"/>
                  </w14:solidFill>
                </w14:textFill>
              </w:rPr>
              <w:t>（含）内将货物送达现场，得</w:t>
            </w:r>
            <w:r>
              <w:rPr>
                <w:rFonts w:hint="eastAsia" w:ascii="宋体" w:hAnsi="宋体" w:eastAsia="宋体"/>
                <w:bCs/>
                <w:color w:val="000000" w:themeColor="text1"/>
                <w:szCs w:val="21"/>
                <w:lang w:val="en-US" w:eastAsia="zh-CN"/>
                <w14:textFill>
                  <w14:solidFill>
                    <w14:schemeClr w14:val="tx1"/>
                  </w14:solidFill>
                </w14:textFill>
              </w:rPr>
              <w:t>4</w:t>
            </w:r>
            <w:r>
              <w:rPr>
                <w:rFonts w:hint="eastAsia" w:ascii="宋体" w:hAnsi="宋体" w:eastAsia="宋体"/>
                <w:bCs/>
                <w:color w:val="000000" w:themeColor="text1"/>
                <w:szCs w:val="21"/>
                <w14:textFill>
                  <w14:solidFill>
                    <w14:schemeClr w14:val="tx1"/>
                  </w14:solidFill>
                </w14:textFill>
              </w:rPr>
              <w:t>分；</w:t>
            </w:r>
          </w:p>
          <w:p w14:paraId="033F3E26">
            <w:pPr>
              <w:numPr>
                <w:ilvl w:val="0"/>
                <w:numId w:val="86"/>
              </w:num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投标人承诺在接到采购人通知后</w:t>
            </w:r>
            <w:r>
              <w:rPr>
                <w:rFonts w:hint="eastAsia" w:ascii="宋体" w:hAnsi="宋体" w:eastAsia="宋体"/>
                <w:bCs/>
                <w:color w:val="000000" w:themeColor="text1"/>
                <w:szCs w:val="21"/>
                <w:lang w:val="en-US" w:eastAsia="zh-CN"/>
                <w14:textFill>
                  <w14:solidFill>
                    <w14:schemeClr w14:val="tx1"/>
                  </w14:solidFill>
                </w14:textFill>
              </w:rPr>
              <w:t>30分钟</w:t>
            </w:r>
            <w:r>
              <w:rPr>
                <w:rFonts w:hint="eastAsia" w:ascii="宋体" w:hAnsi="宋体" w:eastAsia="宋体"/>
                <w:bCs/>
                <w:color w:val="000000" w:themeColor="text1"/>
                <w:szCs w:val="21"/>
                <w14:textFill>
                  <w14:solidFill>
                    <w14:schemeClr w14:val="tx1"/>
                  </w14:solidFill>
                </w14:textFill>
              </w:rPr>
              <w:t>（不含）至</w:t>
            </w:r>
            <w:r>
              <w:rPr>
                <w:rFonts w:hint="eastAsia" w:ascii="宋体" w:hAnsi="宋体" w:eastAsia="宋体"/>
                <w:bCs/>
                <w:color w:val="000000" w:themeColor="text1"/>
                <w:szCs w:val="21"/>
                <w:lang w:val="en-US" w:eastAsia="zh-CN"/>
                <w14:textFill>
                  <w14:solidFill>
                    <w14:schemeClr w14:val="tx1"/>
                  </w14:solidFill>
                </w14:textFill>
              </w:rPr>
              <w:t>45分钟</w:t>
            </w:r>
            <w:r>
              <w:rPr>
                <w:rFonts w:hint="eastAsia" w:ascii="宋体" w:hAnsi="宋体" w:eastAsia="宋体"/>
                <w:bCs/>
                <w:color w:val="000000" w:themeColor="text1"/>
                <w:szCs w:val="21"/>
                <w14:textFill>
                  <w14:solidFill>
                    <w14:schemeClr w14:val="tx1"/>
                  </w14:solidFill>
                </w14:textFill>
              </w:rPr>
              <w:t>（含）内将货物送达现场，得2分；</w:t>
            </w:r>
          </w:p>
          <w:p w14:paraId="2FE0ECF5">
            <w:pPr>
              <w:numPr>
                <w:ilvl w:val="0"/>
                <w:numId w:val="86"/>
              </w:num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投标人承诺在接到采购人通知后</w:t>
            </w:r>
            <w:r>
              <w:rPr>
                <w:rFonts w:hint="eastAsia" w:ascii="宋体" w:hAnsi="宋体" w:eastAsia="宋体"/>
                <w:bCs/>
                <w:color w:val="000000" w:themeColor="text1"/>
                <w:szCs w:val="21"/>
                <w:lang w:val="en-US" w:eastAsia="zh-CN"/>
                <w14:textFill>
                  <w14:solidFill>
                    <w14:schemeClr w14:val="tx1"/>
                  </w14:solidFill>
                </w14:textFill>
              </w:rPr>
              <w:t>45分钟</w:t>
            </w:r>
            <w:r>
              <w:rPr>
                <w:rFonts w:hint="eastAsia" w:ascii="宋体" w:hAnsi="宋体" w:eastAsia="宋体"/>
                <w:bCs/>
                <w:color w:val="000000" w:themeColor="text1"/>
                <w:szCs w:val="21"/>
                <w14:textFill>
                  <w14:solidFill>
                    <w14:schemeClr w14:val="tx1"/>
                  </w14:solidFill>
                </w14:textFill>
              </w:rPr>
              <w:t>（不含）至</w:t>
            </w:r>
            <w:r>
              <w:rPr>
                <w:rFonts w:hint="eastAsia" w:ascii="宋体" w:hAnsi="宋体" w:eastAsia="宋体"/>
                <w:bCs/>
                <w:color w:val="000000" w:themeColor="text1"/>
                <w:szCs w:val="21"/>
                <w:lang w:val="en-US" w:eastAsia="zh-CN"/>
                <w14:textFill>
                  <w14:solidFill>
                    <w14:schemeClr w14:val="tx1"/>
                  </w14:solidFill>
                </w14:textFill>
              </w:rPr>
              <w:t>60分钟</w:t>
            </w:r>
            <w:r>
              <w:rPr>
                <w:rFonts w:hint="eastAsia" w:ascii="宋体" w:hAnsi="宋体" w:eastAsia="宋体"/>
                <w:bCs/>
                <w:color w:val="000000" w:themeColor="text1"/>
                <w:szCs w:val="21"/>
                <w14:textFill>
                  <w14:solidFill>
                    <w14:schemeClr w14:val="tx1"/>
                  </w14:solidFill>
                </w14:textFill>
              </w:rPr>
              <w:t>（含）内将货物送达现场，得1分；</w:t>
            </w:r>
          </w:p>
          <w:p w14:paraId="5FD8F56B">
            <w:pPr>
              <w:numPr>
                <w:ilvl w:val="0"/>
                <w:numId w:val="86"/>
              </w:num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其他情况不得分。</w:t>
            </w:r>
          </w:p>
          <w:p w14:paraId="523D5E0C">
            <w:pPr>
              <w:spacing w:line="400" w:lineRule="exact"/>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注：投标人须提供承诺函</w:t>
            </w:r>
            <w:r>
              <w:rPr>
                <w:rFonts w:hint="eastAsia" w:ascii="宋体" w:hAnsi="宋体" w:eastAsia="宋体"/>
                <w:b/>
                <w:color w:val="000000" w:themeColor="text1"/>
                <w:szCs w:val="21"/>
                <w:u w:val="single"/>
                <w:lang w:val="en-US" w:eastAsia="zh-CN"/>
                <w14:textFill>
                  <w14:solidFill>
                    <w14:schemeClr w14:val="tx1"/>
                  </w14:solidFill>
                </w14:textFill>
              </w:rPr>
              <w:t>并</w:t>
            </w:r>
            <w:r>
              <w:rPr>
                <w:rFonts w:hint="eastAsia" w:ascii="宋体" w:hAnsi="宋体" w:eastAsia="宋体"/>
                <w:b/>
                <w:color w:val="000000" w:themeColor="text1"/>
                <w:szCs w:val="21"/>
                <w:u w:val="single"/>
                <w14:textFill>
                  <w14:solidFill>
                    <w14:schemeClr w14:val="tx1"/>
                  </w14:solidFill>
                </w14:textFill>
              </w:rPr>
              <w:t>加盖投标人公章，承诺函格式自拟。</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5000" w:type="pct"/>
            <w:gridSpan w:val="5"/>
            <w:vAlign w:val="center"/>
          </w:tcPr>
          <w:p w14:paraId="227985D8">
            <w:pPr>
              <w:pStyle w:val="28"/>
              <w:spacing w:line="400" w:lineRule="exact"/>
              <w:ind w:firstLine="0" w:firstLineChars="0"/>
              <w:jc w:val="center"/>
              <w:rPr>
                <w:rFonts w:hint="eastAsia"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60</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360" w:lineRule="auto"/>
              <w:ind w:firstLine="210" w:firstLineChars="10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rPr>
              <w:t>1</w:t>
            </w:r>
          </w:p>
        </w:tc>
        <w:tc>
          <w:tcPr>
            <w:tcW w:w="821" w:type="pct"/>
            <w:vAlign w:val="center"/>
          </w:tcPr>
          <w:p w14:paraId="3D6118E7">
            <w:pPr>
              <w:pStyle w:val="19"/>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rPr>
              <w:t>总体</w:t>
            </w:r>
            <w:r>
              <w:rPr>
                <w:rFonts w:hint="eastAsia" w:ascii="宋体" w:hAnsi="宋体" w:eastAsia="宋体" w:cs="宋体"/>
                <w:color w:val="auto"/>
                <w:sz w:val="21"/>
                <w:szCs w:val="21"/>
                <w:lang w:val="en-US" w:eastAsia="zh-CN"/>
              </w:rPr>
              <w:t>实施</w:t>
            </w:r>
            <w:r>
              <w:rPr>
                <w:rFonts w:hint="eastAsia" w:ascii="宋体" w:hAnsi="宋体" w:eastAsia="宋体" w:cs="宋体"/>
                <w:color w:val="auto"/>
                <w:sz w:val="21"/>
                <w:szCs w:val="21"/>
              </w:rPr>
              <w:t>方案</w:t>
            </w:r>
          </w:p>
        </w:tc>
        <w:tc>
          <w:tcPr>
            <w:tcW w:w="537" w:type="pct"/>
            <w:gridSpan w:val="2"/>
            <w:vAlign w:val="center"/>
          </w:tcPr>
          <w:p w14:paraId="51051921">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top"/>
          </w:tcPr>
          <w:p w14:paraId="4E8B5A81">
            <w:pPr>
              <w:pStyle w:val="19"/>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投标人针对</w:t>
            </w:r>
            <w:r>
              <w:rPr>
                <w:rFonts w:hint="eastAsia" w:ascii="宋体" w:hAnsi="宋体" w:eastAsia="宋体" w:cs="宋体"/>
                <w:b/>
                <w:bCs/>
                <w:color w:val="auto"/>
                <w:sz w:val="21"/>
                <w:szCs w:val="21"/>
                <w:highlight w:val="none"/>
              </w:rPr>
              <w:t>本项目</w:t>
            </w:r>
            <w:r>
              <w:rPr>
                <w:rFonts w:hint="eastAsia" w:ascii="宋体" w:hAnsi="宋体" w:eastAsia="宋体" w:cs="宋体"/>
                <w:b/>
                <w:bCs/>
                <w:color w:val="auto"/>
                <w:sz w:val="21"/>
                <w:szCs w:val="21"/>
                <w:highlight w:val="none"/>
                <w:lang w:val="en-US" w:eastAsia="zh-CN"/>
              </w:rPr>
              <w:t>提供的</w:t>
            </w:r>
            <w:r>
              <w:rPr>
                <w:rFonts w:hint="eastAsia" w:ascii="宋体" w:hAnsi="宋体" w:eastAsia="宋体" w:cs="宋体"/>
                <w:b/>
                <w:bCs/>
                <w:color w:val="auto"/>
                <w:sz w:val="21"/>
                <w:szCs w:val="21"/>
                <w:highlight w:val="none"/>
              </w:rPr>
              <w:t>总体实施方案（包括但不限于</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实施组织计划、总体工作流程等）进行评审：</w:t>
            </w:r>
          </w:p>
          <w:p w14:paraId="4EA57933">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1、</w:t>
            </w:r>
            <w:r>
              <w:rPr>
                <w:rFonts w:hint="eastAsia" w:ascii="宋体" w:hAnsi="宋体" w:eastAsia="宋体" w:cs="宋体"/>
                <w:b w:val="0"/>
                <w:bCs w:val="0"/>
                <w:color w:val="auto"/>
                <w:sz w:val="21"/>
                <w:szCs w:val="21"/>
                <w:highlight w:val="none"/>
              </w:rPr>
              <w:t>实施方案非常详细全面，实施组织计划科学合理，总体工作流程详尽完善、步骤清晰明确，服务标准非常高，完全满足采购需求的，得1</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p w14:paraId="688A27B7">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2、</w:t>
            </w:r>
            <w:r>
              <w:rPr>
                <w:rFonts w:hint="eastAsia" w:ascii="宋体" w:hAnsi="宋体" w:eastAsia="宋体" w:cs="宋体"/>
                <w:b w:val="0"/>
                <w:bCs w:val="0"/>
                <w:color w:val="auto"/>
                <w:sz w:val="21"/>
                <w:szCs w:val="21"/>
                <w:highlight w:val="none"/>
              </w:rPr>
              <w:t>实施方案详细全面，实施组织计划比较符合项目需求的，总体工作流程比较完善、步骤较清晰明确，服务标准高，满足采购需求的，得</w:t>
            </w:r>
            <w:r>
              <w:rPr>
                <w:rFonts w:hint="eastAsia" w:ascii="宋体" w:hAns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p w14:paraId="50FCD401">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实施组织计划基本合理，总体工作流程基本完整，服务标准较高，保障措施可行的，基本满足采购需求的，得</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p w14:paraId="1F934A82">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实施组织计划、总体工作流程简略、服务标准及保障措施可行性较差的，部分满足采购需求的，得1分；</w:t>
            </w:r>
          </w:p>
          <w:p w14:paraId="37A74451">
            <w:pPr>
              <w:spacing w:line="400" w:lineRule="exact"/>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未提供</w:t>
            </w:r>
            <w:r>
              <w:rPr>
                <w:rFonts w:hint="eastAsia" w:ascii="宋体" w:hAnsi="宋体" w:eastAsia="宋体" w:cs="宋体"/>
                <w:b w:val="0"/>
                <w:bCs w:val="0"/>
                <w:color w:val="auto"/>
                <w:sz w:val="21"/>
                <w:szCs w:val="21"/>
                <w:highlight w:val="none"/>
                <w:lang w:val="en-US" w:eastAsia="zh-CN"/>
              </w:rPr>
              <w:t>相关</w:t>
            </w:r>
            <w:r>
              <w:rPr>
                <w:rFonts w:hint="eastAsia" w:ascii="宋体" w:hAnsi="宋体" w:eastAsia="宋体" w:cs="宋体"/>
                <w:b w:val="0"/>
                <w:bCs w:val="0"/>
                <w:color w:val="auto"/>
                <w:sz w:val="21"/>
                <w:szCs w:val="21"/>
                <w:highlight w:val="none"/>
              </w:rPr>
              <w:t>方案的不得分。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479" w:type="pct"/>
            <w:vAlign w:val="center"/>
          </w:tcPr>
          <w:p w14:paraId="09761D28">
            <w:pPr>
              <w:spacing w:line="360" w:lineRule="auto"/>
              <w:ind w:firstLine="210" w:firstLineChars="10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rPr>
              <w:t>2</w:t>
            </w:r>
          </w:p>
        </w:tc>
        <w:tc>
          <w:tcPr>
            <w:tcW w:w="821" w:type="pct"/>
            <w:vAlign w:val="center"/>
          </w:tcPr>
          <w:p w14:paraId="134948A6">
            <w:pPr>
              <w:pStyle w:val="19"/>
              <w:spacing w:line="360" w:lineRule="auto"/>
              <w:jc w:val="center"/>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eastAsia="宋体" w:cs="宋体"/>
                <w:color w:val="auto"/>
                <w:sz w:val="21"/>
                <w:szCs w:val="21"/>
              </w:rPr>
              <w:t>食品安全</w:t>
            </w:r>
            <w:r>
              <w:rPr>
                <w:rFonts w:hint="eastAsia" w:ascii="宋体" w:hAnsi="宋体" w:eastAsia="宋体" w:cs="宋体"/>
                <w:color w:val="auto"/>
                <w:sz w:val="21"/>
                <w:szCs w:val="21"/>
                <w:lang w:val="en-US" w:eastAsia="zh-CN"/>
              </w:rPr>
              <w:t>质量</w:t>
            </w:r>
            <w:r>
              <w:rPr>
                <w:rFonts w:hint="eastAsia" w:ascii="宋体" w:hAnsi="宋体" w:eastAsia="宋体" w:cs="宋体"/>
                <w:color w:val="auto"/>
                <w:sz w:val="21"/>
                <w:szCs w:val="21"/>
              </w:rPr>
              <w:t>保障</w:t>
            </w:r>
            <w:r>
              <w:rPr>
                <w:rFonts w:hint="eastAsia" w:ascii="宋体" w:hAnsi="宋体" w:eastAsia="宋体" w:cs="宋体"/>
                <w:color w:val="auto"/>
                <w:sz w:val="21"/>
                <w:szCs w:val="21"/>
                <w:lang w:val="en-US" w:eastAsia="zh-CN"/>
              </w:rPr>
              <w:t>方案</w:t>
            </w:r>
          </w:p>
        </w:tc>
        <w:tc>
          <w:tcPr>
            <w:tcW w:w="537" w:type="pct"/>
            <w:gridSpan w:val="2"/>
            <w:vAlign w:val="center"/>
          </w:tcPr>
          <w:p w14:paraId="7D74B5DC">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top"/>
          </w:tcPr>
          <w:p w14:paraId="24B158E8">
            <w:pPr>
              <w:pStyle w:val="19"/>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投标人针对</w:t>
            </w:r>
            <w:r>
              <w:rPr>
                <w:rFonts w:hint="eastAsia" w:ascii="宋体" w:hAnsi="宋体" w:eastAsia="宋体" w:cs="宋体"/>
                <w:b/>
                <w:bCs/>
                <w:color w:val="auto"/>
                <w:sz w:val="21"/>
                <w:szCs w:val="21"/>
                <w:highlight w:val="none"/>
              </w:rPr>
              <w:t>本项目</w:t>
            </w:r>
            <w:r>
              <w:rPr>
                <w:rFonts w:hint="eastAsia" w:ascii="宋体" w:hAnsi="宋体" w:eastAsia="宋体" w:cs="宋体"/>
                <w:b/>
                <w:bCs/>
                <w:color w:val="auto"/>
                <w:sz w:val="21"/>
                <w:szCs w:val="21"/>
                <w:highlight w:val="none"/>
                <w:lang w:val="en-US" w:eastAsia="zh-CN"/>
              </w:rPr>
              <w:t>提供的</w:t>
            </w:r>
            <w:r>
              <w:rPr>
                <w:rFonts w:hint="eastAsia" w:ascii="宋体" w:hAnsi="宋体" w:eastAsia="宋体" w:cs="宋体"/>
                <w:b/>
                <w:bCs/>
                <w:color w:val="auto"/>
                <w:sz w:val="21"/>
                <w:szCs w:val="21"/>
                <w:highlight w:val="none"/>
              </w:rPr>
              <w:t>食品安全质量保障方案（包括但不限于</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货物的来源、生长环境、加工、包装、食物卫生、安全的标准、控制措施、质量保证措施等)进行评审：</w:t>
            </w:r>
          </w:p>
          <w:p w14:paraId="6ED3BA32">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1、</w:t>
            </w:r>
            <w:r>
              <w:rPr>
                <w:rFonts w:hint="eastAsia" w:ascii="宋体" w:hAnsi="宋体" w:eastAsia="宋体" w:cs="宋体"/>
                <w:b w:val="0"/>
                <w:bCs w:val="0"/>
                <w:color w:val="auto"/>
                <w:sz w:val="21"/>
                <w:szCs w:val="21"/>
                <w:highlight w:val="none"/>
              </w:rPr>
              <w:t>食品安全质量保障方案详尽完善，非常科学合理、切实可行，产品质量把控非常</w:t>
            </w:r>
            <w:bookmarkStart w:id="61" w:name="_GoBack"/>
            <w:bookmarkEnd w:id="61"/>
            <w:r>
              <w:rPr>
                <w:rFonts w:hint="eastAsia" w:ascii="宋体" w:hAnsi="宋体" w:eastAsia="宋体" w:cs="宋体"/>
                <w:b w:val="0"/>
                <w:bCs w:val="0"/>
                <w:color w:val="auto"/>
                <w:sz w:val="21"/>
                <w:szCs w:val="21"/>
                <w:highlight w:val="none"/>
              </w:rPr>
              <w:t>严谨，严格按照国家相关要求执行的，完全符合本项目实际需求的，得</w:t>
            </w:r>
            <w:r>
              <w:rPr>
                <w:rFonts w:hint="eastAsia" w:ascii="宋体" w:hAnsi="宋体" w:eastAsia="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p w14:paraId="2350B6AB">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Hans"/>
              </w:rPr>
              <w:t>2、</w:t>
            </w:r>
            <w:r>
              <w:rPr>
                <w:rFonts w:hint="eastAsia" w:ascii="宋体" w:hAnsi="宋体" w:eastAsia="宋体" w:cs="宋体"/>
                <w:b w:val="0"/>
                <w:bCs w:val="0"/>
                <w:color w:val="auto"/>
                <w:sz w:val="21"/>
                <w:szCs w:val="21"/>
                <w:highlight w:val="none"/>
              </w:rPr>
              <w:t>食品安全质量保障方案详细，符合科学要求、产品质量把控非常严谨，按照国家相关要求执行的，符合本项目实际需求的，得</w:t>
            </w:r>
            <w:r>
              <w:rPr>
                <w:rFonts w:hint="eastAsia" w:ascii="宋体" w:hAns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p>
          <w:p w14:paraId="0F4C20FE">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食品安全</w:t>
            </w:r>
            <w:r>
              <w:rPr>
                <w:rFonts w:hint="eastAsia" w:ascii="宋体" w:hAnsi="宋体" w:eastAsia="宋体" w:cs="宋体"/>
                <w:b w:val="0"/>
                <w:bCs w:val="0"/>
                <w:color w:val="auto"/>
                <w:sz w:val="21"/>
                <w:szCs w:val="21"/>
                <w:highlight w:val="none"/>
                <w:lang w:val="en-US" w:eastAsia="zh-CN"/>
              </w:rPr>
              <w:t>质量</w:t>
            </w:r>
            <w:r>
              <w:rPr>
                <w:rFonts w:hint="eastAsia" w:ascii="宋体" w:hAnsi="宋体" w:eastAsia="宋体" w:cs="宋体"/>
                <w:b w:val="0"/>
                <w:bCs w:val="0"/>
                <w:color w:val="auto"/>
                <w:sz w:val="21"/>
                <w:szCs w:val="21"/>
                <w:highlight w:val="none"/>
              </w:rPr>
              <w:t>保障方案比较合理、可行，产品质量把控非常严谨，较符合本项目实际需求的，得</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p w14:paraId="1330F83E">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食品安全</w:t>
            </w:r>
            <w:r>
              <w:rPr>
                <w:rFonts w:hint="eastAsia" w:ascii="宋体" w:hAnsi="宋体" w:eastAsia="宋体" w:cs="宋体"/>
                <w:b w:val="0"/>
                <w:bCs w:val="0"/>
                <w:color w:val="auto"/>
                <w:sz w:val="21"/>
                <w:szCs w:val="21"/>
                <w:highlight w:val="none"/>
                <w:lang w:val="en-US" w:eastAsia="zh-CN"/>
              </w:rPr>
              <w:t>质量</w:t>
            </w:r>
            <w:r>
              <w:rPr>
                <w:rFonts w:hint="eastAsia" w:ascii="宋体" w:hAnsi="宋体" w:eastAsia="宋体" w:cs="宋体"/>
                <w:b w:val="0"/>
                <w:bCs w:val="0"/>
                <w:color w:val="auto"/>
                <w:sz w:val="21"/>
                <w:szCs w:val="21"/>
                <w:highlight w:val="none"/>
              </w:rPr>
              <w:t>保障方案基本合理、可行，产品质量把控严谨，部分符合本项目实际需求的，得1分；</w:t>
            </w:r>
          </w:p>
          <w:p w14:paraId="0F96CB67">
            <w:pPr>
              <w:spacing w:line="400" w:lineRule="exact"/>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未提供</w:t>
            </w:r>
            <w:r>
              <w:rPr>
                <w:rFonts w:hint="eastAsia" w:ascii="宋体" w:hAnsi="宋体" w:eastAsia="宋体" w:cs="宋体"/>
                <w:b w:val="0"/>
                <w:bCs w:val="0"/>
                <w:color w:val="auto"/>
                <w:sz w:val="21"/>
                <w:szCs w:val="21"/>
                <w:highlight w:val="none"/>
                <w:lang w:val="en-US" w:eastAsia="zh-CN"/>
              </w:rPr>
              <w:t>相关</w:t>
            </w:r>
            <w:r>
              <w:rPr>
                <w:rFonts w:hint="eastAsia" w:ascii="宋体" w:hAnsi="宋体" w:eastAsia="宋体" w:cs="宋体"/>
                <w:b w:val="0"/>
                <w:bCs w:val="0"/>
                <w:color w:val="auto"/>
                <w:sz w:val="21"/>
                <w:szCs w:val="21"/>
                <w:highlight w:val="none"/>
              </w:rPr>
              <w:t>方案的不得分。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360" w:lineRule="auto"/>
              <w:ind w:firstLine="210" w:firstLineChars="100"/>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rPr>
              <w:t>3</w:t>
            </w:r>
          </w:p>
        </w:tc>
        <w:tc>
          <w:tcPr>
            <w:tcW w:w="821" w:type="pct"/>
            <w:vAlign w:val="center"/>
          </w:tcPr>
          <w:p w14:paraId="03D31443">
            <w:pPr>
              <w:pStyle w:val="19"/>
              <w:spacing w:line="360" w:lineRule="auto"/>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cs="宋体"/>
                <w:color w:val="auto"/>
                <w:sz w:val="21"/>
                <w:szCs w:val="21"/>
                <w:lang w:val="en-US" w:eastAsia="zh-CN"/>
              </w:rPr>
              <w:t>配送方案</w:t>
            </w:r>
          </w:p>
        </w:tc>
        <w:tc>
          <w:tcPr>
            <w:tcW w:w="537" w:type="pct"/>
            <w:gridSpan w:val="2"/>
            <w:vAlign w:val="center"/>
          </w:tcPr>
          <w:p w14:paraId="53BD03D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top"/>
          </w:tcPr>
          <w:p w14:paraId="6BF98164">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投标人针对</w:t>
            </w:r>
            <w:r>
              <w:rPr>
                <w:rFonts w:hint="eastAsia" w:ascii="宋体" w:hAnsi="宋体" w:eastAsia="宋体" w:cs="宋体"/>
                <w:b/>
                <w:bCs/>
                <w:color w:val="auto"/>
                <w:sz w:val="21"/>
                <w:szCs w:val="21"/>
                <w:highlight w:val="none"/>
              </w:rPr>
              <w:t>本项目</w:t>
            </w:r>
            <w:r>
              <w:rPr>
                <w:rFonts w:hint="eastAsia" w:ascii="宋体" w:hAnsi="宋体" w:eastAsia="宋体" w:cs="宋体"/>
                <w:b/>
                <w:bCs/>
                <w:color w:val="auto"/>
                <w:sz w:val="21"/>
                <w:szCs w:val="21"/>
                <w:highlight w:val="none"/>
                <w:lang w:val="en-US" w:eastAsia="zh-CN"/>
              </w:rPr>
              <w:t>提供的</w:t>
            </w:r>
            <w:r>
              <w:rPr>
                <w:rFonts w:hint="eastAsia" w:ascii="宋体" w:hAnsi="宋体" w:eastAsia="宋体" w:cs="宋体"/>
                <w:b/>
                <w:bCs/>
                <w:color w:val="auto"/>
                <w:sz w:val="21"/>
                <w:szCs w:val="21"/>
                <w:highlight w:val="none"/>
              </w:rPr>
              <w:t>配送方案（包括但不限于运送要求、配送时效、食材存放、车辆卫生等）进行评审：</w:t>
            </w:r>
          </w:p>
          <w:p w14:paraId="5BB050A7">
            <w:pPr>
              <w:pStyle w:val="19"/>
              <w:keepNext w:val="0"/>
              <w:keepLines w:val="0"/>
              <w:pageBreakBefore w:val="0"/>
              <w:numPr>
                <w:ilvl w:val="0"/>
                <w:numId w:val="87"/>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配送方案非常详细完善，仓储管理体系完整清晰，运输工具定期消毒，食材堆放科学合理，配送车队组织分工明确、专人专岗，运输装卸步骤详细全面，配送时间完全满足采购需求的，得10分；</w:t>
            </w:r>
          </w:p>
          <w:p w14:paraId="430FDA4F">
            <w:pPr>
              <w:pStyle w:val="19"/>
              <w:keepNext w:val="0"/>
              <w:keepLines w:val="0"/>
              <w:pageBreakBefore w:val="0"/>
              <w:numPr>
                <w:ilvl w:val="0"/>
                <w:numId w:val="87"/>
              </w:numPr>
              <w:kinsoku/>
              <w:wordWrap/>
              <w:overflowPunct/>
              <w:topLinePunct w:val="0"/>
              <w:autoSpaceDE/>
              <w:autoSpaceDN/>
              <w:bidi w:val="0"/>
              <w:adjustRightInd/>
              <w:snapToGrid/>
              <w:spacing w:line="240" w:lineRule="auto"/>
              <w:jc w:val="left"/>
              <w:textAlignment w:val="auto"/>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rPr>
              <w:t>配送方案详细完善，仓储管理体系完整，运输工具定期消毒，食材堆放较科学合理，配送车队有组织分工、专人专岗，运输装卸步骤全面，配送时间满足采购需求的，得7分；</w:t>
            </w:r>
          </w:p>
          <w:p w14:paraId="0224CF86">
            <w:pPr>
              <w:pStyle w:val="19"/>
              <w:keepNext w:val="0"/>
              <w:keepLines w:val="0"/>
              <w:pageBreakBefore w:val="0"/>
              <w:numPr>
                <w:ilvl w:val="0"/>
                <w:numId w:val="87"/>
              </w:numPr>
              <w:kinsoku/>
              <w:wordWrap/>
              <w:overflowPunct/>
              <w:topLinePunct w:val="0"/>
              <w:autoSpaceDE/>
              <w:autoSpaceDN/>
              <w:bidi w:val="0"/>
              <w:adjustRightInd/>
              <w:snapToGrid/>
              <w:spacing w:line="240" w:lineRule="auto"/>
              <w:jc w:val="left"/>
              <w:textAlignment w:val="auto"/>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rPr>
              <w:t>配送方案较完整，仓储管理体系较完整，运输工具没有定期消毒，食材堆放较科学合理，配送车队组织流程模糊，运输装卸步骤简略，配送时间满足采购需求的，得4分；</w:t>
            </w:r>
          </w:p>
          <w:p w14:paraId="6DD1FFFD">
            <w:pPr>
              <w:pStyle w:val="19"/>
              <w:keepNext w:val="0"/>
              <w:keepLines w:val="0"/>
              <w:pageBreakBefore w:val="0"/>
              <w:numPr>
                <w:ilvl w:val="0"/>
                <w:numId w:val="87"/>
              </w:numPr>
              <w:kinsoku/>
              <w:wordWrap/>
              <w:overflowPunct/>
              <w:topLinePunct w:val="0"/>
              <w:autoSpaceDE/>
              <w:autoSpaceDN/>
              <w:bidi w:val="0"/>
              <w:adjustRightInd/>
              <w:snapToGrid/>
              <w:spacing w:line="240" w:lineRule="auto"/>
              <w:jc w:val="left"/>
              <w:textAlignment w:val="auto"/>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rPr>
              <w:t>配送方案有欠缺，没有完整的仓储管理体系，没有运输工具清洁方案，配送时间不满足采购需求的，得1分；</w:t>
            </w:r>
          </w:p>
          <w:p w14:paraId="059F498D">
            <w:pPr>
              <w:pStyle w:val="19"/>
              <w:keepNext w:val="0"/>
              <w:keepLines w:val="0"/>
              <w:pageBreakBefore w:val="0"/>
              <w:numPr>
                <w:ilvl w:val="0"/>
                <w:numId w:val="87"/>
              </w:numPr>
              <w:kinsoku/>
              <w:wordWrap/>
              <w:overflowPunct/>
              <w:topLinePunct w:val="0"/>
              <w:autoSpaceDE/>
              <w:autoSpaceDN/>
              <w:bidi w:val="0"/>
              <w:adjustRightInd/>
              <w:snapToGrid/>
              <w:spacing w:line="240" w:lineRule="auto"/>
              <w:jc w:val="left"/>
              <w:textAlignment w:val="auto"/>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rPr>
              <w:t>未提供</w:t>
            </w:r>
            <w:r>
              <w:rPr>
                <w:rFonts w:hint="eastAsia" w:ascii="宋体" w:hAnsi="宋体" w:eastAsia="宋体" w:cs="宋体"/>
                <w:b w:val="0"/>
                <w:bCs w:val="0"/>
                <w:color w:val="auto"/>
                <w:sz w:val="21"/>
                <w:szCs w:val="21"/>
                <w:highlight w:val="none"/>
                <w:lang w:val="en-US" w:eastAsia="zh-CN"/>
              </w:rPr>
              <w:t>相关</w:t>
            </w:r>
            <w:r>
              <w:rPr>
                <w:rFonts w:hint="eastAsia" w:ascii="宋体" w:hAnsi="宋体" w:eastAsia="宋体" w:cs="宋体"/>
                <w:b w:val="0"/>
                <w:bCs w:val="0"/>
                <w:color w:val="auto"/>
                <w:sz w:val="21"/>
                <w:szCs w:val="21"/>
                <w:highlight w:val="none"/>
              </w:rPr>
              <w:t>方案的不得分。</w:t>
            </w:r>
          </w:p>
        </w:tc>
      </w:tr>
      <w:tr w14:paraId="767C0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shd w:val="clear" w:color="auto" w:fill="auto"/>
            <w:vAlign w:val="center"/>
          </w:tcPr>
          <w:p w14:paraId="62634AFC">
            <w:pPr>
              <w:spacing w:line="360" w:lineRule="auto"/>
              <w:ind w:right="420" w:rightChars="0" w:firstLine="210" w:firstLineChars="100"/>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auto"/>
                <w:sz w:val="21"/>
                <w:szCs w:val="21"/>
                <w:lang w:val="en-US" w:eastAsia="zh-CN"/>
              </w:rPr>
              <w:t>4</w:t>
            </w:r>
          </w:p>
        </w:tc>
        <w:tc>
          <w:tcPr>
            <w:tcW w:w="821" w:type="pct"/>
            <w:shd w:val="clear" w:color="auto" w:fill="auto"/>
            <w:vAlign w:val="center"/>
          </w:tcPr>
          <w:p w14:paraId="1CA60F5E">
            <w:pPr>
              <w:pStyle w:val="19"/>
              <w:spacing w:line="360" w:lineRule="auto"/>
              <w:jc w:val="center"/>
              <w:rPr>
                <w:rFonts w:hint="eastAsia" w:ascii="宋体" w:hAnsi="宋体" w:eastAsia="宋体" w:cstheme="minorBidi"/>
                <w:bCs/>
                <w:color w:val="000000" w:themeColor="text1"/>
                <w:kern w:val="0"/>
                <w:sz w:val="20"/>
                <w:szCs w:val="21"/>
                <w:lang w:val="en-US" w:eastAsia="zh-Hans" w:bidi="ar-SA"/>
                <w14:textFill>
                  <w14:solidFill>
                    <w14:schemeClr w14:val="tx1"/>
                  </w14:solidFill>
                </w14:textFill>
              </w:rPr>
            </w:pPr>
            <w:r>
              <w:rPr>
                <w:rFonts w:hint="eastAsia" w:ascii="宋体" w:hAnsi="宋体" w:eastAsia="宋体" w:cs="宋体"/>
                <w:color w:val="auto"/>
                <w:sz w:val="21"/>
                <w:szCs w:val="21"/>
              </w:rPr>
              <w:t>售后服务方案</w:t>
            </w:r>
          </w:p>
        </w:tc>
        <w:tc>
          <w:tcPr>
            <w:tcW w:w="537" w:type="pct"/>
            <w:gridSpan w:val="2"/>
            <w:shd w:val="clear" w:color="auto" w:fill="auto"/>
            <w:vAlign w:val="center"/>
          </w:tcPr>
          <w:p w14:paraId="706205D3">
            <w:pPr>
              <w:widowControl/>
              <w:spacing w:line="400" w:lineRule="exact"/>
              <w:jc w:val="center"/>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shd w:val="clear" w:color="auto" w:fill="auto"/>
            <w:vAlign w:val="top"/>
          </w:tcPr>
          <w:p w14:paraId="0136D23F">
            <w:pPr>
              <w:pStyle w:val="19"/>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投标人针对</w:t>
            </w:r>
            <w:r>
              <w:rPr>
                <w:rFonts w:hint="eastAsia" w:ascii="宋体" w:hAnsi="宋体" w:eastAsia="宋体" w:cs="宋体"/>
                <w:b/>
                <w:bCs/>
                <w:color w:val="auto"/>
                <w:sz w:val="21"/>
                <w:szCs w:val="21"/>
                <w:highlight w:val="none"/>
              </w:rPr>
              <w:t>本项目</w:t>
            </w:r>
            <w:r>
              <w:rPr>
                <w:rFonts w:hint="eastAsia" w:ascii="宋体" w:hAnsi="宋体" w:eastAsia="宋体" w:cs="宋体"/>
                <w:b/>
                <w:bCs/>
                <w:color w:val="auto"/>
                <w:sz w:val="21"/>
                <w:szCs w:val="21"/>
                <w:highlight w:val="none"/>
                <w:lang w:val="en-US" w:eastAsia="zh-CN"/>
              </w:rPr>
              <w:t>提供的</w:t>
            </w:r>
            <w:r>
              <w:rPr>
                <w:rFonts w:hint="eastAsia" w:ascii="宋体" w:hAnsi="宋体" w:eastAsia="宋体" w:cs="宋体"/>
                <w:b/>
                <w:bCs/>
                <w:color w:val="auto"/>
                <w:sz w:val="21"/>
                <w:szCs w:val="21"/>
                <w:highlight w:val="none"/>
              </w:rPr>
              <w:t>售后服务</w:t>
            </w:r>
            <w:r>
              <w:rPr>
                <w:rFonts w:hint="eastAsia" w:ascii="宋体" w:hAnsi="宋体" w:eastAsia="宋体" w:cs="宋体"/>
                <w:b/>
                <w:bCs/>
                <w:color w:val="auto"/>
                <w:sz w:val="21"/>
                <w:szCs w:val="21"/>
                <w:highlight w:val="none"/>
                <w:lang w:val="en-US" w:eastAsia="zh-CN"/>
              </w:rPr>
              <w:t>方案</w:t>
            </w:r>
            <w:r>
              <w:rPr>
                <w:rFonts w:hint="eastAsia" w:ascii="宋体" w:hAnsi="宋体" w:eastAsia="宋体" w:cs="宋体"/>
                <w:b/>
                <w:bCs/>
                <w:color w:val="auto"/>
                <w:sz w:val="21"/>
                <w:szCs w:val="21"/>
                <w:highlight w:val="none"/>
              </w:rPr>
              <w:t>（包括但不限于</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专线售后服务管理方案，专人服务，专人跟踪、售后服务时间安排、其它服务承诺）进行评审：</w:t>
            </w:r>
          </w:p>
          <w:p w14:paraId="1CEAD8D6">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1、</w:t>
            </w:r>
            <w:r>
              <w:rPr>
                <w:rFonts w:hint="eastAsia" w:ascii="宋体" w:hAnsi="宋体" w:eastAsia="宋体" w:cs="宋体"/>
                <w:b w:val="0"/>
                <w:bCs w:val="0"/>
                <w:color w:val="auto"/>
                <w:sz w:val="21"/>
                <w:szCs w:val="21"/>
                <w:highlight w:val="none"/>
              </w:rPr>
              <w:t>售后服务方案科学完整，服务承诺完全</w:t>
            </w:r>
            <w:r>
              <w:rPr>
                <w:rFonts w:hint="eastAsia" w:ascii="宋体" w:hAnsi="宋体" w:eastAsia="宋体" w:cs="宋体"/>
                <w:b w:val="0"/>
                <w:bCs w:val="0"/>
                <w:color w:val="auto"/>
                <w:sz w:val="21"/>
                <w:szCs w:val="21"/>
                <w:highlight w:val="none"/>
                <w:lang w:val="en-US" w:eastAsia="zh-CN"/>
              </w:rPr>
              <w:t>满足招标</w:t>
            </w:r>
            <w:r>
              <w:rPr>
                <w:rFonts w:hint="eastAsia" w:ascii="宋体" w:hAnsi="宋体" w:eastAsia="宋体" w:cs="宋体"/>
                <w:b w:val="0"/>
                <w:bCs w:val="0"/>
                <w:color w:val="auto"/>
                <w:sz w:val="21"/>
                <w:szCs w:val="21"/>
                <w:highlight w:val="none"/>
              </w:rPr>
              <w:t>文件要求，响应时间非常迅速，售后服务点技术力量十分雄厚的，得10分；</w:t>
            </w:r>
          </w:p>
          <w:p w14:paraId="2265A25F">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2、</w:t>
            </w:r>
            <w:r>
              <w:rPr>
                <w:rFonts w:hint="eastAsia" w:ascii="宋体" w:hAnsi="宋体" w:eastAsia="宋体" w:cs="宋体"/>
                <w:b w:val="0"/>
                <w:bCs w:val="0"/>
                <w:color w:val="auto"/>
                <w:sz w:val="21"/>
                <w:szCs w:val="21"/>
                <w:highlight w:val="none"/>
              </w:rPr>
              <w:t>售后服务方案比较完整，服务承诺</w:t>
            </w:r>
            <w:r>
              <w:rPr>
                <w:rFonts w:hint="eastAsia" w:ascii="宋体" w:hAnsi="宋体" w:eastAsia="宋体" w:cs="宋体"/>
                <w:b w:val="0"/>
                <w:bCs w:val="0"/>
                <w:color w:val="auto"/>
                <w:sz w:val="21"/>
                <w:szCs w:val="21"/>
                <w:highlight w:val="none"/>
                <w:lang w:val="en-US" w:eastAsia="zh-CN"/>
              </w:rPr>
              <w:t>符合招标</w:t>
            </w:r>
            <w:r>
              <w:rPr>
                <w:rFonts w:hint="eastAsia" w:ascii="宋体" w:hAnsi="宋体" w:eastAsia="宋体" w:cs="宋体"/>
                <w:b w:val="0"/>
                <w:bCs w:val="0"/>
                <w:color w:val="auto"/>
                <w:sz w:val="21"/>
                <w:szCs w:val="21"/>
                <w:highlight w:val="none"/>
              </w:rPr>
              <w:t>文件要求的，响应时间迅速，售后服务点技术力量雄厚的，得7分；</w:t>
            </w:r>
          </w:p>
          <w:p w14:paraId="3A6B39D0">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售后服务方案基本完整，服务承诺基本满足</w:t>
            </w:r>
            <w:r>
              <w:rPr>
                <w:rFonts w:hint="eastAsia" w:ascii="宋体" w:hAnsi="宋体" w:eastAsia="宋体" w:cs="宋体"/>
                <w:b w:val="0"/>
                <w:bCs w:val="0"/>
                <w:color w:val="auto"/>
                <w:sz w:val="21"/>
                <w:szCs w:val="21"/>
                <w:highlight w:val="none"/>
                <w:lang w:val="en-US" w:eastAsia="zh-CN"/>
              </w:rPr>
              <w:t>招标</w:t>
            </w:r>
            <w:r>
              <w:rPr>
                <w:rFonts w:hint="eastAsia" w:ascii="宋体" w:hAnsi="宋体" w:eastAsia="宋体" w:cs="宋体"/>
                <w:b w:val="0"/>
                <w:bCs w:val="0"/>
                <w:color w:val="auto"/>
                <w:sz w:val="21"/>
                <w:szCs w:val="21"/>
                <w:highlight w:val="none"/>
              </w:rPr>
              <w:t>文件要求的，响应时间较迅速，售后服务点技术力量较一般</w:t>
            </w:r>
            <w:r>
              <w:rPr>
                <w:rFonts w:hint="eastAsia" w:ascii="宋体" w:hAnsi="宋体" w:eastAsia="宋体" w:cs="宋体"/>
                <w:b w:val="0"/>
                <w:bCs w:val="0"/>
                <w:color w:val="auto"/>
                <w:sz w:val="21"/>
                <w:szCs w:val="21"/>
                <w:highlight w:val="none"/>
                <w:lang w:eastAsia="zh-CN"/>
              </w:rPr>
              <w:t>的</w:t>
            </w:r>
            <w:r>
              <w:rPr>
                <w:rFonts w:hint="eastAsia" w:ascii="宋体" w:hAnsi="宋体" w:eastAsia="宋体" w:cs="宋体"/>
                <w:b w:val="0"/>
                <w:bCs w:val="0"/>
                <w:color w:val="auto"/>
                <w:sz w:val="21"/>
                <w:szCs w:val="21"/>
                <w:highlight w:val="none"/>
              </w:rPr>
              <w:t>，得4分；</w:t>
            </w:r>
          </w:p>
          <w:p w14:paraId="53C35C10">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售后服务方案简略，响应时间迅速一般，售后服务点技术力量弱的，得1分；</w:t>
            </w:r>
          </w:p>
          <w:p w14:paraId="55177C8E">
            <w:pPr>
              <w:spacing w:line="400" w:lineRule="exact"/>
              <w:rPr>
                <w:rFonts w:hint="eastAsia" w:ascii="宋体" w:hAnsi="宋体" w:eastAsia="宋体" w:cstheme="minorBidi"/>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未提供</w:t>
            </w:r>
            <w:r>
              <w:rPr>
                <w:rFonts w:hint="eastAsia" w:ascii="宋体" w:hAnsi="宋体" w:eastAsia="宋体" w:cs="宋体"/>
                <w:b w:val="0"/>
                <w:bCs w:val="0"/>
                <w:color w:val="auto"/>
                <w:sz w:val="21"/>
                <w:szCs w:val="21"/>
                <w:highlight w:val="none"/>
                <w:lang w:val="en-US" w:eastAsia="zh-CN"/>
              </w:rPr>
              <w:t>相关</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的</w:t>
            </w:r>
            <w:r>
              <w:rPr>
                <w:rFonts w:hint="eastAsia" w:ascii="宋体" w:hAnsi="宋体" w:eastAsia="宋体" w:cs="宋体"/>
                <w:b w:val="0"/>
                <w:bCs w:val="0"/>
                <w:color w:val="auto"/>
                <w:sz w:val="21"/>
                <w:szCs w:val="21"/>
                <w:highlight w:val="none"/>
              </w:rPr>
              <w:t>不得分。</w:t>
            </w:r>
          </w:p>
        </w:tc>
      </w:tr>
      <w:tr w14:paraId="2569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D5938C0">
            <w:pPr>
              <w:spacing w:line="360" w:lineRule="auto"/>
              <w:ind w:firstLine="210" w:firstLineChars="100"/>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s="宋体"/>
                <w:color w:val="auto"/>
                <w:sz w:val="21"/>
                <w:szCs w:val="21"/>
                <w:lang w:val="en-US" w:eastAsia="zh-CN"/>
              </w:rPr>
              <w:t>5</w:t>
            </w:r>
          </w:p>
        </w:tc>
        <w:tc>
          <w:tcPr>
            <w:tcW w:w="821" w:type="pct"/>
            <w:vAlign w:val="center"/>
          </w:tcPr>
          <w:p w14:paraId="6DD40DFB">
            <w:pPr>
              <w:pStyle w:val="19"/>
              <w:spacing w:line="360" w:lineRule="auto"/>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s="宋体"/>
                <w:color w:val="auto"/>
                <w:sz w:val="21"/>
                <w:szCs w:val="21"/>
              </w:rPr>
              <w:t>应急处理方案</w:t>
            </w:r>
          </w:p>
        </w:tc>
        <w:tc>
          <w:tcPr>
            <w:tcW w:w="537" w:type="pct"/>
            <w:gridSpan w:val="2"/>
            <w:vAlign w:val="center"/>
          </w:tcPr>
          <w:p w14:paraId="2166325F">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top"/>
          </w:tcPr>
          <w:p w14:paraId="3E8EEBD1">
            <w:pPr>
              <w:pStyle w:val="19"/>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w:t>
            </w:r>
            <w:r>
              <w:rPr>
                <w:rFonts w:hint="eastAsia" w:ascii="宋体" w:hAnsi="宋体" w:eastAsia="宋体" w:cs="宋体"/>
                <w:b/>
                <w:bCs/>
                <w:color w:val="auto"/>
                <w:sz w:val="21"/>
                <w:szCs w:val="21"/>
                <w:highlight w:val="none"/>
              </w:rPr>
              <w:t>针对</w:t>
            </w:r>
            <w:r>
              <w:rPr>
                <w:rFonts w:hint="eastAsia" w:ascii="宋体" w:hAnsi="宋体" w:eastAsia="宋体" w:cs="宋体"/>
                <w:b/>
                <w:bCs/>
                <w:color w:val="auto"/>
                <w:sz w:val="21"/>
                <w:szCs w:val="21"/>
                <w:highlight w:val="none"/>
                <w:lang w:val="en-US" w:eastAsia="zh-CN"/>
              </w:rPr>
              <w:t>本项目提供的应急处理方案</w:t>
            </w:r>
            <w:r>
              <w:rPr>
                <w:rFonts w:hint="eastAsia" w:ascii="宋体" w:hAnsi="宋体" w:eastAsia="宋体" w:cs="宋体"/>
                <w:b/>
                <w:bCs/>
                <w:color w:val="auto"/>
                <w:sz w:val="21"/>
                <w:szCs w:val="21"/>
                <w:highlight w:val="none"/>
              </w:rPr>
              <w:t>（包括但不限于</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突发停电</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台风、暴雨、火灾等导致的仓储、分拣、配送困难或食材短缺；突发车辆故障、交通事故、临时封路等导致的配送困难</w:t>
            </w:r>
            <w:r>
              <w:rPr>
                <w:rFonts w:hint="eastAsia" w:ascii="宋体" w:hAnsi="宋体" w:eastAsia="宋体" w:cs="宋体"/>
                <w:b/>
                <w:bCs/>
                <w:color w:val="auto"/>
                <w:sz w:val="21"/>
                <w:szCs w:val="21"/>
                <w:highlight w:val="none"/>
              </w:rPr>
              <w:t>等</w:t>
            </w:r>
            <w:r>
              <w:rPr>
                <w:rFonts w:hint="eastAsia" w:ascii="宋体" w:hAnsi="宋体" w:eastAsia="宋体" w:cs="宋体"/>
                <w:b/>
                <w:bCs/>
                <w:color w:val="auto"/>
                <w:sz w:val="21"/>
                <w:szCs w:val="21"/>
                <w:highlight w:val="none"/>
                <w:lang w:val="en-US" w:eastAsia="zh-CN"/>
              </w:rPr>
              <w:t>情形</w:t>
            </w:r>
            <w:r>
              <w:rPr>
                <w:rFonts w:hint="eastAsia" w:ascii="宋体" w:hAnsi="宋体" w:eastAsia="宋体" w:cs="宋体"/>
                <w:b/>
                <w:bCs/>
                <w:color w:val="auto"/>
                <w:sz w:val="21"/>
                <w:szCs w:val="21"/>
                <w:highlight w:val="none"/>
              </w:rPr>
              <w:t>）进行评审：</w:t>
            </w:r>
          </w:p>
          <w:p w14:paraId="484D5BA2">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1、</w:t>
            </w:r>
            <w:r>
              <w:rPr>
                <w:rFonts w:hint="eastAsia" w:ascii="宋体" w:hAnsi="宋体" w:eastAsia="宋体" w:cs="宋体"/>
                <w:b w:val="0"/>
                <w:bCs w:val="0"/>
                <w:color w:val="auto"/>
                <w:sz w:val="21"/>
                <w:szCs w:val="21"/>
                <w:highlight w:val="none"/>
                <w:lang w:val="en-US" w:eastAsia="zh-CN"/>
              </w:rPr>
              <w:t>投标人对仓储、分拣、配送中可能出现的突发情况考虑全面、与本项目采购需求契合且具有针对性，</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的应急处置措施科学</w:t>
            </w:r>
            <w:r>
              <w:rPr>
                <w:rFonts w:hint="eastAsia" w:ascii="宋体" w:hAnsi="宋体" w:eastAsia="宋体" w:cs="宋体"/>
                <w:b w:val="0"/>
                <w:bCs w:val="0"/>
                <w:color w:val="auto"/>
                <w:sz w:val="21"/>
                <w:szCs w:val="21"/>
                <w:highlight w:val="none"/>
              </w:rPr>
              <w:t>详尽</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可行性强，能完全消除各类突发情况对履约的负面影响的</w:t>
            </w:r>
            <w:r>
              <w:rPr>
                <w:rFonts w:hint="eastAsia" w:ascii="宋体" w:hAnsi="宋体" w:eastAsia="宋体" w:cs="宋体"/>
                <w:b w:val="0"/>
                <w:bCs w:val="0"/>
                <w:color w:val="auto"/>
                <w:sz w:val="21"/>
                <w:szCs w:val="21"/>
                <w:highlight w:val="none"/>
              </w:rPr>
              <w:t>，得10分；</w:t>
            </w:r>
          </w:p>
          <w:p w14:paraId="578B741B">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Hans"/>
              </w:rPr>
              <w:t>2、</w:t>
            </w:r>
            <w:r>
              <w:rPr>
                <w:rFonts w:hint="eastAsia" w:ascii="宋体" w:hAnsi="宋体" w:eastAsia="宋体" w:cs="宋体"/>
                <w:b w:val="0"/>
                <w:bCs w:val="0"/>
                <w:color w:val="auto"/>
                <w:sz w:val="21"/>
                <w:szCs w:val="21"/>
                <w:highlight w:val="none"/>
                <w:lang w:val="en-US" w:eastAsia="zh-CN"/>
              </w:rPr>
              <w:t>投标人对仓储、分拣、配送中可能出现的突发情况考虑较为全面、与本项目采购需求契合，</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的应急处置措施完整且可行性较强，能基本消除各类突发情况对履约的负面影响的</w:t>
            </w:r>
            <w:r>
              <w:rPr>
                <w:rFonts w:hint="eastAsia" w:ascii="宋体" w:hAnsi="宋体" w:eastAsia="宋体" w:cs="宋体"/>
                <w:b w:val="0"/>
                <w:bCs w:val="0"/>
                <w:color w:val="auto"/>
                <w:sz w:val="21"/>
                <w:szCs w:val="21"/>
                <w:highlight w:val="none"/>
              </w:rPr>
              <w:t>，得7分；</w:t>
            </w:r>
          </w:p>
          <w:p w14:paraId="7D68344C">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3、投标人对仓储、分拣、配送中可能出现的突发情况考虑一般，</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的应急处置措施有一定可行性，能消除部分各类突发情况对履约的负面影响的</w:t>
            </w:r>
            <w:r>
              <w:rPr>
                <w:rFonts w:hint="eastAsia" w:ascii="宋体" w:hAnsi="宋体" w:eastAsia="宋体" w:cs="宋体"/>
                <w:b w:val="0"/>
                <w:bCs w:val="0"/>
                <w:color w:val="auto"/>
                <w:sz w:val="21"/>
                <w:szCs w:val="21"/>
                <w:highlight w:val="none"/>
              </w:rPr>
              <w:t>，得4分</w:t>
            </w:r>
            <w:r>
              <w:rPr>
                <w:rFonts w:hint="eastAsia" w:ascii="宋体" w:hAnsi="宋体" w:eastAsia="宋体" w:cs="宋体"/>
                <w:b w:val="0"/>
                <w:bCs w:val="0"/>
                <w:color w:val="auto"/>
                <w:sz w:val="21"/>
                <w:szCs w:val="21"/>
                <w:highlight w:val="none"/>
                <w:lang w:eastAsia="zh-CN"/>
              </w:rPr>
              <w:t>；</w:t>
            </w:r>
          </w:p>
          <w:p w14:paraId="2EB3C445">
            <w:pPr>
              <w:pStyle w:val="19"/>
              <w:keepNext w:val="0"/>
              <w:keepLines w:val="0"/>
              <w:pageBreakBefore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4、投标人对仓储、分拣、配送中可能出现的突发情况考虑不足，</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的应急处置措施不够可行，几乎不能消除各类突发情况对履约的负面影响的</w:t>
            </w:r>
            <w:r>
              <w:rPr>
                <w:rFonts w:hint="eastAsia" w:ascii="宋体" w:hAnsi="宋体" w:eastAsia="宋体" w:cs="宋体"/>
                <w:b w:val="0"/>
                <w:bCs w:val="0"/>
                <w:color w:val="auto"/>
                <w:sz w:val="21"/>
                <w:szCs w:val="21"/>
                <w:highlight w:val="none"/>
              </w:rPr>
              <w:t>，得1分</w:t>
            </w:r>
            <w:r>
              <w:rPr>
                <w:rFonts w:hint="eastAsia" w:ascii="宋体" w:hAnsi="宋体" w:eastAsia="宋体" w:cs="宋体"/>
                <w:b w:val="0"/>
                <w:bCs w:val="0"/>
                <w:color w:val="auto"/>
                <w:sz w:val="21"/>
                <w:szCs w:val="21"/>
                <w:highlight w:val="none"/>
                <w:lang w:eastAsia="zh-CN"/>
              </w:rPr>
              <w:t>；</w:t>
            </w:r>
          </w:p>
          <w:p w14:paraId="5DAA3A4C">
            <w:pPr>
              <w:spacing w:line="400" w:lineRule="exact"/>
              <w:rPr>
                <w:rFonts w:hint="eastAsia" w:ascii="宋体" w:hAnsi="宋体" w:eastAsia="宋体"/>
                <w:b w:val="0"/>
                <w:bCs w:val="0"/>
                <w:color w:val="000000" w:themeColor="text1"/>
                <w:szCs w:val="21"/>
                <w14:textFill>
                  <w14:solidFill>
                    <w14:schemeClr w14:val="tx1"/>
                  </w14:solidFill>
                </w14:textFill>
              </w:rPr>
            </w:pP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未提供</w:t>
            </w:r>
            <w:r>
              <w:rPr>
                <w:rFonts w:hint="eastAsia" w:ascii="宋体" w:hAnsi="宋体" w:eastAsia="宋体" w:cs="宋体"/>
                <w:b w:val="0"/>
                <w:bCs w:val="0"/>
                <w:color w:val="auto"/>
                <w:sz w:val="21"/>
                <w:szCs w:val="21"/>
                <w:highlight w:val="none"/>
                <w:lang w:val="en-US" w:eastAsia="zh-CN"/>
              </w:rPr>
              <w:t>相关</w:t>
            </w:r>
            <w:r>
              <w:rPr>
                <w:rFonts w:hint="eastAsia" w:ascii="宋体" w:hAnsi="宋体" w:eastAsia="宋体" w:cs="宋体"/>
                <w:b w:val="0"/>
                <w:bCs w:val="0"/>
                <w:color w:val="auto"/>
                <w:sz w:val="21"/>
                <w:szCs w:val="21"/>
                <w:highlight w:val="none"/>
              </w:rPr>
              <w:t>方案的不得分。</w:t>
            </w:r>
          </w:p>
        </w:tc>
      </w:tr>
      <w:tr w14:paraId="3DF65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5000" w:type="pct"/>
            <w:gridSpan w:val="5"/>
            <w:vAlign w:val="center"/>
          </w:tcPr>
          <w:p w14:paraId="55378F39">
            <w:pPr>
              <w:spacing w:line="400" w:lineRule="exact"/>
              <w:jc w:val="center"/>
              <w:rPr>
                <w:rFonts w:hint="eastAsia" w:ascii="宋体" w:hAnsi="宋体" w:eastAsia="宋体" w:cs="宋体"/>
                <w:b w:val="0"/>
                <w:bCs w:val="0"/>
                <w:color w:val="auto"/>
                <w:sz w:val="21"/>
                <w:szCs w:val="21"/>
                <w:highlight w:val="none"/>
                <w:lang w:val="en-US" w:eastAsia="zh-CN"/>
              </w:rPr>
            </w:pPr>
            <w:r>
              <w:rPr>
                <w:rFonts w:hint="eastAsia" w:ascii="宋体" w:eastAsia="宋体"/>
                <w:b/>
                <w:color w:val="000000" w:themeColor="text1"/>
                <w:sz w:val="21"/>
                <w:szCs w:val="21"/>
                <w:lang w:val="en-US" w:eastAsia="zh-CN"/>
                <w14:textFill>
                  <w14:solidFill>
                    <w14:schemeClr w14:val="tx1"/>
                  </w14:solidFill>
                </w14:textFill>
              </w:rPr>
              <w:t>价格</w:t>
            </w:r>
            <w:r>
              <w:rPr>
                <w:rFonts w:hint="eastAsia" w:ascii="宋体" w:eastAsia="宋体"/>
                <w:b/>
                <w:color w:val="000000" w:themeColor="text1"/>
                <w:sz w:val="21"/>
                <w:szCs w:val="21"/>
                <w14:textFill>
                  <w14:solidFill>
                    <w14:schemeClr w14:val="tx1"/>
                  </w14:solidFill>
                </w14:textFill>
              </w:rPr>
              <w:t>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3300F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F00D537">
            <w:pPr>
              <w:spacing w:line="360" w:lineRule="auto"/>
              <w:ind w:firstLine="210" w:firstLineChars="10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821" w:type="pct"/>
            <w:vAlign w:val="center"/>
          </w:tcPr>
          <w:p w14:paraId="676314B3">
            <w:pPr>
              <w:pStyle w:val="19"/>
              <w:spacing w:line="360" w:lineRule="auto"/>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投标报价</w:t>
            </w:r>
          </w:p>
        </w:tc>
        <w:tc>
          <w:tcPr>
            <w:tcW w:w="537" w:type="pct"/>
            <w:gridSpan w:val="2"/>
            <w:vAlign w:val="center"/>
          </w:tcPr>
          <w:p w14:paraId="124B9D31">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15分</w:t>
            </w:r>
          </w:p>
        </w:tc>
        <w:tc>
          <w:tcPr>
            <w:tcW w:w="3161" w:type="pct"/>
            <w:vAlign w:val="top"/>
          </w:tcPr>
          <w:p w14:paraId="4DC431B3">
            <w:pPr>
              <w:spacing w:line="400" w:lineRule="exact"/>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cs="宋体"/>
                <w:color w:val="auto"/>
                <w:sz w:val="21"/>
                <w:szCs w:val="21"/>
                <w:highlight w:val="none"/>
                <w:lang w:eastAsia="zh-CN"/>
              </w:rPr>
              <w:t>：</w:t>
            </w:r>
          </w:p>
          <w:p w14:paraId="6EA88B11">
            <w:pPr>
              <w:spacing w:line="400" w:lineRule="exact"/>
              <w:jc w:val="left"/>
              <w:rPr>
                <w:rFonts w:ascii="宋体" w:hAnsi="宋体" w:eastAsia="宋体" w:cs="宋体"/>
                <w:b/>
                <w:color w:val="auto"/>
                <w:sz w:val="21"/>
                <w:szCs w:val="21"/>
                <w:highlight w:val="none"/>
                <w:lang w:eastAsia="zh-CN"/>
              </w:rPr>
            </w:pPr>
            <w:r>
              <w:rPr>
                <w:rFonts w:hint="eastAsia" w:ascii="宋体" w:hAnsi="宋体" w:eastAsia="宋体"/>
                <w:b/>
                <w:bCs w:val="0"/>
                <w:color w:val="auto"/>
                <w:sz w:val="21"/>
                <w:szCs w:val="21"/>
                <w:highlight w:val="none"/>
              </w:rPr>
              <w:t>投标人价格得分</w:t>
            </w:r>
            <w:r>
              <w:rPr>
                <w:rFonts w:ascii="宋体" w:hAnsi="宋体" w:eastAsia="宋体"/>
                <w:b/>
                <w:bCs w:val="0"/>
                <w:color w:val="auto"/>
                <w:sz w:val="21"/>
                <w:szCs w:val="21"/>
                <w:highlight w:val="none"/>
              </w:rPr>
              <w:t>=(评标基准价／</w:t>
            </w:r>
            <w:r>
              <w:rPr>
                <w:rFonts w:hint="eastAsia" w:ascii="宋体" w:hAnsi="宋体" w:eastAsia="宋体"/>
                <w:b/>
                <w:bCs w:val="0"/>
                <w:color w:val="auto"/>
                <w:sz w:val="21"/>
                <w:szCs w:val="21"/>
                <w:highlight w:val="none"/>
              </w:rPr>
              <w:t>投标报价</w:t>
            </w:r>
            <w:r>
              <w:rPr>
                <w:rFonts w:ascii="宋体" w:hAnsi="宋体" w:eastAsia="宋体"/>
                <w:b/>
                <w:bCs w:val="0"/>
                <w:color w:val="auto"/>
                <w:sz w:val="21"/>
                <w:szCs w:val="21"/>
                <w:highlight w:val="none"/>
              </w:rPr>
              <w:t>)×</w:t>
            </w:r>
            <w:r>
              <w:rPr>
                <w:rFonts w:hint="eastAsia" w:ascii="宋体" w:hAnsi="宋体" w:eastAsia="宋体"/>
                <w:b/>
                <w:color w:val="auto"/>
                <w:sz w:val="21"/>
                <w:szCs w:val="21"/>
                <w:highlight w:val="none"/>
              </w:rPr>
              <w:t>价格权值</w:t>
            </w:r>
            <w:r>
              <w:rPr>
                <w:rFonts w:ascii="宋体" w:hAnsi="宋体" w:eastAsia="宋体"/>
                <w:b/>
                <w:bCs w:val="0"/>
                <w:color w:val="auto"/>
                <w:sz w:val="21"/>
                <w:szCs w:val="21"/>
                <w:highlight w:val="none"/>
              </w:rPr>
              <w:t>×100</w:t>
            </w:r>
          </w:p>
          <w:p w14:paraId="3843C9B8">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Style w:val="18"/>
                <w:rFonts w:hint="default" w:ascii="宋体" w:hAnsi="宋体" w:eastAsia="宋体" w:cs="宋体"/>
                <w:color w:val="auto"/>
                <w:highlight w:val="none"/>
                <w:lang w:val="en-US" w:eastAsia="zh-CN"/>
              </w:rPr>
            </w:pPr>
            <w:r>
              <w:rPr>
                <w:rFonts w:ascii="宋体" w:hAnsi="宋体" w:eastAsia="宋体" w:cs="宋体"/>
                <w:color w:val="auto"/>
                <w:szCs w:val="21"/>
                <w:highlight w:val="none"/>
              </w:rPr>
              <w:t>【注：</w:t>
            </w:r>
            <w:r>
              <w:rPr>
                <w:rFonts w:hint="eastAsia" w:ascii="宋体" w:hAnsi="宋体" w:eastAsia="宋体" w:cs="宋体"/>
                <w:bCs/>
                <w:color w:val="auto"/>
                <w:spacing w:val="-4"/>
                <w:szCs w:val="21"/>
                <w:highlight w:val="none"/>
                <w:lang w:val="en-US" w:eastAsia="zh-CN"/>
              </w:rPr>
              <w:t>1.</w:t>
            </w:r>
            <w:r>
              <w:rPr>
                <w:rStyle w:val="18"/>
                <w:rFonts w:hint="eastAsia" w:ascii="宋体" w:hAnsi="宋体" w:eastAsia="宋体" w:cs="宋体"/>
                <w:color w:val="auto"/>
                <w:highlight w:val="none"/>
                <w:lang w:val="en-US" w:eastAsia="zh-CN"/>
              </w:rPr>
              <w:t>投标报价换算成（1-投标下浮率），换算后的投标报价仅作为价格评审使用</w:t>
            </w:r>
            <w:r>
              <w:rPr>
                <w:rFonts w:hint="eastAsia" w:ascii="宋体" w:hAnsi="宋体" w:eastAsia="宋体" w:cs="宋体"/>
                <w:bCs/>
                <w:color w:val="auto"/>
                <w:spacing w:val="-4"/>
                <w:szCs w:val="21"/>
                <w:highlight w:val="none"/>
                <w:lang w:eastAsia="zh-CN"/>
              </w:rPr>
              <w:t>，</w:t>
            </w:r>
            <w:r>
              <w:rPr>
                <w:rFonts w:hint="eastAsia" w:ascii="宋体" w:hAnsi="宋体" w:eastAsia="宋体" w:cs="宋体"/>
                <w:bCs/>
                <w:color w:val="auto"/>
                <w:spacing w:val="-4"/>
                <w:szCs w:val="21"/>
                <w:highlight w:val="none"/>
                <w:lang w:val="en-US" w:eastAsia="zh-CN"/>
              </w:rPr>
              <w:t>如：下浮率报价最高为20%，则评标基准价为1-20%=80%，得满分；下浮率报价为5%，投标报价为1-5%=95%，价格得分=（80%/95%）</w:t>
            </w:r>
            <w:r>
              <w:rPr>
                <w:rFonts w:ascii="宋体" w:hAnsi="宋体" w:eastAsia="宋体"/>
                <w:bCs/>
                <w:color w:val="auto"/>
                <w:sz w:val="21"/>
                <w:szCs w:val="21"/>
                <w:highlight w:val="none"/>
              </w:rPr>
              <w:t>×</w:t>
            </w:r>
            <w:r>
              <w:rPr>
                <w:rFonts w:hint="eastAsia" w:ascii="宋体" w:hAnsi="宋体" w:eastAsia="宋体"/>
                <w:color w:val="auto"/>
                <w:sz w:val="21"/>
                <w:szCs w:val="21"/>
                <w:highlight w:val="none"/>
                <w:lang w:val="en-US" w:eastAsia="zh-CN"/>
              </w:rPr>
              <w:t>15%</w:t>
            </w:r>
            <w:r>
              <w:rPr>
                <w:rFonts w:ascii="宋体" w:hAnsi="宋体" w:eastAsia="宋体"/>
                <w:bCs/>
                <w:color w:val="auto"/>
                <w:sz w:val="21"/>
                <w:szCs w:val="21"/>
                <w:highlight w:val="none"/>
              </w:rPr>
              <w:t>×100</w:t>
            </w:r>
            <w:r>
              <w:rPr>
                <w:rFonts w:hint="eastAsia" w:ascii="宋体" w:hAnsi="宋体" w:eastAsia="宋体"/>
                <w:bCs/>
                <w:color w:val="auto"/>
                <w:sz w:val="21"/>
                <w:szCs w:val="21"/>
                <w:highlight w:val="none"/>
                <w:lang w:val="en-US" w:eastAsia="zh-CN"/>
              </w:rPr>
              <w:t>=12.63分；</w:t>
            </w:r>
          </w:p>
          <w:p w14:paraId="10DCB790">
            <w:pPr>
              <w:spacing w:line="400" w:lineRule="exact"/>
              <w:jc w:val="left"/>
              <w:rPr>
                <w:rFonts w:hint="eastAsia" w:ascii="宋体" w:hAnsi="宋体" w:eastAsia="宋体" w:cs="宋体"/>
                <w:b w:val="0"/>
                <w:bCs w:val="0"/>
                <w:color w:val="auto"/>
                <w:sz w:val="21"/>
                <w:szCs w:val="21"/>
                <w:highlight w:val="none"/>
                <w:lang w:val="en-US" w:eastAsia="zh-CN"/>
              </w:rPr>
            </w:pPr>
            <w:r>
              <w:rPr>
                <w:rStyle w:val="18"/>
                <w:rFonts w:hint="eastAsia" w:ascii="宋体" w:hAnsi="宋体" w:eastAsia="宋体" w:cs="宋体"/>
                <w:color w:val="auto"/>
                <w:highlight w:val="none"/>
                <w:lang w:val="en-US" w:eastAsia="zh-CN"/>
              </w:rPr>
              <w:t>2.</w:t>
            </w:r>
            <w:r>
              <w:rPr>
                <w:rFonts w:hint="eastAsia" w:ascii="宋体" w:hAnsi="宋体" w:eastAsia="宋体" w:cs="宋体"/>
                <w:bCs/>
                <w:color w:val="auto"/>
                <w:spacing w:val="-4"/>
                <w:szCs w:val="21"/>
                <w:highlight w:val="none"/>
              </w:rPr>
              <w:t>因落实采购政策进行价格调整的，以调整后的价格计算评标基准价和投标报价</w:t>
            </w:r>
            <w:r>
              <w:rPr>
                <w:rStyle w:val="18"/>
                <w:rFonts w:hint="eastAsia" w:ascii="宋体" w:hAnsi="宋体" w:eastAsia="宋体" w:cs="宋体"/>
                <w:color w:val="auto"/>
                <w:highlight w:val="none"/>
                <w:lang w:val="en-US" w:eastAsia="zh-CN"/>
              </w:rPr>
              <w:t>。</w:t>
            </w:r>
            <w:r>
              <w:rPr>
                <w:rFonts w:ascii="宋体" w:hAnsi="宋体" w:eastAsia="宋体" w:cs="宋体"/>
                <w:color w:val="auto"/>
                <w:szCs w:val="21"/>
                <w:highlight w:val="none"/>
              </w:rPr>
              <w:t>】</w:t>
            </w:r>
          </w:p>
        </w:tc>
      </w:tr>
      <w:bookmarkEnd w:id="30"/>
    </w:tbl>
    <w:p w14:paraId="151CEF5D">
      <w:pPr>
        <w:pStyle w:val="25"/>
        <w:numPr>
          <w:ilvl w:val="3"/>
          <w:numId w:val="8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5"/>
        <w:widowControl/>
        <w:numPr>
          <w:ilvl w:val="0"/>
          <w:numId w:val="88"/>
        </w:numPr>
        <w:ind w:left="426" w:hanging="426"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w:t>
      </w:r>
      <w:r>
        <w:rPr>
          <w:rFonts w:ascii="宋体" w:hAnsi="宋体" w:eastAsia="宋体" w:cs="Times New Roman"/>
          <w:color w:val="auto"/>
          <w:kern w:val="0"/>
          <w:szCs w:val="21"/>
          <w:lang w:eastAsia="zh-Hans"/>
        </w:rPr>
        <w:t>最高的同品牌投标人获得中标人推荐资格；评审得分相同的，由采购人或者采购人委托评标委员会采取随机抽取方式确定，其他同品牌投标人不作为中标候选人）。</w:t>
      </w:r>
    </w:p>
    <w:p w14:paraId="29C1B2C5">
      <w:pPr>
        <w:pStyle w:val="25"/>
        <w:numPr>
          <w:ilvl w:val="3"/>
          <w:numId w:val="84"/>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6F4085C">
      <w:pPr>
        <w:widowControl/>
        <w:ind w:firstLine="420" w:firstLineChars="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5"/>
        <w:numPr>
          <w:ilvl w:val="3"/>
          <w:numId w:val="84"/>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7B1FED0F">
      <w:pPr>
        <w:pStyle w:val="25"/>
        <w:widowControl/>
        <w:numPr>
          <w:ilvl w:val="0"/>
          <w:numId w:val="89"/>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评标期间，投标人没有按评标委员会的要求提交法定代表人或其委托代理人签字的澄清、说明、补正或改变了投标文件的实质性内容的。</w:t>
      </w:r>
    </w:p>
    <w:p w14:paraId="12D647CC">
      <w:pPr>
        <w:pStyle w:val="25"/>
        <w:widowControl/>
        <w:numPr>
          <w:ilvl w:val="0"/>
          <w:numId w:val="8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5"/>
        <w:widowControl/>
        <w:numPr>
          <w:ilvl w:val="0"/>
          <w:numId w:val="8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5"/>
        <w:widowControl/>
        <w:numPr>
          <w:ilvl w:val="0"/>
          <w:numId w:val="89"/>
        </w:numPr>
        <w:ind w:firstLineChars="0"/>
        <w:jc w:val="left"/>
        <w:rPr>
          <w:rFonts w:hint="eastAsia"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5"/>
        <w:widowControl/>
        <w:numPr>
          <w:ilvl w:val="0"/>
          <w:numId w:val="8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5"/>
        <w:widowControl/>
        <w:numPr>
          <w:ilvl w:val="0"/>
          <w:numId w:val="8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4AC98C66">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13B3D5BA">
      <w:pPr>
        <w:pStyle w:val="19"/>
        <w:rPr>
          <w:lang w:eastAsia="zh-CN"/>
        </w:rPr>
      </w:pPr>
    </w:p>
    <w:p w14:paraId="4058F9B5">
      <w:pPr>
        <w:pStyle w:val="19"/>
        <w:rPr>
          <w:lang w:eastAsia="zh-CN"/>
        </w:rPr>
      </w:pPr>
    </w:p>
    <w:p w14:paraId="621388A0">
      <w:pPr>
        <w:pStyle w:val="19"/>
        <w:rPr>
          <w:lang w:eastAsia="zh-CN"/>
        </w:rPr>
      </w:pPr>
    </w:p>
    <w:p w14:paraId="2096565D">
      <w:pPr>
        <w:pageBreakBefore/>
        <w:widowControl/>
        <w:jc w:val="center"/>
        <w:outlineLvl w:val="1"/>
        <w:rPr>
          <w:rFonts w:hint="eastAsia" w:ascii="宋体" w:hAnsi="宋体" w:eastAsia="宋体"/>
          <w:sz w:val="36"/>
          <w:szCs w:val="36"/>
        </w:rPr>
      </w:pPr>
      <w:bookmarkStart w:id="31" w:name="_Toc169807544"/>
      <w:bookmarkStart w:id="32" w:name="_Toc169799783"/>
      <w:r>
        <w:rPr>
          <w:rFonts w:ascii="宋体" w:hAnsi="宋体" w:eastAsia="宋体" w:cs="Times New Roman"/>
          <w:b/>
          <w:kern w:val="0"/>
          <w:sz w:val="36"/>
          <w:szCs w:val="36"/>
          <w:lang w:eastAsia="zh-Hans"/>
        </w:rPr>
        <w:t>第五章 合同文本</w:t>
      </w:r>
      <w:bookmarkEnd w:id="31"/>
      <w:bookmarkEnd w:id="32"/>
    </w:p>
    <w:p w14:paraId="173722E9">
      <w:pPr>
        <w:keepNext w:val="0"/>
        <w:keepLines/>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bookmarkStart w:id="33" w:name="_Toc169799784"/>
      <w:bookmarkStart w:id="34" w:name="_Toc169807545"/>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东莞市石龙镇社区卫生服务中心 </w:t>
      </w:r>
    </w:p>
    <w:p w14:paraId="394310B3">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p>
    <w:p w14:paraId="5CE46483">
      <w:pPr>
        <w:keepNext w:val="0"/>
        <w:pageBreakBefore w:val="0"/>
        <w:widowControl w:val="0"/>
        <w:kinsoku/>
        <w:wordWrap/>
        <w:overflowPunct/>
        <w:topLinePunct w:val="0"/>
        <w:bidi w:val="0"/>
        <w:snapToGrid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w:t>
      </w:r>
      <w:bookmarkStart w:id="35" w:name="_Hlk90988984"/>
      <w:r>
        <w:rPr>
          <w:rFonts w:hint="eastAsia" w:ascii="宋体" w:hAnsi="宋体" w:eastAsia="宋体" w:cs="宋体"/>
          <w:color w:val="auto"/>
          <w:sz w:val="21"/>
          <w:szCs w:val="21"/>
          <w:highlight w:val="none"/>
        </w:rPr>
        <w:t>《中华人民共和国民法典</w:t>
      </w:r>
      <w:bookmarkEnd w:id="35"/>
      <w:r>
        <w:rPr>
          <w:rFonts w:hint="eastAsia" w:ascii="宋体" w:hAnsi="宋体" w:eastAsia="宋体" w:cs="宋体"/>
          <w:color w:val="auto"/>
          <w:sz w:val="21"/>
          <w:szCs w:val="21"/>
          <w:highlight w:val="none"/>
        </w:rPr>
        <w:t>》及</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文件、</w:t>
      </w:r>
      <w:r>
        <w:rPr>
          <w:rFonts w:hint="eastAsia" w:ascii="宋体" w:hAnsi="宋体" w:eastAsia="宋体" w:cs="宋体"/>
          <w:color w:val="auto"/>
          <w:sz w:val="21"/>
          <w:szCs w:val="21"/>
          <w:highlight w:val="none"/>
          <w:lang w:val="en-US" w:eastAsia="zh-CN"/>
        </w:rPr>
        <w:t>中标</w:t>
      </w:r>
      <w:r>
        <w:rPr>
          <w:rFonts w:hint="eastAsia" w:ascii="宋体" w:hAnsi="宋体" w:eastAsia="宋体" w:cs="宋体"/>
          <w:color w:val="auto"/>
          <w:sz w:val="21"/>
          <w:szCs w:val="21"/>
          <w:highlight w:val="none"/>
        </w:rPr>
        <w:t>通知书等相关资料的要求，经双方协商一致，签订本合同，共同遵守如下条款。</w:t>
      </w:r>
    </w:p>
    <w:p w14:paraId="40F0EC5A">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bCs/>
          <w:color w:val="auto"/>
          <w:spacing w:val="20"/>
          <w:sz w:val="21"/>
          <w:szCs w:val="21"/>
          <w:highlight w:val="none"/>
        </w:rPr>
      </w:pPr>
      <w:r>
        <w:rPr>
          <w:rFonts w:hint="eastAsia" w:ascii="宋体" w:hAnsi="宋体" w:eastAsia="宋体" w:cs="宋体"/>
          <w:b/>
          <w:color w:val="auto"/>
          <w:spacing w:val="20"/>
          <w:sz w:val="21"/>
          <w:szCs w:val="21"/>
          <w:highlight w:val="none"/>
        </w:rPr>
        <w:t>合同项目</w:t>
      </w:r>
    </w:p>
    <w:p w14:paraId="75A80EB6">
      <w:pPr>
        <w:keepNext w:val="0"/>
        <w:pageBreakBefore w:val="0"/>
        <w:widowControl w:val="0"/>
        <w:numPr>
          <w:ilvl w:val="0"/>
          <w:numId w:val="91"/>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项目名称：</w:t>
      </w:r>
      <w:r>
        <w:rPr>
          <w:rFonts w:hint="eastAsia" w:ascii="宋体" w:hAnsi="宋体" w:eastAsia="宋体" w:cs="宋体"/>
          <w:color w:val="auto"/>
          <w:sz w:val="21"/>
          <w:szCs w:val="21"/>
          <w:highlight w:val="none"/>
          <w:u w:val="single"/>
        </w:rPr>
        <w:t>东莞市石龙镇社区卫生服务中心食堂食材配送服务项目</w:t>
      </w:r>
    </w:p>
    <w:p w14:paraId="4B494A09">
      <w:pPr>
        <w:keepNext w:val="0"/>
        <w:pageBreakBefore w:val="0"/>
        <w:widowControl w:val="0"/>
        <w:numPr>
          <w:ilvl w:val="0"/>
          <w:numId w:val="91"/>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xml:space="preserve"> ZHDGZC2025081 </w:t>
      </w:r>
    </w:p>
    <w:p w14:paraId="55AA2717">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项目概况</w:t>
      </w:r>
    </w:p>
    <w:p w14:paraId="7BAA85CD">
      <w:pPr>
        <w:keepNext w:val="0"/>
        <w:pageBreakBefore w:val="0"/>
        <w:widowControl w:val="0"/>
        <w:numPr>
          <w:ilvl w:val="0"/>
          <w:numId w:val="9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项目概况：</w:t>
      </w:r>
      <w:r>
        <w:rPr>
          <w:rFonts w:hint="eastAsia" w:ascii="宋体" w:hAnsi="宋体" w:eastAsia="宋体" w:cs="宋体"/>
          <w:color w:val="auto"/>
          <w:sz w:val="21"/>
          <w:szCs w:val="21"/>
          <w:highlight w:val="none"/>
          <w:u w:val="single"/>
          <w:lang w:val="en-US" w:eastAsia="zh-CN"/>
        </w:rPr>
        <w:t>本项目为东莞市石龙镇社区卫生服务中心食堂食材配送服务项目。</w:t>
      </w:r>
    </w:p>
    <w:p w14:paraId="57DC119E">
      <w:pPr>
        <w:keepNext w:val="0"/>
        <w:pageBreakBefore w:val="0"/>
        <w:widowControl w:val="0"/>
        <w:numPr>
          <w:ilvl w:val="0"/>
          <w:numId w:val="9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服务范围及内容：</w:t>
      </w:r>
      <w:r>
        <w:rPr>
          <w:rFonts w:hint="eastAsia" w:ascii="宋体" w:hAnsi="宋体" w:eastAsia="宋体" w:cs="宋体"/>
          <w:color w:val="auto"/>
          <w:sz w:val="21"/>
          <w:szCs w:val="21"/>
          <w:highlight w:val="none"/>
          <w:u w:val="single"/>
        </w:rPr>
        <w:t>本项目配送食材包括蔬菜、水果、禽肉类、水产品类、粮油副食品百货类、冻品类、豆制品、调味品、禽蛋等。</w:t>
      </w:r>
    </w:p>
    <w:p w14:paraId="309CB5E3">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总体要求</w:t>
      </w:r>
    </w:p>
    <w:p w14:paraId="06FA96FE">
      <w:pPr>
        <w:keepNext w:val="0"/>
        <w:pageBreakBefore w:val="0"/>
        <w:widowControl w:val="0"/>
        <w:numPr>
          <w:ilvl w:val="0"/>
          <w:numId w:val="93"/>
        </w:numPr>
        <w:kinsoku/>
        <w:wordWrap/>
        <w:overflowPunct/>
        <w:topLinePunct w:val="0"/>
        <w:autoSpaceDE w:val="0"/>
        <w:autoSpaceDN w:val="0"/>
        <w:bidi w:val="0"/>
        <w:adjustRightInd w:val="0"/>
        <w:snapToGrid w:val="0"/>
        <w:spacing w:line="360" w:lineRule="auto"/>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甲方权利和义务</w:t>
      </w:r>
    </w:p>
    <w:p w14:paraId="567F335D">
      <w:pPr>
        <w:keepNext w:val="0"/>
        <w:pageBreakBefore w:val="0"/>
        <w:widowControl w:val="0"/>
        <w:numPr>
          <w:ilvl w:val="0"/>
          <w:numId w:val="94"/>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甲方有权随时检查乙方的服务履行情况，并向乙方提出修改。</w:t>
      </w:r>
    </w:p>
    <w:p w14:paraId="68E24D40">
      <w:pPr>
        <w:keepNext w:val="0"/>
        <w:pageBreakBefore w:val="0"/>
        <w:widowControl w:val="0"/>
        <w:numPr>
          <w:ilvl w:val="0"/>
          <w:numId w:val="94"/>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当发生服务违约时，则甲方有权按约定在支付乙方合同款项中进行扣款。</w:t>
      </w:r>
    </w:p>
    <w:p w14:paraId="4CBA819E">
      <w:pPr>
        <w:keepNext w:val="0"/>
        <w:pageBreakBefore w:val="0"/>
        <w:widowControl w:val="0"/>
        <w:numPr>
          <w:ilvl w:val="0"/>
          <w:numId w:val="94"/>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在乙方提供服务时，如对甲方的设备造成了损坏，甲方有权要求乙方赔偿。</w:t>
      </w:r>
    </w:p>
    <w:p w14:paraId="2A0B5D6C">
      <w:pPr>
        <w:keepNext w:val="0"/>
        <w:pageBreakBefore w:val="0"/>
        <w:widowControl w:val="0"/>
        <w:numPr>
          <w:ilvl w:val="0"/>
          <w:numId w:val="94"/>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甲方应按合同规定向乙方支付服务费用。</w:t>
      </w:r>
    </w:p>
    <w:p w14:paraId="110BB59B">
      <w:pPr>
        <w:keepNext w:val="0"/>
        <w:pageBreakBefore w:val="0"/>
        <w:widowControl w:val="0"/>
        <w:numPr>
          <w:ilvl w:val="0"/>
          <w:numId w:val="93"/>
        </w:numPr>
        <w:kinsoku/>
        <w:wordWrap/>
        <w:overflowPunct/>
        <w:topLinePunct w:val="0"/>
        <w:autoSpaceDE w:val="0"/>
        <w:autoSpaceDN w:val="0"/>
        <w:bidi w:val="0"/>
        <w:adjustRightInd w:val="0"/>
        <w:snapToGrid w:val="0"/>
        <w:spacing w:line="360" w:lineRule="auto"/>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乙方权利和义务</w:t>
      </w:r>
    </w:p>
    <w:p w14:paraId="0942A5B9">
      <w:pPr>
        <w:keepNext w:val="0"/>
        <w:pageBreakBefore w:val="0"/>
        <w:widowControl w:val="0"/>
        <w:numPr>
          <w:ilvl w:val="0"/>
          <w:numId w:val="95"/>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乙方应按</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文件的要求和响应文件的承诺进行服务，发生任何服务的变更均须向甲方提出交书面报审报告。</w:t>
      </w:r>
    </w:p>
    <w:p w14:paraId="5CDC5657">
      <w:pPr>
        <w:keepNext w:val="0"/>
        <w:pageBreakBefore w:val="0"/>
        <w:widowControl w:val="0"/>
        <w:numPr>
          <w:ilvl w:val="0"/>
          <w:numId w:val="95"/>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乙方有权要求甲方按时支付服务费用。如甲方不按时支付乙方有权要求甲方支付滞纳金。但服务费得支付应以符合东莞市财政局的相关规定为前提。</w:t>
      </w:r>
    </w:p>
    <w:p w14:paraId="6497B9B4">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服务总体要求</w:t>
      </w:r>
    </w:p>
    <w:p w14:paraId="7045C493">
      <w:pPr>
        <w:keepNext w:val="0"/>
        <w:pageBreakBefore w:val="0"/>
        <w:widowControl w:val="0"/>
        <w:numPr>
          <w:ilvl w:val="0"/>
          <w:numId w:val="9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提出的食材订货清单，不论数量多少，应保证在规定的时间（以</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的供货通知为依据）、地点送货；</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提出的临时性服务要求也应按时、按质、按量将货品送到</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指定地点；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所供应的货品必须安全卫生，量足价平，承担送货途中的一切风险并提供完善的售后服务</w:t>
      </w:r>
      <w:r>
        <w:rPr>
          <w:rFonts w:hint="eastAsia" w:ascii="宋体" w:hAnsi="宋体" w:eastAsia="宋体" w:cs="宋体"/>
          <w:color w:val="auto"/>
          <w:sz w:val="21"/>
          <w:szCs w:val="21"/>
          <w:highlight w:val="none"/>
          <w:lang w:eastAsia="zh-CN"/>
        </w:rPr>
        <w:t>；</w:t>
      </w:r>
    </w:p>
    <w:p w14:paraId="6C6B1FEC">
      <w:pPr>
        <w:keepNext w:val="0"/>
        <w:pageBreakBefore w:val="0"/>
        <w:widowControl w:val="0"/>
        <w:numPr>
          <w:ilvl w:val="0"/>
          <w:numId w:val="9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乙方服务须符合</w:t>
      </w:r>
      <w:r>
        <w:rPr>
          <w:rFonts w:hint="eastAsia" w:ascii="宋体" w:hAnsi="宋体" w:eastAsia="宋体" w:cs="宋体"/>
          <w:color w:val="auto"/>
          <w:sz w:val="21"/>
          <w:szCs w:val="21"/>
          <w:highlight w:val="none"/>
        </w:rPr>
        <w:t>《中华人民共和国食品安全法》、《广东省食品安全条例》及相关文件精神</w:t>
      </w:r>
      <w:r>
        <w:rPr>
          <w:rFonts w:hint="eastAsia" w:ascii="宋体" w:hAnsi="宋体" w:eastAsia="宋体" w:cs="宋体"/>
          <w:color w:val="auto"/>
          <w:sz w:val="21"/>
          <w:szCs w:val="21"/>
          <w:highlight w:val="none"/>
          <w:lang w:eastAsia="zh-CN"/>
        </w:rPr>
        <w:t>；</w:t>
      </w:r>
    </w:p>
    <w:p w14:paraId="74E06BE3">
      <w:pPr>
        <w:keepNext w:val="0"/>
        <w:pageBreakBefore w:val="0"/>
        <w:widowControl w:val="0"/>
        <w:numPr>
          <w:ilvl w:val="0"/>
          <w:numId w:val="9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需服从</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和食品监督部门的监督管理，配合</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及时更新所提供的符合卫生监督部门的有效证明材料</w:t>
      </w:r>
      <w:r>
        <w:rPr>
          <w:rFonts w:hint="eastAsia" w:ascii="宋体" w:hAnsi="宋体" w:eastAsia="宋体" w:cs="宋体"/>
          <w:color w:val="auto"/>
          <w:sz w:val="21"/>
          <w:szCs w:val="21"/>
          <w:highlight w:val="none"/>
          <w:lang w:eastAsia="zh-CN"/>
        </w:rPr>
        <w:t>；</w:t>
      </w:r>
    </w:p>
    <w:p w14:paraId="5605269F">
      <w:pPr>
        <w:keepNext w:val="0"/>
        <w:pageBreakBefore w:val="0"/>
        <w:widowControl w:val="0"/>
        <w:numPr>
          <w:ilvl w:val="0"/>
          <w:numId w:val="9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所送的食材及物资引起食用人身体不适、发生食物中毒等问题，经正规食品质量检验部门确定是</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责任的，由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承担全部经济赔偿及法律责任</w:t>
      </w:r>
      <w:r>
        <w:rPr>
          <w:rFonts w:hint="eastAsia" w:ascii="宋体" w:hAnsi="宋体" w:eastAsia="宋体" w:cs="宋体"/>
          <w:color w:val="auto"/>
          <w:sz w:val="21"/>
          <w:szCs w:val="21"/>
          <w:highlight w:val="none"/>
          <w:lang w:eastAsia="zh-CN"/>
        </w:rPr>
        <w:t>；</w:t>
      </w:r>
    </w:p>
    <w:p w14:paraId="5463F693">
      <w:pPr>
        <w:keepNext w:val="0"/>
        <w:pageBreakBefore w:val="0"/>
        <w:widowControl w:val="0"/>
        <w:numPr>
          <w:ilvl w:val="0"/>
          <w:numId w:val="9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在合同服务期内，如因政策性等不可抗力因素导致合同中止，</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不承担任何责任。</w:t>
      </w:r>
    </w:p>
    <w:p w14:paraId="6A019B88">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食品安全质量要求</w:t>
      </w:r>
    </w:p>
    <w:p w14:paraId="3D74DF19">
      <w:pPr>
        <w:keepNext w:val="0"/>
        <w:pageBreakBefore w:val="0"/>
        <w:widowControl w:val="0"/>
        <w:numPr>
          <w:ilvl w:val="0"/>
          <w:numId w:val="9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eastAsia="zh-CN"/>
        </w:rPr>
        <w:t>必须遵守国家规定的《中华人民共和国食品安全法》《农产品质量安全法》等法律和行政法规的规定，提供的货品必须符合国家有关卫生标准，保质、保量、保鲜，严禁配送假冒、变质、过期的农副产品，对于验收不合格的货品，乙方必须无条件包退包换。</w:t>
      </w:r>
    </w:p>
    <w:p w14:paraId="7845E965">
      <w:pPr>
        <w:keepNext w:val="0"/>
        <w:pageBreakBefore w:val="0"/>
        <w:widowControl w:val="0"/>
        <w:numPr>
          <w:ilvl w:val="0"/>
          <w:numId w:val="9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蔬菜、水果供应货品质量要求</w:t>
      </w:r>
    </w:p>
    <w:p w14:paraId="69F9ECC4">
      <w:pPr>
        <w:keepNext w:val="0"/>
        <w:pageBreakBefore w:val="0"/>
        <w:widowControl w:val="0"/>
        <w:numPr>
          <w:ilvl w:val="0"/>
          <w:numId w:val="9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乙方提供的蔬菜必须保证每日新鲜，品种、质量应符合甲方要求，产品符合食品卫生安全法要求并出具有效的《农产品检验报告》。</w:t>
      </w:r>
    </w:p>
    <w:p w14:paraId="3CD5DFF0">
      <w:pPr>
        <w:keepNext w:val="0"/>
        <w:pageBreakBefore w:val="0"/>
        <w:widowControl w:val="0"/>
        <w:numPr>
          <w:ilvl w:val="0"/>
          <w:numId w:val="9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应保持较好的色泽和新鲜度，不得有黄叶，不得腐烂或有异常味道，不存在泥沙和异物，利用率不得低于95%。</w:t>
      </w:r>
    </w:p>
    <w:p w14:paraId="0266CE58">
      <w:pPr>
        <w:keepNext w:val="0"/>
        <w:pageBreakBefore w:val="0"/>
        <w:widowControl w:val="0"/>
        <w:numPr>
          <w:ilvl w:val="0"/>
          <w:numId w:val="9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乙方提供的水果符合国家</w:t>
      </w:r>
      <w:r>
        <w:rPr>
          <w:rFonts w:hint="eastAsia" w:ascii="宋体" w:hAnsi="宋体" w:eastAsia="宋体" w:cs="宋体"/>
          <w:color w:val="auto"/>
          <w:sz w:val="21"/>
          <w:szCs w:val="21"/>
          <w:highlight w:val="none"/>
          <w:lang w:val="en-US" w:eastAsia="zh-CN"/>
        </w:rPr>
        <w:t>相关法律、法规要求</w:t>
      </w:r>
      <w:r>
        <w:rPr>
          <w:rFonts w:hint="eastAsia" w:ascii="宋体" w:hAnsi="宋体" w:eastAsia="宋体" w:cs="宋体"/>
          <w:color w:val="auto"/>
          <w:sz w:val="21"/>
          <w:szCs w:val="21"/>
          <w:highlight w:val="none"/>
          <w:lang w:eastAsia="zh-CN"/>
        </w:rPr>
        <w:t>，果面干净新鲜，果柄鲜绿，果型完整且形好，个体均匀，结实，有光泽，表面光滑，无疤痕，不干皱，不变色，无压伤，无阴伤，无病虫害。</w:t>
      </w:r>
    </w:p>
    <w:p w14:paraId="2329ABE2">
      <w:pPr>
        <w:keepNext w:val="0"/>
        <w:pageBreakBefore w:val="0"/>
        <w:widowControl w:val="0"/>
        <w:numPr>
          <w:ilvl w:val="0"/>
          <w:numId w:val="9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不得供应转基因产品。</w:t>
      </w:r>
    </w:p>
    <w:p w14:paraId="3DD2A2C8">
      <w:pPr>
        <w:keepNext w:val="0"/>
        <w:pageBreakBefore w:val="0"/>
        <w:widowControl w:val="0"/>
        <w:numPr>
          <w:ilvl w:val="0"/>
          <w:numId w:val="9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禽肉类、水产品类供应货品质量要求</w:t>
      </w:r>
    </w:p>
    <w:p w14:paraId="28351BC0">
      <w:pPr>
        <w:keepNext w:val="0"/>
        <w:pageBreakBefore w:val="0"/>
        <w:widowControl w:val="0"/>
        <w:numPr>
          <w:ilvl w:val="0"/>
          <w:numId w:val="99"/>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禽肉类全部来源于正规肉联厂，保证为当日新鲜肉，并提供政府检疫部门出示的《检验检疫合格证明》。（禽肉类利用率不低于98%）</w:t>
      </w:r>
    </w:p>
    <w:p w14:paraId="5148B423">
      <w:pPr>
        <w:keepNext w:val="0"/>
        <w:pageBreakBefore w:val="0"/>
        <w:widowControl w:val="0"/>
        <w:numPr>
          <w:ilvl w:val="0"/>
          <w:numId w:val="99"/>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非冰鲜类必须鲜活，利用率不低于95%；冰鲜类水产品解冻后利用率不低于80%。</w:t>
      </w:r>
    </w:p>
    <w:p w14:paraId="0AA66CAF">
      <w:pPr>
        <w:keepNext w:val="0"/>
        <w:pageBreakBefore w:val="0"/>
        <w:widowControl w:val="0"/>
        <w:numPr>
          <w:ilvl w:val="0"/>
          <w:numId w:val="99"/>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鲜鱼鳞片完整，有光泽无脱落，眼球光亮透明，鳃口紧闭，鱼鳃鲜红，鳍尾完整，确保新鲜。</w:t>
      </w:r>
    </w:p>
    <w:p w14:paraId="3F414123">
      <w:pPr>
        <w:keepNext w:val="0"/>
        <w:pageBreakBefore w:val="0"/>
        <w:widowControl w:val="0"/>
        <w:numPr>
          <w:ilvl w:val="0"/>
          <w:numId w:val="99"/>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身体饱满结实，无腐烂，无异味（如泥腥味、电油味等），肉质紧密有弹性，无离骨脱刺现象。</w:t>
      </w:r>
    </w:p>
    <w:p w14:paraId="56119450">
      <w:pPr>
        <w:keepNext w:val="0"/>
        <w:pageBreakBefore w:val="0"/>
        <w:widowControl w:val="0"/>
        <w:numPr>
          <w:ilvl w:val="0"/>
          <w:numId w:val="99"/>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来源可靠放心，无毒、无害、无污染。</w:t>
      </w:r>
    </w:p>
    <w:p w14:paraId="220FA41C">
      <w:pPr>
        <w:keepNext w:val="0"/>
        <w:pageBreakBefore w:val="0"/>
        <w:widowControl w:val="0"/>
        <w:numPr>
          <w:ilvl w:val="0"/>
          <w:numId w:val="9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shd w:val="clear" w:color="auto" w:fill="auto"/>
          <w:lang w:eastAsia="zh-CN"/>
        </w:rPr>
      </w:pPr>
      <w:r>
        <w:rPr>
          <w:rFonts w:hint="eastAsia" w:ascii="宋体" w:hAnsi="宋体" w:eastAsia="宋体" w:cs="宋体"/>
          <w:color w:val="auto"/>
          <w:sz w:val="21"/>
          <w:szCs w:val="21"/>
          <w:highlight w:val="none"/>
          <w:shd w:val="clear" w:color="auto" w:fill="auto"/>
          <w:lang w:eastAsia="zh-CN"/>
        </w:rPr>
        <w:t>粮油副食品百货类供应货品质量要求</w:t>
      </w:r>
    </w:p>
    <w:p w14:paraId="7C4E33EF">
      <w:pPr>
        <w:keepNext w:val="0"/>
        <w:pageBreakBefore w:val="0"/>
        <w:widowControl w:val="0"/>
        <w:numPr>
          <w:ilvl w:val="0"/>
          <w:numId w:val="100"/>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shd w:val="clear" w:color="auto" w:fill="auto"/>
          <w:lang w:eastAsia="zh-CN"/>
        </w:rPr>
      </w:pPr>
      <w:r>
        <w:rPr>
          <w:rFonts w:hint="eastAsia" w:ascii="宋体" w:hAnsi="宋体" w:eastAsia="宋体" w:cs="宋体"/>
          <w:color w:val="auto"/>
          <w:sz w:val="21"/>
          <w:szCs w:val="21"/>
          <w:highlight w:val="none"/>
          <w:shd w:val="clear" w:color="auto" w:fill="auto"/>
          <w:lang w:eastAsia="zh-CN"/>
        </w:rPr>
        <w:t>需要由正规厂家生产，有相应的质检报告、食品生产许可证号，内外包装完整无变形。</w:t>
      </w:r>
    </w:p>
    <w:p w14:paraId="04CED189">
      <w:pPr>
        <w:keepNext w:val="0"/>
        <w:pageBreakBefore w:val="0"/>
        <w:widowControl w:val="0"/>
        <w:numPr>
          <w:ilvl w:val="0"/>
          <w:numId w:val="100"/>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shd w:val="clear" w:color="auto" w:fill="auto"/>
          <w:lang w:eastAsia="zh-CN"/>
        </w:rPr>
      </w:pPr>
      <w:r>
        <w:rPr>
          <w:rFonts w:hint="eastAsia" w:ascii="宋体" w:hAnsi="宋体" w:eastAsia="宋体" w:cs="宋体"/>
          <w:color w:val="auto"/>
          <w:sz w:val="21"/>
          <w:szCs w:val="21"/>
          <w:highlight w:val="none"/>
          <w:shd w:val="clear" w:color="auto" w:fill="auto"/>
          <w:lang w:eastAsia="zh-CN"/>
        </w:rPr>
        <w:t>所供应货品需要符合相关质量安全要求，需要通过QS认证的货品必须有QS认证标志。</w:t>
      </w:r>
    </w:p>
    <w:p w14:paraId="0C18EB19">
      <w:pPr>
        <w:keepNext w:val="0"/>
        <w:pageBreakBefore w:val="0"/>
        <w:widowControl w:val="0"/>
        <w:numPr>
          <w:ilvl w:val="0"/>
          <w:numId w:val="100"/>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shd w:val="clear" w:color="auto" w:fill="auto"/>
          <w:lang w:eastAsia="zh-CN"/>
        </w:rPr>
      </w:pPr>
      <w:r>
        <w:rPr>
          <w:rFonts w:hint="eastAsia" w:ascii="宋体" w:hAnsi="宋体" w:eastAsia="宋体" w:cs="宋体"/>
          <w:color w:val="auto"/>
          <w:sz w:val="21"/>
          <w:szCs w:val="21"/>
          <w:highlight w:val="none"/>
          <w:shd w:val="clear" w:color="auto" w:fill="auto"/>
          <w:lang w:eastAsia="zh-CN"/>
        </w:rPr>
        <w:t>颜色品质纯正，不得有掺假、变质、变味等现象出现。</w:t>
      </w:r>
    </w:p>
    <w:p w14:paraId="2CFE61BD">
      <w:pPr>
        <w:keepNext w:val="0"/>
        <w:pageBreakBefore w:val="0"/>
        <w:widowControl w:val="0"/>
        <w:numPr>
          <w:ilvl w:val="0"/>
          <w:numId w:val="100"/>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shd w:val="clear" w:color="auto" w:fill="auto"/>
          <w:lang w:eastAsia="zh-CN"/>
        </w:rPr>
      </w:pPr>
      <w:r>
        <w:rPr>
          <w:rFonts w:hint="eastAsia" w:ascii="宋体" w:hAnsi="宋体" w:eastAsia="宋体" w:cs="宋体"/>
          <w:color w:val="auto"/>
          <w:sz w:val="21"/>
          <w:szCs w:val="21"/>
          <w:highlight w:val="none"/>
          <w:shd w:val="clear" w:color="auto" w:fill="auto"/>
          <w:lang w:eastAsia="zh-CN"/>
        </w:rPr>
        <w:t>剩余保质期不得少于70%。</w:t>
      </w:r>
    </w:p>
    <w:p w14:paraId="1EE69453">
      <w:pPr>
        <w:keepNext w:val="0"/>
        <w:pageBreakBefore w:val="0"/>
        <w:widowControl w:val="0"/>
        <w:numPr>
          <w:ilvl w:val="0"/>
          <w:numId w:val="9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冻品类供应货品质量要求</w:t>
      </w:r>
    </w:p>
    <w:p w14:paraId="6771D8F2">
      <w:pPr>
        <w:keepNext w:val="0"/>
        <w:pageBreakBefore w:val="0"/>
        <w:widowControl w:val="0"/>
        <w:numPr>
          <w:ilvl w:val="0"/>
          <w:numId w:val="101"/>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必须保证供应的货品均为正规生产的检验合格产品，符合国家有关卫生、质量和包装的标准。</w:t>
      </w:r>
    </w:p>
    <w:p w14:paraId="003A68AF">
      <w:pPr>
        <w:keepNext w:val="0"/>
        <w:pageBreakBefore w:val="0"/>
        <w:widowControl w:val="0"/>
        <w:numPr>
          <w:ilvl w:val="0"/>
          <w:numId w:val="101"/>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有保质期限的货品，其剩余保质期不得少于标注保质期的70%。</w:t>
      </w:r>
    </w:p>
    <w:p w14:paraId="1BB8906F">
      <w:pPr>
        <w:keepNext w:val="0"/>
        <w:pageBreakBefore w:val="0"/>
        <w:widowControl w:val="0"/>
        <w:numPr>
          <w:ilvl w:val="0"/>
          <w:numId w:val="101"/>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有包装的货品，包装必须完整洁净，清晰列明品牌、规格、生产日期、净重、含冰率等相关参数。如果是散装货品，则须声明含冰率，其中，禽畜类货品含冰率应不高于8%，冰鲜鱼含冰率应不高于10%，其他水产类货品含冰率应不高于20%。个别特殊货品，应由乙方与甲方约定含冰率后再供货。</w:t>
      </w:r>
    </w:p>
    <w:p w14:paraId="417C534D">
      <w:pPr>
        <w:keepNext w:val="0"/>
        <w:pageBreakBefore w:val="0"/>
        <w:widowControl w:val="0"/>
        <w:numPr>
          <w:ilvl w:val="0"/>
          <w:numId w:val="101"/>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单冻货品应没有或只有少量冰屑，个体间无粘连；块冻货品内部个体应分布均匀。不能有解冻后重新冷冻的现象。</w:t>
      </w:r>
    </w:p>
    <w:p w14:paraId="2B730312">
      <w:pPr>
        <w:keepNext w:val="0"/>
        <w:pageBreakBefore w:val="0"/>
        <w:widowControl w:val="0"/>
        <w:numPr>
          <w:ilvl w:val="0"/>
          <w:numId w:val="101"/>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冻畜类应色泽均匀，肉边齐整，无血污、碎肉、碎骨，无风干现象，解冻后有肉的正常色泽和味道。冻禽类应外观滋润，无残羽、血污、伤斑，无风干现象，解冻后特征与鲜禽相同。冰鲜鱼应眼球饱满突出、透明清亮，鱼鳃鲜红无异味，鱼皮完整，鳞片有光泽且与鱼体贴附紧密，鱼体有正常的清洁透明粘液，肉质坚实有弹性，骨肉不分离。</w:t>
      </w:r>
    </w:p>
    <w:p w14:paraId="6927D437">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货品配送要求</w:t>
      </w:r>
    </w:p>
    <w:p w14:paraId="3A571391">
      <w:pPr>
        <w:keepNext w:val="0"/>
        <w:pageBreakBefore w:val="0"/>
        <w:widowControl w:val="0"/>
        <w:numPr>
          <w:ilvl w:val="0"/>
          <w:numId w:val="10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必须采用符合卫生要求的运载工具，要保持清洁和定期消毒。运输车厢的内仓应为抗腐蚀、防潮，防虫、防鼠的设计，车厢内无不良气味、异味。送货车辆应保持清洁，堆放科学合理，避免造成食材的交叉污染；如对温度有要求的应确定食材的温度，记录送货车辆温度，并记录存档。</w:t>
      </w:r>
    </w:p>
    <w:p w14:paraId="4D7D8457">
      <w:pPr>
        <w:keepNext w:val="0"/>
        <w:pageBreakBefore w:val="0"/>
        <w:widowControl w:val="0"/>
        <w:numPr>
          <w:ilvl w:val="0"/>
          <w:numId w:val="10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容器要求清洁、干燥、牢固、透气，无污染、无异味、无霉变现象。</w:t>
      </w:r>
    </w:p>
    <w:p w14:paraId="2B1B618E">
      <w:pPr>
        <w:keepNext w:val="0"/>
        <w:pageBreakBefore w:val="0"/>
        <w:widowControl w:val="0"/>
        <w:numPr>
          <w:ilvl w:val="0"/>
          <w:numId w:val="10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冰鲜类水产品必须用专用冷藏、冷冻载具运输，保证运输过程冷链不中断，到达目的地时外包装箱干爽，无软化现象。</w:t>
      </w:r>
    </w:p>
    <w:p w14:paraId="4B59BEEC">
      <w:pPr>
        <w:keepNext w:val="0"/>
        <w:pageBreakBefore w:val="0"/>
        <w:widowControl w:val="0"/>
        <w:numPr>
          <w:ilvl w:val="0"/>
          <w:numId w:val="10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蔬菜、水果、蛋类应小心轻卸，严防机械损伤。</w:t>
      </w:r>
    </w:p>
    <w:p w14:paraId="76663E05">
      <w:pPr>
        <w:keepNext w:val="0"/>
        <w:pageBreakBefore w:val="0"/>
        <w:widowControl w:val="0"/>
        <w:numPr>
          <w:ilvl w:val="0"/>
          <w:numId w:val="10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要免费提供运送及卸货服务。</w:t>
      </w:r>
    </w:p>
    <w:p w14:paraId="5CDC504D">
      <w:pPr>
        <w:keepNext w:val="0"/>
        <w:pageBreakBefore w:val="0"/>
        <w:widowControl w:val="0"/>
        <w:numPr>
          <w:ilvl w:val="0"/>
          <w:numId w:val="10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必须按照</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要求的货品规格、数量、质量配送，如数量不足的，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应立即补足；如有10%以下（含10%）货品规格、质量不符合要求的，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应对不符合要求的货品进行更换；如有10%以上的货品规格、质量不符合要求的，由</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选择整批退货或要求</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按时整批更换。</w:t>
      </w:r>
    </w:p>
    <w:p w14:paraId="228C5762">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货品质量安全问题处理要求</w:t>
      </w:r>
    </w:p>
    <w:p w14:paraId="45C863DD">
      <w:pPr>
        <w:keepNext w:val="0"/>
        <w:pageBreakBefore w:val="0"/>
        <w:widowControl w:val="0"/>
        <w:numPr>
          <w:ilvl w:val="0"/>
          <w:numId w:val="103"/>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对危及人体健康的食品质量问题采取零容忍措施，一经发现，当日所送同批次货品全部退货，并由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承担相关责任。</w:t>
      </w:r>
    </w:p>
    <w:p w14:paraId="5A524DF6">
      <w:pPr>
        <w:keepNext w:val="0"/>
        <w:pageBreakBefore w:val="0"/>
        <w:widowControl w:val="0"/>
        <w:numPr>
          <w:ilvl w:val="0"/>
          <w:numId w:val="103"/>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验收时凡属于规格、质量等问题的货品，</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必须按照</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要求包退包换，退补货品需在60分钟内补给，不能影响</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正常供餐。</w:t>
      </w:r>
    </w:p>
    <w:p w14:paraId="1BAE0EC5">
      <w:pPr>
        <w:keepNext w:val="0"/>
        <w:pageBreakBefore w:val="0"/>
        <w:widowControl w:val="0"/>
        <w:numPr>
          <w:ilvl w:val="0"/>
          <w:numId w:val="103"/>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若验收时未发现问题，而在加工食用前发现部分货品质量有问题，</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立即通知</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，将问题货品作退换货处理，并由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承担相关责任。</w:t>
      </w:r>
    </w:p>
    <w:p w14:paraId="252EBCE3">
      <w:pPr>
        <w:keepNext w:val="0"/>
        <w:pageBreakBefore w:val="0"/>
        <w:widowControl w:val="0"/>
        <w:numPr>
          <w:ilvl w:val="0"/>
          <w:numId w:val="103"/>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供应货品质量问题造成食品安全事故的，经有关部门鉴定后，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需要负担全数的医药费及赔偿费等费用，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将取消该</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的供货资格、单方解除合同，</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同时承担相应的法律责任。</w:t>
      </w:r>
    </w:p>
    <w:p w14:paraId="431A1245">
      <w:pPr>
        <w:keepNext w:val="0"/>
        <w:pageBreakBefore w:val="0"/>
        <w:widowControl w:val="0"/>
        <w:numPr>
          <w:ilvl w:val="0"/>
          <w:numId w:val="103"/>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需根据以上货品质量安全问题提供的完善的售后服务承诺，包括但不限于专线售后服务管理方案，专人服务，专人跟踪、服务时间安排、其它服务承诺等。</w:t>
      </w:r>
    </w:p>
    <w:p w14:paraId="79D521F4">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质量要求</w:t>
      </w:r>
    </w:p>
    <w:p w14:paraId="176B3F0C">
      <w:pPr>
        <w:keepNext w:val="0"/>
        <w:pageBreakBefore w:val="0"/>
        <w:widowControl w:val="0"/>
        <w:numPr>
          <w:ilvl w:val="0"/>
          <w:numId w:val="104"/>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应充分理解并认真遵循本</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文件的要求，所提供的货物必须是满足</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要求。保证供应的货品均为正规生产的新鲜（冰鲜除外）、检验合格、无毒、无辐射、无侵权货品，符合国家有关卫生、质量、包装和保质标准，有使用有效期的货品，其剩余有效期不得少于标注有效期的70%。</w:t>
      </w:r>
    </w:p>
    <w:p w14:paraId="31711C4D">
      <w:pPr>
        <w:keepNext w:val="0"/>
        <w:pageBreakBefore w:val="0"/>
        <w:widowControl w:val="0"/>
        <w:numPr>
          <w:ilvl w:val="0"/>
          <w:numId w:val="104"/>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保证所提供的水产品和蔬菜种类的多样性和季节性，以保证新鲜感。</w:t>
      </w:r>
    </w:p>
    <w:p w14:paraId="0DC512F6">
      <w:pPr>
        <w:keepNext w:val="0"/>
        <w:pageBreakBefore w:val="0"/>
        <w:widowControl w:val="0"/>
        <w:numPr>
          <w:ilvl w:val="0"/>
          <w:numId w:val="104"/>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货物有包装的，货物的包装必须完整清洁（无损、无污、无皱），</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有权拒收包装不整齐、已拆封的货品。</w:t>
      </w:r>
    </w:p>
    <w:p w14:paraId="19E3706C">
      <w:pPr>
        <w:keepNext w:val="0"/>
        <w:pageBreakBefore w:val="0"/>
        <w:widowControl w:val="0"/>
        <w:numPr>
          <w:ilvl w:val="0"/>
          <w:numId w:val="104"/>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货品质量或包装不符合</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必须无条件退货或更换。</w:t>
      </w:r>
    </w:p>
    <w:p w14:paraId="4B41170A">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配送服务要求</w:t>
      </w:r>
    </w:p>
    <w:p w14:paraId="25E0B24A">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一般供货要求：</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根据实际需要，于当日晚上</w:t>
      </w:r>
      <w:r>
        <w:rPr>
          <w:rFonts w:hint="eastAsia" w:ascii="宋体" w:hAnsi="宋体" w:eastAsia="宋体" w:cs="宋体"/>
          <w:color w:val="auto"/>
          <w:sz w:val="21"/>
          <w:szCs w:val="21"/>
          <w:highlight w:val="none"/>
          <w:lang w:val="en-US" w:eastAsia="zh-CN"/>
        </w:rPr>
        <w:t>17:00</w:t>
      </w:r>
      <w:r>
        <w:rPr>
          <w:rFonts w:hint="eastAsia" w:ascii="宋体" w:hAnsi="宋体" w:eastAsia="宋体" w:cs="宋体"/>
          <w:color w:val="auto"/>
          <w:sz w:val="21"/>
          <w:szCs w:val="21"/>
          <w:highlight w:val="none"/>
        </w:rPr>
        <w:t>之前列出一份次日要采购的食材物品，以电话、电子邮件等方式向</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下订单。</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在收到订单后，最迟于次日早上</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：00前提供当次现场供货。</w:t>
      </w:r>
    </w:p>
    <w:p w14:paraId="598113FE">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紧急配送要求：在收到</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发出的紧急供货通知后，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须在</w:t>
      </w:r>
      <w:r>
        <w:rPr>
          <w:rFonts w:hint="eastAsia" w:ascii="宋体" w:hAnsi="宋体" w:eastAsia="宋体" w:cs="宋体"/>
          <w:color w:val="auto"/>
          <w:sz w:val="21"/>
          <w:szCs w:val="21"/>
          <w:highlight w:val="none"/>
          <w:lang w:val="en-US" w:eastAsia="zh-CN"/>
        </w:rPr>
        <w:t>60</w:t>
      </w:r>
      <w:r>
        <w:rPr>
          <w:rFonts w:hint="eastAsia" w:ascii="宋体" w:hAnsi="宋体" w:eastAsia="宋体" w:cs="宋体"/>
          <w:color w:val="auto"/>
          <w:sz w:val="21"/>
          <w:szCs w:val="21"/>
          <w:highlight w:val="none"/>
          <w:lang w:eastAsia="zh-CN"/>
        </w:rPr>
        <w:t>分钟内完成</w:t>
      </w:r>
      <w:r>
        <w:rPr>
          <w:rFonts w:hint="eastAsia" w:ascii="宋体" w:hAnsi="宋体" w:eastAsia="宋体" w:cs="宋体"/>
          <w:color w:val="auto"/>
          <w:sz w:val="21"/>
          <w:szCs w:val="21"/>
          <w:highlight w:val="none"/>
        </w:rPr>
        <w:t>当次现场供货。</w:t>
      </w:r>
    </w:p>
    <w:p w14:paraId="441B80A8">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必须按照</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要求的时间、数量品种、品质要求及协定的价格准时送货，经验收合格后签字确认，不能以任何理由推托，一旦影响到</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饭堂的正常运转，</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应承担相应的经济赔偿。</w:t>
      </w:r>
    </w:p>
    <w:p w14:paraId="6D00B98F">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必须在双方约定的时间内将货物送到</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指定的地点，运输费用由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承担，如出现不合格、损坏的情况，由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负责及时调换。除发生客观不可抗力的情况外，</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不得推迟送货。如确需延迟送货的，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应在得知情况的同时告知</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并征得</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书面同意，由于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延迟造成</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利益受损的，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有权要求</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赔偿。</w:t>
      </w:r>
    </w:p>
    <w:p w14:paraId="22D8F368">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各类食材，一般每天送货1-2次，</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在前一天确认采购订单。每次订单不论数量多少，</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都需要按</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要求配送。对于临时性采购订单，</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需要积极配合，按照</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要求按时、按质、按量将货品配送到指定地点。</w:t>
      </w:r>
    </w:p>
    <w:p w14:paraId="0504C6FE">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负责货品配送前的仓储，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不提供仓库。</w:t>
      </w:r>
    </w:p>
    <w:p w14:paraId="1E80A6DA">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签收之前，货物的所有权和风险属于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，货物发生遗失、损坏由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负责。</w:t>
      </w:r>
    </w:p>
    <w:p w14:paraId="72CAA71F">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需要严格按照</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的订单配送货品，不得随意增减数量或改变品种。如因市场流通问题确实需要变更供货内容的，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应在得知情况的同时征得</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同意后方可变更，否则，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有权拒收，由此产生的一切损失和费用由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承担。</w:t>
      </w:r>
    </w:p>
    <w:p w14:paraId="37925A1F">
      <w:pPr>
        <w:keepNext w:val="0"/>
        <w:pageBreakBefore w:val="0"/>
        <w:widowControl w:val="0"/>
        <w:numPr>
          <w:ilvl w:val="0"/>
          <w:numId w:val="105"/>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不能按核定的供货价交付的某些货品、不能提供与其承诺相符的服务或</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存在违反合同的行为，并且在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要求的期限内不予纠正的，将取消其配送资格，</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不得有异议，并协助提供一家合资质的食材供货商作临时补给，并确保食材按</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要求及时供应到位。此项下违约行为包括但不限于下列各项：</w:t>
      </w:r>
    </w:p>
    <w:p w14:paraId="0B097416">
      <w:pPr>
        <w:keepNext w:val="0"/>
        <w:pageBreakBefore w:val="0"/>
        <w:widowControl w:val="0"/>
        <w:numPr>
          <w:ilvl w:val="0"/>
          <w:numId w:val="106"/>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乙方在收到甲方订货要求后，在承诺的供货时间内不能供货的。</w:t>
      </w:r>
    </w:p>
    <w:p w14:paraId="04D289B2">
      <w:pPr>
        <w:keepNext w:val="0"/>
        <w:pageBreakBefore w:val="0"/>
        <w:widowControl w:val="0"/>
        <w:numPr>
          <w:ilvl w:val="0"/>
          <w:numId w:val="106"/>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乙方未能提供承诺的服务的。</w:t>
      </w:r>
    </w:p>
    <w:p w14:paraId="367D0AEF">
      <w:pPr>
        <w:keepNext w:val="0"/>
        <w:pageBreakBefore w:val="0"/>
        <w:widowControl w:val="0"/>
        <w:numPr>
          <w:ilvl w:val="0"/>
          <w:numId w:val="106"/>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每月超过三次因数量或质量问题导致退换货品的。</w:t>
      </w:r>
    </w:p>
    <w:p w14:paraId="35D8C3E6">
      <w:pPr>
        <w:keepNext w:val="0"/>
        <w:pageBreakBefore w:val="0"/>
        <w:widowControl w:val="0"/>
        <w:numPr>
          <w:ilvl w:val="0"/>
          <w:numId w:val="106"/>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乙方不能在约定时间内提供合法票据进行结算的。</w:t>
      </w:r>
    </w:p>
    <w:p w14:paraId="5F1CCCC3">
      <w:pPr>
        <w:keepNext w:val="0"/>
        <w:pageBreakBefore w:val="0"/>
        <w:widowControl w:val="0"/>
        <w:numPr>
          <w:ilvl w:val="0"/>
          <w:numId w:val="106"/>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乙方送货专员在甲方单位活动但不遵守甲方单位各项规章制度或做出有损甲方形象和利益的事情的。</w:t>
      </w:r>
    </w:p>
    <w:p w14:paraId="5B6F24E4">
      <w:pPr>
        <w:keepNext w:val="0"/>
        <w:pageBreakBefore w:val="0"/>
        <w:widowControl w:val="0"/>
        <w:numPr>
          <w:ilvl w:val="0"/>
          <w:numId w:val="106"/>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乙方泄露甲方的秘密的，泄密行为造成甲方损失的，乙方将承担由此产生的一切损失和法律责任。</w:t>
      </w:r>
    </w:p>
    <w:p w14:paraId="65CE4D5B">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应急预案及安全事故处理措施</w:t>
      </w:r>
    </w:p>
    <w:p w14:paraId="0226259E">
      <w:pPr>
        <w:keepNext w:val="0"/>
        <w:pageBreakBefore w:val="0"/>
        <w:widowControl w:val="0"/>
        <w:numPr>
          <w:ilvl w:val="0"/>
          <w:numId w:val="10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针对食材仓储环节中可能出现的导致食材种类、数量不足的紧急情况（如突发火灾、被水淹没等），应有相应的处置措施</w:t>
      </w:r>
      <w:r>
        <w:rPr>
          <w:rFonts w:hint="eastAsia" w:ascii="宋体" w:hAnsi="宋体" w:eastAsia="宋体" w:cs="宋体"/>
          <w:color w:val="auto"/>
          <w:sz w:val="21"/>
          <w:szCs w:val="21"/>
          <w:highlight w:val="none"/>
          <w:lang w:eastAsia="zh-CN"/>
        </w:rPr>
        <w:t>；</w:t>
      </w:r>
    </w:p>
    <w:p w14:paraId="7E20AF41">
      <w:pPr>
        <w:keepNext w:val="0"/>
        <w:pageBreakBefore w:val="0"/>
        <w:widowControl w:val="0"/>
        <w:numPr>
          <w:ilvl w:val="0"/>
          <w:numId w:val="10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针对食材流通和使用环节可能会出现的质量问题（如仓储、运具不达标致使食材变得不合格等），应有相应的处置措施</w:t>
      </w:r>
      <w:r>
        <w:rPr>
          <w:rFonts w:hint="eastAsia" w:ascii="宋体" w:hAnsi="宋体" w:eastAsia="宋体" w:cs="宋体"/>
          <w:color w:val="auto"/>
          <w:sz w:val="21"/>
          <w:szCs w:val="21"/>
          <w:highlight w:val="none"/>
          <w:lang w:eastAsia="zh-CN"/>
        </w:rPr>
        <w:t>；</w:t>
      </w:r>
    </w:p>
    <w:p w14:paraId="3031E08E">
      <w:pPr>
        <w:keepNext w:val="0"/>
        <w:pageBreakBefore w:val="0"/>
        <w:widowControl w:val="0"/>
        <w:numPr>
          <w:ilvl w:val="0"/>
          <w:numId w:val="10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针对台风、暴雨等恶劣天气，应有相应的配送保障措施</w:t>
      </w:r>
      <w:r>
        <w:rPr>
          <w:rFonts w:hint="eastAsia" w:ascii="宋体" w:hAnsi="宋体" w:eastAsia="宋体" w:cs="宋体"/>
          <w:color w:val="auto"/>
          <w:sz w:val="21"/>
          <w:szCs w:val="21"/>
          <w:highlight w:val="none"/>
          <w:lang w:eastAsia="zh-CN"/>
        </w:rPr>
        <w:t>；</w:t>
      </w:r>
    </w:p>
    <w:p w14:paraId="6A063E5F">
      <w:pPr>
        <w:keepNext w:val="0"/>
        <w:pageBreakBefore w:val="0"/>
        <w:widowControl w:val="0"/>
        <w:numPr>
          <w:ilvl w:val="0"/>
          <w:numId w:val="10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针对配送人员在配送途中突发车辆故障、交通事故等情况，应有相应的人员替换保障措施</w:t>
      </w:r>
      <w:r>
        <w:rPr>
          <w:rFonts w:hint="eastAsia" w:ascii="宋体" w:hAnsi="宋体" w:eastAsia="宋体" w:cs="宋体"/>
          <w:color w:val="auto"/>
          <w:sz w:val="21"/>
          <w:szCs w:val="21"/>
          <w:highlight w:val="none"/>
          <w:lang w:eastAsia="zh-CN"/>
        </w:rPr>
        <w:t>；</w:t>
      </w:r>
    </w:p>
    <w:p w14:paraId="4F9DC711">
      <w:pPr>
        <w:keepNext w:val="0"/>
        <w:pageBreakBefore w:val="0"/>
        <w:widowControl w:val="0"/>
        <w:numPr>
          <w:ilvl w:val="0"/>
          <w:numId w:val="10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在合同履行期间，如市场监督管理部门对</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eastAsia="zh-CN"/>
        </w:rPr>
        <w:t>食堂实施食品安全监督抽检</w:t>
      </w:r>
      <w:r>
        <w:rPr>
          <w:rFonts w:hint="eastAsia" w:ascii="宋体" w:hAnsi="宋体" w:eastAsia="宋体" w:cs="宋体"/>
          <w:color w:val="auto"/>
          <w:sz w:val="21"/>
          <w:szCs w:val="21"/>
          <w:highlight w:val="none"/>
          <w:lang w:val="en-US" w:eastAsia="zh-CN"/>
        </w:rPr>
        <w:t>中</w:t>
      </w:r>
      <w:r>
        <w:rPr>
          <w:rFonts w:hint="eastAsia" w:ascii="宋体" w:hAnsi="宋体" w:eastAsia="宋体" w:cs="宋体"/>
          <w:color w:val="auto"/>
          <w:sz w:val="21"/>
          <w:szCs w:val="21"/>
          <w:highlight w:val="none"/>
          <w:lang w:eastAsia="zh-CN"/>
        </w:rPr>
        <w:t>，判定</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eastAsia="zh-CN"/>
        </w:rPr>
        <w:t>供应的产品或食品不符合国家食品安全标准，由此产生的一切责任均由</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eastAsia="zh-CN"/>
        </w:rPr>
        <w:t>承担；</w:t>
      </w:r>
    </w:p>
    <w:p w14:paraId="77213DBC">
      <w:pPr>
        <w:keepNext w:val="0"/>
        <w:pageBreakBefore w:val="0"/>
        <w:widowControl w:val="0"/>
        <w:numPr>
          <w:ilvl w:val="0"/>
          <w:numId w:val="10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对服务期间出现下列情况之一的，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有权无条件单方面终止合同：</w:t>
      </w:r>
    </w:p>
    <w:p w14:paraId="5693AE32">
      <w:pPr>
        <w:keepNext w:val="0"/>
        <w:pageBreakBefore w:val="0"/>
        <w:widowControl w:val="0"/>
        <w:numPr>
          <w:ilvl w:val="0"/>
          <w:numId w:val="10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因配送原材料问题，发生职工人员食物中毒等食材安全责任事故，且造成严重后果的。</w:t>
      </w:r>
    </w:p>
    <w:p w14:paraId="56B4CBE1">
      <w:pPr>
        <w:keepNext w:val="0"/>
        <w:pageBreakBefore w:val="0"/>
        <w:widowControl w:val="0"/>
        <w:numPr>
          <w:ilvl w:val="0"/>
          <w:numId w:val="10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在原材料配送过程中，存在掺杂作假，销售劣质、有害过期或无证食品等违规行为，经甲方规劝，或市场监督管理部门要求整改依然无效的。</w:t>
      </w:r>
    </w:p>
    <w:p w14:paraId="5B082D9C">
      <w:pPr>
        <w:keepNext w:val="0"/>
        <w:pageBreakBefore w:val="0"/>
        <w:widowControl w:val="0"/>
        <w:numPr>
          <w:ilvl w:val="0"/>
          <w:numId w:val="10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在经营过程中，存在转包、分包和挂靠经营行为的。</w:t>
      </w:r>
    </w:p>
    <w:p w14:paraId="1AE66B8F">
      <w:pPr>
        <w:keepNext w:val="0"/>
        <w:pageBreakBefore w:val="0"/>
        <w:widowControl w:val="0"/>
        <w:numPr>
          <w:ilvl w:val="0"/>
          <w:numId w:val="10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在招投标过程中以弄虚作假等欺诈手段获得准入资格的，或经营情况发生变化已不符合准入条件而又不改变的。</w:t>
      </w:r>
    </w:p>
    <w:p w14:paraId="38B8C57D">
      <w:pPr>
        <w:keepNext w:val="0"/>
        <w:pageBreakBefore w:val="0"/>
        <w:widowControl w:val="0"/>
        <w:numPr>
          <w:ilvl w:val="0"/>
          <w:numId w:val="108"/>
        </w:numPr>
        <w:tabs>
          <w:tab w:val="left" w:pos="108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乙方配送的食材已过保质期或保存期。</w:t>
      </w:r>
    </w:p>
    <w:p w14:paraId="0BE920EC">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价格</w:t>
      </w:r>
    </w:p>
    <w:p w14:paraId="09A0C4FF">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val="en-US" w:eastAsia="zh-CN"/>
        </w:rPr>
        <w:t>下浮率</w:t>
      </w:r>
      <w:r>
        <w:rPr>
          <w:rFonts w:hint="eastAsia" w:ascii="宋体" w:hAnsi="宋体" w:eastAsia="宋体" w:cs="宋体"/>
          <w:color w:val="auto"/>
          <w:sz w:val="21"/>
          <w:szCs w:val="21"/>
          <w:highlight w:val="none"/>
        </w:rPr>
        <w:t>：大写：</w:t>
      </w:r>
      <w:r>
        <w:rPr>
          <w:rFonts w:hint="eastAsia" w:ascii="宋体" w:hAnsi="宋体" w:eastAsia="宋体" w:cs="宋体"/>
          <w:color w:val="auto"/>
          <w:sz w:val="21"/>
          <w:szCs w:val="21"/>
          <w:highlight w:val="none"/>
          <w:lang w:val="en-US" w:eastAsia="zh-CN"/>
        </w:rPr>
        <w:t>百分之</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（小写：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w:t>
      </w:r>
    </w:p>
    <w:p w14:paraId="0602BB13">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原则上以供货当期东莞市发展和改革局官方网站“价格管理”专栏中《东莞市菜篮子价格监测表》最新公布市场价格监测情况数据（https://dgdp.dg.gov.cn/jggl/spjg/）及</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邻近三个市场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Cs w:val="21"/>
          <w:highlight w:val="none"/>
        </w:rPr>
        <w:t>石碣润丰批发市场、石龙昌兴商贸市场、石龙富升商贸市场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相同品种的市场平均价格（按以下公式计算出</w:t>
      </w:r>
      <w:r>
        <w:rPr>
          <w:rFonts w:hint="eastAsia" w:ascii="宋体" w:hAnsi="宋体" w:eastAsia="宋体" w:cs="宋体"/>
          <w:color w:val="auto"/>
          <w:sz w:val="21"/>
          <w:szCs w:val="21"/>
          <w:highlight w:val="none"/>
          <w:lang w:val="en-US" w:eastAsia="zh-CN"/>
        </w:rPr>
        <w:t>参考</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val="en-US" w:eastAsia="zh-CN"/>
        </w:rPr>
        <w:t>参考</w:t>
      </w:r>
      <w:r>
        <w:rPr>
          <w:rFonts w:hint="eastAsia" w:ascii="宋体" w:hAnsi="宋体" w:eastAsia="宋体" w:cs="宋体"/>
          <w:color w:val="auto"/>
          <w:sz w:val="21"/>
          <w:szCs w:val="21"/>
          <w:highlight w:val="none"/>
        </w:rPr>
        <w:t>价=邻近三个市场抽样价格之和÷3）为参考</w:t>
      </w:r>
      <w:r>
        <w:rPr>
          <w:rFonts w:hint="eastAsia" w:ascii="宋体" w:hAnsi="宋体" w:eastAsia="宋体" w:cs="宋体"/>
          <w:color w:val="auto"/>
          <w:sz w:val="21"/>
          <w:szCs w:val="21"/>
          <w:highlight w:val="none"/>
          <w:lang w:val="en-US" w:eastAsia="zh-CN"/>
        </w:rPr>
        <w:t>价</w:t>
      </w:r>
      <w:r>
        <w:rPr>
          <w:rFonts w:hint="eastAsia" w:ascii="宋体" w:hAnsi="宋体" w:eastAsia="宋体" w:cs="宋体"/>
          <w:color w:val="auto"/>
          <w:sz w:val="21"/>
          <w:szCs w:val="21"/>
          <w:highlight w:val="none"/>
        </w:rPr>
        <w:t>，取两个参考价中价格较低的为基准价；</w:t>
      </w:r>
    </w:p>
    <w:p w14:paraId="567EC60D">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需求货品在《东莞市菜篮子价格监测表》中没有对应价格数据的，其基准价为</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邻近三个市场</w:t>
      </w:r>
      <w:r>
        <w:rPr>
          <w:rFonts w:hint="eastAsia" w:ascii="宋体" w:hAnsi="宋体" w:eastAsia="宋体" w:cs="宋体"/>
          <w:color w:val="auto"/>
          <w:szCs w:val="21"/>
          <w:highlight w:val="none"/>
        </w:rPr>
        <w:t>（石碣润丰批发市场、石龙昌兴商贸市场、石龙富升商贸市场）</w:t>
      </w:r>
      <w:r>
        <w:rPr>
          <w:rFonts w:hint="eastAsia" w:ascii="宋体" w:hAnsi="宋体" w:eastAsia="宋体" w:cs="宋体"/>
          <w:color w:val="auto"/>
          <w:sz w:val="21"/>
          <w:szCs w:val="21"/>
          <w:highlight w:val="none"/>
        </w:rPr>
        <w:t>相同品种的市场平均价格；</w:t>
      </w:r>
    </w:p>
    <w:p w14:paraId="4CD1C842">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和</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按下述公式确定结算价格：结算价格＝基准价×（1-</w:t>
      </w:r>
      <w:r>
        <w:rPr>
          <w:rFonts w:hint="eastAsia" w:ascii="宋体" w:hAnsi="宋体" w:eastAsia="宋体" w:cs="宋体"/>
          <w:color w:val="auto"/>
          <w:sz w:val="21"/>
          <w:szCs w:val="21"/>
          <w:highlight w:val="none"/>
          <w:lang w:val="en-US" w:eastAsia="zh-CN"/>
        </w:rPr>
        <w:t>下浮率</w:t>
      </w:r>
      <w:r>
        <w:rPr>
          <w:rFonts w:hint="eastAsia" w:ascii="宋体" w:hAnsi="宋体" w:eastAsia="宋体" w:cs="宋体"/>
          <w:color w:val="auto"/>
          <w:sz w:val="21"/>
          <w:szCs w:val="21"/>
          <w:highlight w:val="none"/>
        </w:rPr>
        <w:t>）×实际供货数量，例如：当基准价为100.00元，</w:t>
      </w:r>
      <w:r>
        <w:rPr>
          <w:rFonts w:hint="eastAsia" w:ascii="宋体" w:hAnsi="宋体" w:eastAsia="宋体" w:cs="宋体"/>
          <w:color w:val="auto"/>
          <w:sz w:val="21"/>
          <w:szCs w:val="21"/>
          <w:highlight w:val="none"/>
          <w:lang w:val="en-US" w:eastAsia="zh-CN"/>
        </w:rPr>
        <w:t>下浮率</w:t>
      </w:r>
      <w:r>
        <w:rPr>
          <w:rFonts w:hint="eastAsia" w:ascii="宋体" w:hAnsi="宋体" w:eastAsia="宋体" w:cs="宋体"/>
          <w:color w:val="auto"/>
          <w:sz w:val="21"/>
          <w:szCs w:val="21"/>
          <w:highlight w:val="none"/>
        </w:rPr>
        <w:t>为3.00%时，结算单价=100.00×（1-3.00%）=97.00元；</w:t>
      </w:r>
    </w:p>
    <w:p w14:paraId="5A79BD31">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若遇台风、暴雨等意外原因造成的个别品种价格需临时调整，</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应在供货前及时通知</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，并征得</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同意后方可调整。</w:t>
      </w:r>
    </w:p>
    <w:p w14:paraId="6564A848">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定价周期：每月更新一次，</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每次至少提前</w:t>
      </w:r>
      <w:r>
        <w:rPr>
          <w:rFonts w:hint="eastAsia" w:ascii="宋体" w:hAnsi="宋体" w:eastAsia="宋体" w:cs="宋体"/>
          <w:color w:val="auto"/>
          <w:sz w:val="21"/>
          <w:szCs w:val="21"/>
          <w:highlight w:val="none"/>
          <w:lang w:val="en-US" w:eastAsia="zh-CN"/>
        </w:rPr>
        <w:t>5个工作日</w:t>
      </w:r>
      <w:r>
        <w:rPr>
          <w:rFonts w:hint="eastAsia" w:ascii="宋体" w:hAnsi="宋体" w:eastAsia="宋体" w:cs="宋体"/>
          <w:color w:val="auto"/>
          <w:sz w:val="21"/>
          <w:szCs w:val="21"/>
          <w:highlight w:val="none"/>
        </w:rPr>
        <w:t>提交下一供货周期报价清单给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审核，双方签字后生效；</w:t>
      </w:r>
    </w:p>
    <w:p w14:paraId="77B21425">
      <w:pPr>
        <w:keepNext w:val="0"/>
        <w:pageBreakBefore w:val="0"/>
        <w:widowControl w:val="0"/>
        <w:numPr>
          <w:ilvl w:val="0"/>
          <w:numId w:val="10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基准报价明显存在高于周边市场价的情况，</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有权自行另邀请</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进行相应食材的供货，直至重新定价或不存在明显高于周边市场价为止。</w:t>
      </w:r>
    </w:p>
    <w:p w14:paraId="7CA076CE">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保险要求</w:t>
      </w:r>
    </w:p>
    <w:p w14:paraId="5FC2B321">
      <w:pPr>
        <w:keepNext w:val="0"/>
        <w:pageBreakBefore w:val="0"/>
        <w:widowControl w:val="0"/>
        <w:numPr>
          <w:ilvl w:val="0"/>
          <w:numId w:val="110"/>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乙方须为本项目</w:t>
      </w:r>
      <w:r>
        <w:rPr>
          <w:rFonts w:hint="eastAsia" w:ascii="宋体" w:hAnsi="宋体" w:eastAsia="宋体" w:cs="宋体"/>
          <w:color w:val="auto"/>
          <w:sz w:val="21"/>
          <w:szCs w:val="21"/>
          <w:highlight w:val="none"/>
          <w:u w:val="none"/>
        </w:rPr>
        <w:t>购买保险额度为</w:t>
      </w:r>
      <w:r>
        <w:rPr>
          <w:rFonts w:hint="eastAsia" w:ascii="宋体" w:hAnsi="宋体" w:eastAsia="宋体" w:cs="宋体"/>
          <w:color w:val="auto"/>
          <w:sz w:val="21"/>
          <w:szCs w:val="21"/>
          <w:highlight w:val="none"/>
          <w:u w:val="none"/>
          <w:lang w:val="en-US" w:eastAsia="zh-CN"/>
        </w:rPr>
        <w:t>500</w:t>
      </w:r>
      <w:r>
        <w:rPr>
          <w:rFonts w:hint="eastAsia" w:ascii="宋体" w:hAnsi="宋体" w:eastAsia="宋体" w:cs="宋体"/>
          <w:color w:val="auto"/>
          <w:sz w:val="21"/>
          <w:szCs w:val="21"/>
          <w:highlight w:val="none"/>
          <w:u w:val="none"/>
        </w:rPr>
        <w:t>万或以上的食品安全责任保险。</w:t>
      </w:r>
    </w:p>
    <w:p w14:paraId="0473927F">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验收要求</w:t>
      </w:r>
    </w:p>
    <w:p w14:paraId="04003E7B">
      <w:pPr>
        <w:keepNext w:val="0"/>
        <w:pageBreakBefore w:val="0"/>
        <w:widowControl w:val="0"/>
        <w:numPr>
          <w:ilvl w:val="0"/>
          <w:numId w:val="111"/>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食材的每日验收由</w:t>
      </w:r>
      <w:r>
        <w:rPr>
          <w:rFonts w:hint="eastAsia" w:ascii="宋体" w:hAnsi="宋体" w:eastAsia="宋体" w:cs="宋体"/>
          <w:color w:val="auto"/>
          <w:sz w:val="21"/>
          <w:szCs w:val="21"/>
          <w:highlight w:val="none"/>
          <w:u w:val="none"/>
          <w:lang w:eastAsia="zh-CN"/>
        </w:rPr>
        <w:t>甲方</w:t>
      </w:r>
      <w:r>
        <w:rPr>
          <w:rFonts w:hint="eastAsia" w:ascii="宋体" w:hAnsi="宋体" w:eastAsia="宋体" w:cs="宋体"/>
          <w:color w:val="auto"/>
          <w:sz w:val="21"/>
          <w:szCs w:val="21"/>
          <w:highlight w:val="none"/>
          <w:u w:val="none"/>
        </w:rPr>
        <w:t>及</w:t>
      </w:r>
      <w:r>
        <w:rPr>
          <w:rFonts w:hint="eastAsia" w:ascii="宋体" w:hAnsi="宋体" w:eastAsia="宋体" w:cs="宋体"/>
          <w:color w:val="auto"/>
          <w:sz w:val="21"/>
          <w:szCs w:val="21"/>
          <w:highlight w:val="none"/>
          <w:u w:val="none"/>
          <w:lang w:eastAsia="zh-CN"/>
        </w:rPr>
        <w:t>乙方</w:t>
      </w:r>
      <w:r>
        <w:rPr>
          <w:rFonts w:hint="eastAsia" w:ascii="宋体" w:hAnsi="宋体" w:eastAsia="宋体" w:cs="宋体"/>
          <w:color w:val="auto"/>
          <w:sz w:val="21"/>
          <w:szCs w:val="21"/>
          <w:highlight w:val="none"/>
          <w:u w:val="none"/>
        </w:rPr>
        <w:t>组成的验收小组进行共同验收，验收人员对当天所配送的食材进行规格、质量、数量、价格等方面的验收</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验收标准严格按照国家、地方的相关规定、及</w:t>
      </w:r>
      <w:r>
        <w:rPr>
          <w:rFonts w:hint="eastAsia" w:ascii="宋体" w:hAnsi="宋体" w:eastAsia="宋体" w:cs="宋体"/>
          <w:color w:val="auto"/>
          <w:sz w:val="21"/>
          <w:szCs w:val="21"/>
          <w:highlight w:val="none"/>
          <w:u w:val="none"/>
          <w:lang w:val="en-US" w:eastAsia="zh-CN"/>
        </w:rPr>
        <w:t>本合同</w:t>
      </w:r>
      <w:r>
        <w:rPr>
          <w:rFonts w:hint="eastAsia" w:ascii="宋体" w:hAnsi="宋体" w:eastAsia="宋体" w:cs="宋体"/>
          <w:color w:val="auto"/>
          <w:sz w:val="21"/>
          <w:szCs w:val="21"/>
          <w:highlight w:val="none"/>
          <w:u w:val="none"/>
        </w:rPr>
        <w:t>相关内容执行；</w:t>
      </w:r>
    </w:p>
    <w:p w14:paraId="18028FB4">
      <w:pPr>
        <w:keepNext w:val="0"/>
        <w:pageBreakBefore w:val="0"/>
        <w:widowControl w:val="0"/>
        <w:numPr>
          <w:ilvl w:val="0"/>
          <w:numId w:val="111"/>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甲方每月安排相关人员对乙方进行食材及服务质量考核跟踪，考核内容详见附件1：《饭堂食材配送供应商考核评价表》。</w:t>
      </w:r>
    </w:p>
    <w:p w14:paraId="05BBC169">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付款</w:t>
      </w:r>
    </w:p>
    <w:p w14:paraId="0EF79743">
      <w:pPr>
        <w:keepNext w:val="0"/>
        <w:pageBreakBefore w:val="0"/>
        <w:widowControl w:val="0"/>
        <w:numPr>
          <w:ilvl w:val="0"/>
          <w:numId w:val="11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服务期</w:t>
      </w:r>
      <w:r>
        <w:rPr>
          <w:rFonts w:hint="eastAsia" w:ascii="宋体" w:hAnsi="宋体" w:eastAsia="宋体" w:cs="宋体"/>
          <w:color w:val="auto"/>
          <w:sz w:val="21"/>
          <w:szCs w:val="21"/>
          <w:highlight w:val="none"/>
          <w:u w:val="none"/>
        </w:rPr>
        <w:t>：自合同签订之日起2年</w:t>
      </w:r>
      <w:r>
        <w:rPr>
          <w:rFonts w:hint="eastAsia" w:ascii="宋体" w:hAnsi="宋体" w:eastAsia="宋体" w:cs="宋体"/>
          <w:color w:val="auto"/>
          <w:sz w:val="21"/>
          <w:szCs w:val="21"/>
          <w:highlight w:val="none"/>
          <w:u w:val="none"/>
          <w:lang w:eastAsia="zh-CN"/>
        </w:rPr>
        <w:t>，</w:t>
      </w:r>
      <w:r>
        <w:rPr>
          <w:rFonts w:hint="eastAsia" w:ascii="宋体" w:hAnsi="宋体" w:eastAsia="宋体" w:cs="Times New Roman"/>
          <w:color w:val="auto"/>
          <w:kern w:val="0"/>
          <w:szCs w:val="21"/>
          <w:highlight w:val="none"/>
          <w:u w:val="none"/>
          <w:lang w:eastAsia="zh-Hans"/>
        </w:rPr>
        <w:t>服务期满或合同期内项目结算金额达到项目预算金额的，合同自动终止</w:t>
      </w:r>
      <w:r>
        <w:rPr>
          <w:rFonts w:hint="eastAsia" w:ascii="宋体" w:hAnsi="宋体" w:eastAsia="宋体" w:cs="宋体"/>
          <w:color w:val="auto"/>
          <w:sz w:val="21"/>
          <w:szCs w:val="21"/>
          <w:highlight w:val="none"/>
          <w:u w:val="none"/>
        </w:rPr>
        <w:t>。</w:t>
      </w:r>
    </w:p>
    <w:p w14:paraId="41338411">
      <w:pPr>
        <w:keepNext w:val="0"/>
        <w:pageBreakBefore w:val="0"/>
        <w:widowControl w:val="0"/>
        <w:numPr>
          <w:ilvl w:val="0"/>
          <w:numId w:val="11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乙方每月供货任务完成后</w:t>
      </w:r>
      <w:r>
        <w:rPr>
          <w:rFonts w:hint="eastAsia" w:ascii="宋体" w:hAnsi="宋体" w:eastAsia="宋体" w:cs="宋体"/>
          <w:color w:val="auto"/>
          <w:sz w:val="21"/>
          <w:szCs w:val="21"/>
          <w:highlight w:val="none"/>
        </w:rPr>
        <w:t>，于次月凭正式发票及经</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确认的送货清单，向</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申请付款，</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在收到发票的</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0个工作日内向</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支付审定后的费用</w:t>
      </w:r>
      <w:r>
        <w:rPr>
          <w:rFonts w:hint="eastAsia" w:ascii="宋体" w:hAnsi="宋体" w:eastAsia="宋体" w:cs="宋体"/>
          <w:color w:val="auto"/>
          <w:sz w:val="21"/>
          <w:szCs w:val="21"/>
          <w:highlight w:val="none"/>
          <w:lang w:eastAsia="zh-CN"/>
        </w:rPr>
        <w:t>；</w:t>
      </w:r>
    </w:p>
    <w:p w14:paraId="09B31531">
      <w:pPr>
        <w:keepNext w:val="0"/>
        <w:pageBreakBefore w:val="0"/>
        <w:widowControl w:val="0"/>
        <w:numPr>
          <w:ilvl w:val="0"/>
          <w:numId w:val="11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根据现行税法规定对甲方征收的与本合同有关的一切税费均应由甲方负担；</w:t>
      </w:r>
    </w:p>
    <w:p w14:paraId="3640AF80">
      <w:pPr>
        <w:keepNext w:val="0"/>
        <w:pageBreakBefore w:val="0"/>
        <w:widowControl w:val="0"/>
        <w:numPr>
          <w:ilvl w:val="0"/>
          <w:numId w:val="11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根据现行税法规定对乙方或其雇员征收的与本合同有关的一切税费均应由乙方负担</w:t>
      </w:r>
      <w:r>
        <w:rPr>
          <w:rFonts w:hint="eastAsia" w:ascii="宋体" w:hAnsi="宋体" w:eastAsia="宋体" w:cs="宋体"/>
          <w:color w:val="auto"/>
          <w:sz w:val="21"/>
          <w:szCs w:val="21"/>
          <w:highlight w:val="none"/>
          <w:lang w:eastAsia="zh-CN"/>
        </w:rPr>
        <w:t>；</w:t>
      </w:r>
    </w:p>
    <w:p w14:paraId="357A1026">
      <w:pPr>
        <w:keepNext w:val="0"/>
        <w:pageBreakBefore w:val="0"/>
        <w:widowControl w:val="0"/>
        <w:numPr>
          <w:ilvl w:val="0"/>
          <w:numId w:val="112"/>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乙本合同价格</w:t>
      </w:r>
      <w:r>
        <w:rPr>
          <w:rFonts w:hint="eastAsia" w:ascii="宋体" w:hAnsi="宋体" w:eastAsia="宋体" w:cs="宋体"/>
          <w:color w:val="auto"/>
          <w:sz w:val="21"/>
          <w:szCs w:val="21"/>
          <w:highlight w:val="none"/>
        </w:rPr>
        <w:t>包含完成本次项目履约的一切费用，包含：购货或自产养种植成本、货品购置、包装费、运输费、装卸费、搬运费、储存费、保险、装卸服务、粗加工、退换、检验检疫费、质量检测费、雇员费用、售后服务、全额含税发票、合同实施过程中的应预见和不可预见费用等。</w:t>
      </w:r>
    </w:p>
    <w:p w14:paraId="552C9097">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lang w:val="en-US" w:eastAsia="zh-CN"/>
        </w:rPr>
        <w:t>保密条款</w:t>
      </w:r>
    </w:p>
    <w:p w14:paraId="17B24B10">
      <w:pPr>
        <w:keepNext w:val="0"/>
        <w:pageBreakBefore w:val="0"/>
        <w:widowControl w:val="0"/>
        <w:numPr>
          <w:ilvl w:val="0"/>
          <w:numId w:val="113"/>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在实施货物供货期间，不得将供货的实际数量及供货地点泄露给其他企业或者个人，乙方必须指派相对固定的人员完成货物配送服务，并需将配送人员的详细资料报甲方备案，货物配送人员必须遵纪守法、品行良好，无违法犯罪记录。如需要更换配送人员，必须事先通知甲方并将其个人资料送甲方审批，审批合格者才能更换。</w:t>
      </w:r>
    </w:p>
    <w:p w14:paraId="6A998BE7">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分包与转包</w:t>
      </w:r>
    </w:p>
    <w:p w14:paraId="1F9904EC">
      <w:pPr>
        <w:keepNext w:val="0"/>
        <w:pageBreakBefore w:val="0"/>
        <w:widowControl w:val="0"/>
        <w:numPr>
          <w:ilvl w:val="0"/>
          <w:numId w:val="114"/>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严禁转包，未经甲方书面同意不得分包</w:t>
      </w:r>
      <w:r>
        <w:rPr>
          <w:rFonts w:hint="eastAsia" w:ascii="宋体" w:hAnsi="宋体" w:eastAsia="宋体" w:cs="宋体"/>
          <w:color w:val="auto"/>
          <w:sz w:val="21"/>
          <w:szCs w:val="21"/>
          <w:highlight w:val="none"/>
          <w:lang w:eastAsia="zh-CN"/>
        </w:rPr>
        <w:t>。</w:t>
      </w:r>
    </w:p>
    <w:p w14:paraId="4C5E89B5">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违约责任</w:t>
      </w:r>
    </w:p>
    <w:p w14:paraId="61D5B287">
      <w:pPr>
        <w:keepNext w:val="0"/>
        <w:pageBreakBefore w:val="0"/>
        <w:widowControl w:val="0"/>
        <w:numPr>
          <w:ilvl w:val="0"/>
          <w:numId w:val="115"/>
        </w:numPr>
        <w:tabs>
          <w:tab w:val="left" w:pos="84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乙方违反合同及</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文件约定的有关义务，对甲方造成经济损失的，应给予甲方经济赔偿；如造成重大损失的，甲方有权终止合同。</w:t>
      </w:r>
    </w:p>
    <w:p w14:paraId="5E2ED3B6">
      <w:pPr>
        <w:keepNext w:val="0"/>
        <w:pageBreakBefore w:val="0"/>
        <w:widowControl w:val="0"/>
        <w:numPr>
          <w:ilvl w:val="0"/>
          <w:numId w:val="115"/>
        </w:numPr>
        <w:tabs>
          <w:tab w:val="left" w:pos="84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除合同规定外，如果乙方没有按照合同规定的时间交付或完成，甲方可要求乙方支付违约金。从逾期之日起每日按本合同总价</w:t>
      </w:r>
      <w:r>
        <w:rPr>
          <w:rFonts w:hint="eastAsia" w:ascii="宋体" w:hAnsi="宋体" w:eastAsia="宋体" w:cs="宋体"/>
          <w:color w:val="auto"/>
          <w:sz w:val="21"/>
          <w:szCs w:val="21"/>
          <w:highlight w:val="none"/>
          <w:u w:val="single"/>
        </w:rPr>
        <w:t xml:space="preserve"> 3 </w:t>
      </w:r>
      <w:r>
        <w:rPr>
          <w:rFonts w:hint="eastAsia" w:ascii="宋体" w:hAnsi="宋体" w:eastAsia="宋体" w:cs="宋体"/>
          <w:color w:val="auto"/>
          <w:sz w:val="21"/>
          <w:szCs w:val="21"/>
          <w:highlight w:val="none"/>
        </w:rPr>
        <w:t>‰的数额向甲方支付违约金；逾期15天或以上的，甲方有权终止合同，要求乙方一次性支付合同总金额</w:t>
      </w:r>
      <w:r>
        <w:rPr>
          <w:rFonts w:hint="eastAsia" w:ascii="宋体" w:hAnsi="宋体" w:eastAsia="宋体" w:cs="宋体"/>
          <w:color w:val="auto"/>
          <w:sz w:val="21"/>
          <w:szCs w:val="21"/>
          <w:highlight w:val="none"/>
          <w:u w:val="single"/>
        </w:rPr>
        <w:t xml:space="preserve"> 20 %</w:t>
      </w:r>
      <w:r>
        <w:rPr>
          <w:rFonts w:hint="eastAsia" w:ascii="宋体" w:hAnsi="宋体" w:eastAsia="宋体" w:cs="宋体"/>
          <w:color w:val="auto"/>
          <w:sz w:val="21"/>
          <w:szCs w:val="21"/>
          <w:highlight w:val="none"/>
        </w:rPr>
        <w:t>违约金，并且给甲方造成的经济损失由乙方承担赔偿责任。</w:t>
      </w:r>
    </w:p>
    <w:p w14:paraId="457CD1D2">
      <w:pPr>
        <w:keepNext w:val="0"/>
        <w:pageBreakBefore w:val="0"/>
        <w:widowControl w:val="0"/>
        <w:numPr>
          <w:ilvl w:val="0"/>
          <w:numId w:val="115"/>
        </w:numPr>
        <w:tabs>
          <w:tab w:val="left" w:pos="84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因乙方原因导致本合同解除或是无法履行的，乙方应向甲方支付合同总价</w:t>
      </w:r>
      <w:r>
        <w:rPr>
          <w:rFonts w:hint="eastAsia" w:ascii="宋体" w:hAnsi="宋体" w:eastAsia="宋体" w:cs="宋体"/>
          <w:color w:val="auto"/>
          <w:sz w:val="21"/>
          <w:szCs w:val="21"/>
          <w:highlight w:val="none"/>
          <w:u w:val="single"/>
        </w:rPr>
        <w:t xml:space="preserve"> 20 %</w:t>
      </w:r>
      <w:r>
        <w:rPr>
          <w:rFonts w:hint="eastAsia" w:ascii="宋体" w:hAnsi="宋体" w:eastAsia="宋体" w:cs="宋体"/>
          <w:color w:val="auto"/>
          <w:sz w:val="21"/>
          <w:szCs w:val="21"/>
          <w:highlight w:val="none"/>
        </w:rPr>
        <w:t>的违约金，并且给甲方造成的经济损失由乙方承担赔偿责任。</w:t>
      </w:r>
    </w:p>
    <w:p w14:paraId="608A43EC">
      <w:pPr>
        <w:keepNext w:val="0"/>
        <w:pageBreakBefore w:val="0"/>
        <w:widowControl w:val="0"/>
        <w:numPr>
          <w:ilvl w:val="0"/>
          <w:numId w:val="115"/>
        </w:numPr>
        <w:tabs>
          <w:tab w:val="left" w:pos="840"/>
        </w:tabs>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甲方有权从未支付的款项或是履约保证金中直接扣除乙方的违约金，不足的部分由乙方另行补足。</w:t>
      </w:r>
    </w:p>
    <w:p w14:paraId="335C9E62">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争议的解决办法</w:t>
      </w:r>
    </w:p>
    <w:p w14:paraId="0334F3CA">
      <w:pPr>
        <w:keepNext w:val="0"/>
        <w:pageBreakBefore w:val="0"/>
        <w:widowControl w:val="0"/>
        <w:numPr>
          <w:ilvl w:val="0"/>
          <w:numId w:val="11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凡与本合同有关而引起的一切争议，甲乙双方应首先通过友好协商解决，如经协商后仍不能达成协议时，任何一方可以向法院提出诉讼。</w:t>
      </w:r>
    </w:p>
    <w:p w14:paraId="21794C39">
      <w:pPr>
        <w:keepNext w:val="0"/>
        <w:pageBreakBefore w:val="0"/>
        <w:widowControl w:val="0"/>
        <w:numPr>
          <w:ilvl w:val="0"/>
          <w:numId w:val="11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本合同发生的诉讼管辖地为东莞市有管辖权的法院。</w:t>
      </w:r>
    </w:p>
    <w:p w14:paraId="456DF742">
      <w:pPr>
        <w:keepNext w:val="0"/>
        <w:pageBreakBefore w:val="0"/>
        <w:widowControl w:val="0"/>
        <w:numPr>
          <w:ilvl w:val="0"/>
          <w:numId w:val="11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在进行法院审理期间，除提交法院审理的事项外，合同其他部分仍继续履行。</w:t>
      </w:r>
    </w:p>
    <w:p w14:paraId="26B37393">
      <w:pPr>
        <w:keepNext w:val="0"/>
        <w:pageBreakBefore w:val="0"/>
        <w:widowControl w:val="0"/>
        <w:numPr>
          <w:ilvl w:val="0"/>
          <w:numId w:val="116"/>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本合同按照中华人民共和国的法律进行解释。</w:t>
      </w:r>
    </w:p>
    <w:p w14:paraId="4D6584A6">
      <w:pPr>
        <w:keepNext w:val="0"/>
        <w:pageBreakBefore w:val="0"/>
        <w:widowControl w:val="0"/>
        <w:numPr>
          <w:ilvl w:val="0"/>
          <w:numId w:val="90"/>
        </w:numPr>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不可抗力</w:t>
      </w:r>
    </w:p>
    <w:p w14:paraId="4A9EC1A0">
      <w:pPr>
        <w:keepNext w:val="0"/>
        <w:pageBreakBefore w:val="0"/>
        <w:widowControl w:val="0"/>
        <w:numPr>
          <w:ilvl w:val="0"/>
          <w:numId w:val="11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keepNext w:val="0"/>
        <w:pageBreakBefore w:val="0"/>
        <w:widowControl w:val="0"/>
        <w:numPr>
          <w:ilvl w:val="0"/>
          <w:numId w:val="117"/>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keepNext w:val="0"/>
        <w:pageBreakBefore w:val="0"/>
        <w:widowControl w:val="0"/>
        <w:numPr>
          <w:ilvl w:val="0"/>
          <w:numId w:val="90"/>
        </w:numPr>
        <w:tabs>
          <w:tab w:val="left" w:pos="567"/>
        </w:tabs>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合同生效</w:t>
      </w:r>
    </w:p>
    <w:p w14:paraId="6153FF0A">
      <w:pPr>
        <w:keepNext w:val="0"/>
        <w:pageBreakBefore w:val="0"/>
        <w:widowControl w:val="0"/>
        <w:numPr>
          <w:ilvl w:val="0"/>
          <w:numId w:val="118"/>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本合同由双方法定代表人或委托代理人签字盖章后立即生效，具有同等法律效力，服务期为合同签订日至</w:t>
      </w:r>
      <w:r>
        <w:rPr>
          <w:rFonts w:hint="eastAsia" w:ascii="宋体" w:hAnsi="宋体" w:eastAsia="宋体" w:cs="宋体"/>
          <w:color w:val="auto"/>
          <w:sz w:val="21"/>
          <w:szCs w:val="21"/>
          <w:highlight w:val="none"/>
          <w:u w:val="single"/>
        </w:rPr>
        <w:t xml:space="preserve">      年    月    日</w:t>
      </w:r>
      <w:r>
        <w:rPr>
          <w:rFonts w:hint="eastAsia" w:ascii="宋体" w:hAnsi="宋体" w:eastAsia="宋体" w:cs="宋体"/>
          <w:color w:val="auto"/>
          <w:sz w:val="21"/>
          <w:szCs w:val="21"/>
          <w:highlight w:val="none"/>
        </w:rPr>
        <w:t>，合同有效期随服务期结束而自然终止；</w:t>
      </w:r>
    </w:p>
    <w:p w14:paraId="6E6C19D7">
      <w:pPr>
        <w:keepNext w:val="0"/>
        <w:pageBreakBefore w:val="0"/>
        <w:widowControl w:val="0"/>
        <w:numPr>
          <w:ilvl w:val="0"/>
          <w:numId w:val="118"/>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本合同一式</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份，其中甲方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份、乙方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份，采购代理机构</w:t>
      </w:r>
      <w:r>
        <w:rPr>
          <w:rFonts w:hint="eastAsia" w:ascii="宋体" w:hAnsi="宋体" w:eastAsia="宋体" w:cs="宋体"/>
          <w:color w:val="auto"/>
          <w:sz w:val="21"/>
          <w:szCs w:val="21"/>
          <w:highlight w:val="none"/>
          <w:u w:val="single"/>
        </w:rPr>
        <w:t xml:space="preserve">  壹  </w:t>
      </w:r>
      <w:r>
        <w:rPr>
          <w:rFonts w:hint="eastAsia" w:ascii="宋体" w:hAnsi="宋体" w:eastAsia="宋体" w:cs="宋体"/>
          <w:color w:val="auto"/>
          <w:sz w:val="21"/>
          <w:szCs w:val="21"/>
          <w:highlight w:val="none"/>
        </w:rPr>
        <w:t>份（须在合同签订之日起5个工作日内递交）</w:t>
      </w:r>
    </w:p>
    <w:p w14:paraId="44284CEF">
      <w:pPr>
        <w:keepNext w:val="0"/>
        <w:pageBreakBefore w:val="0"/>
        <w:widowControl w:val="0"/>
        <w:numPr>
          <w:ilvl w:val="0"/>
          <w:numId w:val="90"/>
        </w:numPr>
        <w:tabs>
          <w:tab w:val="left" w:pos="567"/>
        </w:tabs>
        <w:kinsoku/>
        <w:wordWrap/>
        <w:overflowPunct/>
        <w:topLinePunct w:val="0"/>
        <w:bidi w:val="0"/>
        <w:snapToGrid w:val="0"/>
        <w:spacing w:line="360" w:lineRule="auto"/>
        <w:contextualSpacing/>
        <w:textAlignment w:val="auto"/>
        <w:rPr>
          <w:rFonts w:hint="eastAsia" w:ascii="宋体" w:hAnsi="宋体" w:eastAsia="宋体" w:cs="宋体"/>
          <w:b/>
          <w:color w:val="auto"/>
          <w:spacing w:val="20"/>
          <w:sz w:val="21"/>
          <w:szCs w:val="21"/>
          <w:highlight w:val="none"/>
        </w:rPr>
      </w:pPr>
      <w:r>
        <w:rPr>
          <w:rFonts w:hint="eastAsia" w:ascii="宋体" w:hAnsi="宋体" w:eastAsia="宋体" w:cs="宋体"/>
          <w:b/>
          <w:color w:val="auto"/>
          <w:spacing w:val="20"/>
          <w:sz w:val="21"/>
          <w:szCs w:val="21"/>
          <w:highlight w:val="none"/>
        </w:rPr>
        <w:t>其它</w:t>
      </w:r>
    </w:p>
    <w:p w14:paraId="591C422B">
      <w:pPr>
        <w:keepNext w:val="0"/>
        <w:pageBreakBefore w:val="0"/>
        <w:widowControl w:val="0"/>
        <w:numPr>
          <w:ilvl w:val="0"/>
          <w:numId w:val="11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本合同未尽事宜，双方可签订补充合同，补充合同与所有附件均为合同的有效组成部分，与本合同具有同等法律效力；</w:t>
      </w:r>
    </w:p>
    <w:p w14:paraId="2C234131">
      <w:pPr>
        <w:keepNext w:val="0"/>
        <w:pageBreakBefore w:val="0"/>
        <w:widowControl w:val="0"/>
        <w:numPr>
          <w:ilvl w:val="0"/>
          <w:numId w:val="11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88B8E9">
      <w:pPr>
        <w:keepNext w:val="0"/>
        <w:pageBreakBefore w:val="0"/>
        <w:widowControl w:val="0"/>
        <w:numPr>
          <w:ilvl w:val="0"/>
          <w:numId w:val="119"/>
        </w:numPr>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本合同合计</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页A4纸张，缺页之合同为无效合同。</w:t>
      </w:r>
    </w:p>
    <w:p w14:paraId="1B2AA0C2">
      <w:pPr>
        <w:keepNext w:val="0"/>
        <w:pageBreakBefore w:val="0"/>
        <w:widowControl w:val="0"/>
        <w:kinsoku/>
        <w:wordWrap/>
        <w:overflowPunct/>
        <w:topLinePunct w:val="0"/>
        <w:bidi w:val="0"/>
        <w:spacing w:line="360" w:lineRule="auto"/>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附件1：《饭堂食材配送供应商考核评价表》</w:t>
      </w:r>
    </w:p>
    <w:p w14:paraId="4D65EB59">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p>
    <w:p w14:paraId="5A028A00">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p>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E750595">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w:t>
            </w:r>
          </w:p>
        </w:tc>
        <w:tc>
          <w:tcPr>
            <w:tcW w:w="2500" w:type="pct"/>
          </w:tcPr>
          <w:p w14:paraId="5A63E7F7">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甲方代表人(签字)：</w:t>
            </w:r>
          </w:p>
        </w:tc>
        <w:tc>
          <w:tcPr>
            <w:tcW w:w="2500" w:type="pct"/>
          </w:tcPr>
          <w:p w14:paraId="0B36C833">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签字日期：</w:t>
            </w:r>
          </w:p>
        </w:tc>
        <w:tc>
          <w:tcPr>
            <w:tcW w:w="2500" w:type="pct"/>
          </w:tcPr>
          <w:p w14:paraId="29FC68F0">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2500" w:type="pct"/>
          </w:tcPr>
          <w:p w14:paraId="4D138A9D">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2500" w:type="pct"/>
          </w:tcPr>
          <w:p w14:paraId="46397EF7">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p>
        </w:tc>
        <w:tc>
          <w:tcPr>
            <w:tcW w:w="2500" w:type="pct"/>
          </w:tcPr>
          <w:p w14:paraId="28565CE8">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c>
          <w:tcPr>
            <w:tcW w:w="2500" w:type="pct"/>
          </w:tcPr>
          <w:p w14:paraId="415382E3">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银行账户：</w:t>
            </w:r>
          </w:p>
        </w:tc>
        <w:tc>
          <w:tcPr>
            <w:tcW w:w="2500" w:type="pct"/>
          </w:tcPr>
          <w:p w14:paraId="0B37DE83">
            <w:pPr>
              <w:keepNext w:val="0"/>
              <w:pageBreakBefore w:val="0"/>
              <w:widowControl w:val="0"/>
              <w:kinsoku/>
              <w:wordWrap/>
              <w:overflowPunct/>
              <w:topLinePunct w:val="0"/>
              <w:bidi w:val="0"/>
              <w:snapToGrid w:val="0"/>
              <w:spacing w:line="360" w:lineRule="auto"/>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银行账户：</w:t>
            </w:r>
          </w:p>
        </w:tc>
      </w:tr>
    </w:tbl>
    <w:p w14:paraId="724C4B8D">
      <w:pPr>
        <w:rPr>
          <w:rFonts w:hint="eastAsia" w:ascii="宋体" w:hAnsi="宋体" w:eastAsia="宋体" w:cs="宋体"/>
          <w:color w:val="auto"/>
          <w:sz w:val="21"/>
          <w:szCs w:val="21"/>
          <w:highlight w:val="none"/>
        </w:rPr>
      </w:pPr>
    </w:p>
    <w:p w14:paraId="6F89D531">
      <w:pPr>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br w:type="page"/>
      </w:r>
    </w:p>
    <w:p w14:paraId="3A20EE40">
      <w:pPr>
        <w:keepNext w:val="0"/>
        <w:pageBreakBefore w:val="0"/>
        <w:widowControl w:val="0"/>
        <w:kinsoku/>
        <w:wordWrap/>
        <w:overflowPunct/>
        <w:topLinePunct w:val="0"/>
        <w:bidi w:val="0"/>
        <w:spacing w:line="360" w:lineRule="auto"/>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附件1：《饭堂食材配送供应商考核评价表》</w:t>
      </w:r>
    </w:p>
    <w:tbl>
      <w:tblPr>
        <w:tblStyle w:val="12"/>
        <w:tblW w:w="4996" w:type="pct"/>
        <w:tblInd w:w="0" w:type="dxa"/>
        <w:tblLayout w:type="autofit"/>
        <w:tblCellMar>
          <w:top w:w="0" w:type="dxa"/>
          <w:left w:w="108" w:type="dxa"/>
          <w:bottom w:w="0" w:type="dxa"/>
          <w:right w:w="108" w:type="dxa"/>
        </w:tblCellMar>
      </w:tblPr>
      <w:tblGrid>
        <w:gridCol w:w="698"/>
        <w:gridCol w:w="1230"/>
        <w:gridCol w:w="677"/>
        <w:gridCol w:w="5223"/>
        <w:gridCol w:w="716"/>
        <w:gridCol w:w="729"/>
      </w:tblGrid>
      <w:tr w14:paraId="0D7F63A3">
        <w:tblPrEx>
          <w:tblCellMar>
            <w:top w:w="0" w:type="dxa"/>
            <w:left w:w="108" w:type="dxa"/>
            <w:bottom w:w="0" w:type="dxa"/>
            <w:right w:w="108" w:type="dxa"/>
          </w:tblCellMar>
        </w:tblPrEx>
        <w:tc>
          <w:tcPr>
            <w:tcW w:w="1405" w:type="pct"/>
            <w:gridSpan w:val="3"/>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4E99B9DF">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食材供应商名称：</w:t>
            </w:r>
          </w:p>
        </w:tc>
        <w:tc>
          <w:tcPr>
            <w:tcW w:w="3594" w:type="pct"/>
            <w:gridSpan w:val="3"/>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67EFE06">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考核</w:t>
            </w:r>
            <w:r>
              <w:rPr>
                <w:rFonts w:hint="eastAsia" w:ascii="宋体" w:hAnsi="宋体" w:eastAsia="宋体" w:cs="宋体"/>
                <w:color w:val="auto"/>
                <w:sz w:val="21"/>
                <w:szCs w:val="21"/>
                <w:highlight w:val="none"/>
              </w:rPr>
              <w:t>月份：   年   月</w:t>
            </w:r>
          </w:p>
        </w:tc>
      </w:tr>
      <w:tr w14:paraId="0BA132AA">
        <w:tblPrEx>
          <w:tblCellMar>
            <w:top w:w="0" w:type="dxa"/>
            <w:left w:w="108" w:type="dxa"/>
            <w:bottom w:w="0" w:type="dxa"/>
            <w:right w:w="108" w:type="dxa"/>
          </w:tblCellMar>
        </w:tblPrEx>
        <w:tc>
          <w:tcPr>
            <w:tcW w:w="37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A5E2CE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DE0BD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食材种类</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16E26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A9396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评价依据</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94F368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得分</w:t>
            </w: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08D46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640D0A6E">
        <w:tblPrEx>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984AAD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食材配送情况考核(共</w:t>
            </w:r>
            <w:r>
              <w:rPr>
                <w:rFonts w:hint="eastAsia" w:ascii="宋体" w:hAnsi="宋体" w:eastAsia="宋体" w:cs="宋体"/>
                <w:color w:val="auto"/>
                <w:sz w:val="21"/>
                <w:szCs w:val="21"/>
                <w:highlight w:val="none"/>
                <w:lang w:val="en-US" w:eastAsia="zh-CN"/>
              </w:rPr>
              <w:t>55</w:t>
            </w:r>
            <w:r>
              <w:rPr>
                <w:rFonts w:hint="eastAsia" w:ascii="宋体" w:hAnsi="宋体" w:eastAsia="宋体" w:cs="宋体"/>
                <w:color w:val="auto"/>
                <w:sz w:val="21"/>
                <w:szCs w:val="21"/>
                <w:highlight w:val="none"/>
              </w:rPr>
              <w:t>分)</w:t>
            </w:r>
          </w:p>
        </w:tc>
      </w:tr>
      <w:tr w14:paraId="031E2482">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48F9D3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6798572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干货、杂货、副食类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481FA7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1FA3E24">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优：外观新鲜、完整，无霉变异味，无虫尸鼠粪等的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6CDCCA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993224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F662C5A">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03944CF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EB995F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123986A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77303E9">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良：产品外观不够新鲜，极少部分有杂质的，得3分。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6DFCE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4550C1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D9FA1E3">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1F653EE1">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1552ACA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15530DF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4178FF">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差：外观破损不完整，有异味的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B018AB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289BD1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D0B4940">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343EDC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6CB8786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肉类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5E86B2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5F5A7F5">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优：无异味、无霉烂，肉色鲜美的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E38375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D2B8B1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3CC138F">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3C5206A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3AB886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2DD2687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6E54A0">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良：肉色欠佳的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BE115D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EADD8B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84116C2">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213FA51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77402D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6F2D8B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01B07D">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差：肉色暗淡的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E91F96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77D0E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A858D9B">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01FA0E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1A7F23A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水产品类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033B25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1A9025F">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优：无异味、无霉烂，眼球光亮透明，鱼鳃鲜红，鳍尾完整的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BA080F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F9F884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1000A7A">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7DCA56D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3184D5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6822A3B1">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96DFC9">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良：眼球不够透亮或鱼鳃暗红或鳍尾不够完整的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5995E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C88D15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A5E35AE">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509DBA3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5DAF312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695217F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AA605E6">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差：眼球浑浊或鱼鳃变黑或鳍尾残缺的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7F9536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740D5A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E25C4E0">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90205C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1AFD56C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三鸟类</w:t>
            </w:r>
          </w:p>
          <w:p w14:paraId="5C4E287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(屠杀好的）</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03FB026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754CDB1">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优：色泽正常、肉质结实、内脏清掏干净的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FE6C9E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949BC0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05C9C2F">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5432EFB5">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02704D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60B61A6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9F1849F">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良：色泽暗淡或肉质松垮或有极少量内脏残留的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CC5662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BE139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FD0CD6C">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5E0F634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C717921">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FBA8D90">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49F975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差：肉质有异味或内脏清掏不够干净的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AD855A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5655D7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DF72E57">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387018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05E85F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零星冻品副食类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EEC8C6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C17F4C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优：冻肉色泽鲜亮、奶制品具备正常滋气味及包装完好的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9E48B2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CDAA16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89A42E7">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2F38268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9D69FF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2FD271E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4F354C">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良：冻肉色泽欠佳、冻肉产品中间有过多冰块的或奶制品临近保质期的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477F8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34D069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5B9B800">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50B27C8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64B66B1">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587FED2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ED4689">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差：冻肉有异味、肉色发黑或奶制品有不良口感的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F373A6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423C5C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29E8B9A">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116BA5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6</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1E1607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蔬菜类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07B4CF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7DCC9E3">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优：新鲜、无异味、无霉烂变质的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4BDD3E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103E50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1C31A7A">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0F4669F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362088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4513D6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8805D0B">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良：有少量挤伤、压伤或皱皮的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AA2A52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304F9A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292A9E1">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75E912F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9CCEB45">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764C51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668934">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差：萎蔫、大的碰伤或切口的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7ACB9D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21C843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F0B6721">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494880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28A723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水果类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5DD105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01FE7E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优：新鲜、无异味、无霉烂变质的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044C5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E20991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B307825">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1500B3C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3E0791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EC5998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81B6576">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良：有少量挤伤、压伤或皱皮的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D01192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BE3AB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DF5D492">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738C677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16735EE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AA5583F">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E802E84">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差：萎蔫、大的碰伤或切口的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24100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BE38E6">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7B03F21">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B9B379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257CACF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粮食大米类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0AC67F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D388ED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优：颜米粒色洁白、有光泽的，得5分。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6CBB9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528EC2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2396AA4">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2FD406C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4451812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425C34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ED97693">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良：米粒颜色无光泽的，得3分。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5F26D6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BEAA05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8E29106">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40BC98F1">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410100B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7BA7CE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DF04966">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差：部分颜色异常发黄，有虫害的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06779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33F98B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6E66353">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256CAC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9</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E20CD0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食用油类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196E952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3C44B4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优：色泽、透明度、气味、滋味、色泽正常，无焦臭、酸败及其它异味的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EAE725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F69A67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2BBBD07">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569669A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52766F2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AB1397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BCE9967">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良：色泽、透明度、气味和滋味正常、但色泽暗淡，透明度一般的，得3分。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587228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B6EAD0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100A687">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0C5AD29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BDEDB5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0F56F2E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7E9918">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差：气味和滋味异常，色泽和透明度差，得0分，并换货。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6A09D5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C3F75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7C16435">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ABE7F8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2A026D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调味品类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BE5A11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C41CCAF">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优：形态、色泽、气味和滋味正常的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AF60D2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A34187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EABF8D0">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6F8C93E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036C9E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673E20A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449EF17">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良：形态、色泽、气味和滋味欠佳的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8D8A7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F941C6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107F2EC">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652EEE60">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E7DF495">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3F1315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6C17340">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差：颜色发黑，有异味的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BDBCBC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A28400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B652C17">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D15FB0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C620B2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鲜奶酸奶类</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4B1FE5D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9533204">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优：均匀胶体，无粘稠、浓厚、分层现象，无异物杂质的，得5分。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D961B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C0F41C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DC0BE0E">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tcPr>
          <w:p w14:paraId="37E01BB2">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tcPr>
          <w:p w14:paraId="771E40CC">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tcPr>
          <w:p w14:paraId="61825C6A">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E8128FD">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良：产品外观不够完整，少部分有破碎的，得3分。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EA7DAD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7474E6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6FEE4700">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tcPr>
          <w:p w14:paraId="321C290C">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tcPr>
          <w:p w14:paraId="07AA1FED">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tcPr>
          <w:p w14:paraId="06EA925C">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0A10792">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差：出现异味、结块分层的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得0分，并换货。</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41FD5C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A25FC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013E53A0">
        <w:tblPrEx>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57DECB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3B5259E">
        <w:tblPrEx>
          <w:tblCellMar>
            <w:top w:w="0" w:type="dxa"/>
            <w:left w:w="108" w:type="dxa"/>
            <w:bottom w:w="0" w:type="dxa"/>
            <w:right w:w="108" w:type="dxa"/>
          </w:tblCellMar>
        </w:tblPrEx>
        <w:tc>
          <w:tcPr>
            <w:tcW w:w="37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43DD4A1">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6C7AA0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供应商服务</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1009AB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D1128C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评价依据</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11BD68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得分</w:t>
            </w: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8010C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717CFB5B">
        <w:tblPrEx>
          <w:tblCellMar>
            <w:top w:w="0" w:type="dxa"/>
            <w:left w:w="108" w:type="dxa"/>
            <w:bottom w:w="0" w:type="dxa"/>
            <w:right w:w="108" w:type="dxa"/>
          </w:tblCellMar>
        </w:tblPrEx>
        <w:tc>
          <w:tcPr>
            <w:tcW w:w="5000"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0A5357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供应商服务情况考核(共</w:t>
            </w:r>
            <w:r>
              <w:rPr>
                <w:rFonts w:hint="eastAsia" w:ascii="宋体" w:hAnsi="宋体" w:eastAsia="宋体" w:cs="宋体"/>
                <w:color w:val="auto"/>
                <w:sz w:val="21"/>
                <w:szCs w:val="21"/>
                <w:highlight w:val="none"/>
                <w:lang w:eastAsia="zh-CN"/>
              </w:rPr>
              <w:t>4</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14:paraId="484E87A9">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3B02AF3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2</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089BA7B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服务质量</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533B569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B6F5EEC">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优：配送及相关人员服务态度好的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99D823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EF40B1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9460C15">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33AC6EC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0AF109DB">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1B8810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767002">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良：配送及相关人员服务态度一般的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16A312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92BDDB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12A0538">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005FB969">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653E817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43D314EA">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75B3D88">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差：配送及相关人员服务态度差的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CD7D61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88639B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4B6D05A5">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DE0C94F">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3</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6D7B79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配送标准</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37CC392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716F02A">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优：按规定时间把食材送达的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617505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339BE5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9E1A15C">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3DC27306">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45A1E92D">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1B62C0B0">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A7A522E">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良：配送不准时的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74E7B9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DA133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EBCA6E1">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2AEC0F1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79AA1ED7">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22B648C">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668BB61">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差：未按要求把食材送达指定地点的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得</w:t>
            </w:r>
            <w:r>
              <w:rPr>
                <w:rFonts w:hint="eastAsia" w:ascii="宋体" w:hAnsi="宋体" w:eastAsia="宋体" w:cs="宋体"/>
                <w:color w:val="auto"/>
                <w:sz w:val="21"/>
                <w:szCs w:val="21"/>
                <w:highlight w:val="none"/>
              </w:rPr>
              <w:t>0分。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CCCCA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402B0B8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A197201">
        <w:tblPrEx>
          <w:tblCellMar>
            <w:top w:w="0" w:type="dxa"/>
            <w:left w:w="108" w:type="dxa"/>
            <w:bottom w:w="0" w:type="dxa"/>
            <w:right w:w="108" w:type="dxa"/>
          </w:tblCellMar>
        </w:tblPrEx>
        <w:tc>
          <w:tcPr>
            <w:tcW w:w="377" w:type="pct"/>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613976D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4</w:t>
            </w:r>
          </w:p>
        </w:tc>
        <w:tc>
          <w:tcPr>
            <w:tcW w:w="663"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79E7FC5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需求调整</w:t>
            </w:r>
          </w:p>
        </w:tc>
        <w:tc>
          <w:tcPr>
            <w:tcW w:w="365" w:type="pct"/>
            <w:vMerge w:val="restart"/>
            <w:tcBorders>
              <w:top w:val="nil"/>
              <w:left w:val="nil"/>
              <w:bottom w:val="single" w:color="000000" w:sz="4" w:space="0"/>
              <w:right w:val="single" w:color="000000" w:sz="4" w:space="0"/>
            </w:tcBorders>
            <w:tcMar>
              <w:top w:w="0" w:type="dxa"/>
              <w:left w:w="105" w:type="dxa"/>
              <w:bottom w:w="0" w:type="dxa"/>
              <w:right w:w="105" w:type="dxa"/>
            </w:tcMar>
            <w:vAlign w:val="center"/>
          </w:tcPr>
          <w:p w14:paraId="48537727">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BEAB08E">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优：接收临时要求增加配送食材的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5CAADF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3892C0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60AFD85">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2407B59B">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29CA53E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356EC568">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059699F">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良：有时按要求退、换、补食材的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623881D">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9AE26B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7364AFAD">
        <w:tblPrEx>
          <w:tblCellMar>
            <w:top w:w="0" w:type="dxa"/>
            <w:left w:w="108" w:type="dxa"/>
            <w:bottom w:w="0" w:type="dxa"/>
            <w:right w:w="108" w:type="dxa"/>
          </w:tblCellMar>
        </w:tblPrEx>
        <w:tc>
          <w:tcPr>
            <w:tcW w:w="377" w:type="pct"/>
            <w:vMerge w:val="continue"/>
            <w:tcBorders>
              <w:top w:val="nil"/>
              <w:left w:val="single" w:color="000000" w:sz="4" w:space="0"/>
              <w:bottom w:val="single" w:color="000000" w:sz="4" w:space="0"/>
              <w:right w:val="single" w:color="000000" w:sz="4" w:space="0"/>
            </w:tcBorders>
            <w:vAlign w:val="center"/>
          </w:tcPr>
          <w:p w14:paraId="7BDC398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663" w:type="pct"/>
            <w:vMerge w:val="continue"/>
            <w:tcBorders>
              <w:top w:val="nil"/>
              <w:left w:val="nil"/>
              <w:bottom w:val="single" w:color="000000" w:sz="4" w:space="0"/>
              <w:right w:val="single" w:color="000000" w:sz="4" w:space="0"/>
            </w:tcBorders>
            <w:vAlign w:val="center"/>
          </w:tcPr>
          <w:p w14:paraId="18B35914">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65" w:type="pct"/>
            <w:vMerge w:val="continue"/>
            <w:tcBorders>
              <w:top w:val="nil"/>
              <w:left w:val="nil"/>
              <w:bottom w:val="single" w:color="000000" w:sz="4" w:space="0"/>
              <w:right w:val="single" w:color="000000" w:sz="4" w:space="0"/>
            </w:tcBorders>
            <w:vAlign w:val="center"/>
          </w:tcPr>
          <w:p w14:paraId="6479C85B">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52683F2">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差：不接受临时要求按时、按质、按量配送食材的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得0分。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4482279">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B07A9A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26E761DF">
        <w:tblPrEx>
          <w:tblCellMar>
            <w:top w:w="0" w:type="dxa"/>
            <w:left w:w="108" w:type="dxa"/>
            <w:bottom w:w="0" w:type="dxa"/>
            <w:right w:w="108" w:type="dxa"/>
          </w:tblCellMar>
        </w:tblPrEx>
        <w:tc>
          <w:tcPr>
            <w:tcW w:w="37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8FACB0A">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5</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618A7D4">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食材价格</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997921B">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3CF3348B">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出现食材价格不按合同供货价或双方协定价格的，</w:t>
            </w:r>
            <w:r>
              <w:rPr>
                <w:rFonts w:hint="eastAsia" w:ascii="宋体" w:hAnsi="宋体" w:eastAsia="宋体" w:cs="宋体"/>
                <w:color w:val="auto"/>
                <w:sz w:val="21"/>
                <w:szCs w:val="21"/>
                <w:highlight w:val="none"/>
                <w:lang w:val="en-US" w:eastAsia="zh-CN"/>
              </w:rPr>
              <w:t>得0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44B5C0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6CA729AC">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33C99809">
        <w:tblPrEx>
          <w:tblCellMar>
            <w:top w:w="0" w:type="dxa"/>
            <w:left w:w="108" w:type="dxa"/>
            <w:bottom w:w="0" w:type="dxa"/>
            <w:right w:w="108" w:type="dxa"/>
          </w:tblCellMar>
        </w:tblPrEx>
        <w:tc>
          <w:tcPr>
            <w:tcW w:w="37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FD1B6E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6</w:t>
            </w:r>
          </w:p>
        </w:tc>
        <w:tc>
          <w:tcPr>
            <w:tcW w:w="663"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E5DF0C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食材验收</w:t>
            </w:r>
          </w:p>
        </w:tc>
        <w:tc>
          <w:tcPr>
            <w:tcW w:w="365"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3E1FE83">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2A580535">
            <w:pPr>
              <w:pStyle w:val="19"/>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不配合、不按流程进行食材验收的，</w:t>
            </w:r>
            <w:r>
              <w:rPr>
                <w:rFonts w:hint="eastAsia" w:ascii="宋体" w:hAnsi="宋体" w:eastAsia="宋体" w:cs="宋体"/>
                <w:color w:val="auto"/>
                <w:sz w:val="21"/>
                <w:szCs w:val="21"/>
                <w:highlight w:val="none"/>
                <w:lang w:val="en-US" w:eastAsia="zh-CN"/>
              </w:rPr>
              <w:t>得0</w:t>
            </w:r>
            <w:r>
              <w:rPr>
                <w:rFonts w:hint="eastAsia" w:ascii="宋体" w:hAnsi="宋体" w:eastAsia="宋体" w:cs="宋体"/>
                <w:color w:val="auto"/>
                <w:sz w:val="21"/>
                <w:szCs w:val="21"/>
                <w:highlight w:val="none"/>
              </w:rPr>
              <w:t>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F09CD7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4F170B8">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1183F4A2">
        <w:tblPrEx>
          <w:tblCellMar>
            <w:top w:w="0" w:type="dxa"/>
            <w:left w:w="108" w:type="dxa"/>
            <w:bottom w:w="0" w:type="dxa"/>
            <w:right w:w="108" w:type="dxa"/>
          </w:tblCellMar>
        </w:tblPrEx>
        <w:tc>
          <w:tcPr>
            <w:tcW w:w="1405" w:type="pct"/>
            <w:gridSpan w:val="3"/>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438A590">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满分（共100分）</w:t>
            </w:r>
          </w:p>
        </w:tc>
        <w:tc>
          <w:tcPr>
            <w:tcW w:w="2816" w:type="pct"/>
            <w:tcBorders>
              <w:top w:val="nil"/>
              <w:left w:val="nil"/>
              <w:bottom w:val="single" w:color="000000" w:sz="4" w:space="0"/>
              <w:right w:val="single" w:color="000000" w:sz="4" w:space="0"/>
            </w:tcBorders>
            <w:tcMar>
              <w:top w:w="0" w:type="dxa"/>
              <w:left w:w="105" w:type="dxa"/>
              <w:bottom w:w="0" w:type="dxa"/>
              <w:right w:w="105" w:type="dxa"/>
            </w:tcMar>
            <w:vAlign w:val="top"/>
          </w:tcPr>
          <w:p w14:paraId="744D2F8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合计得分：</w:t>
            </w:r>
          </w:p>
        </w:tc>
        <w:tc>
          <w:tcPr>
            <w:tcW w:w="3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1E4BB7AE">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c>
          <w:tcPr>
            <w:tcW w:w="391"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0D578F2">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p>
        </w:tc>
      </w:tr>
      <w:tr w14:paraId="58741963">
        <w:tblPrEx>
          <w:tblCellMar>
            <w:top w:w="0" w:type="dxa"/>
            <w:left w:w="108" w:type="dxa"/>
            <w:bottom w:w="0" w:type="dxa"/>
            <w:right w:w="108" w:type="dxa"/>
          </w:tblCellMar>
        </w:tblPrEx>
        <w:tc>
          <w:tcPr>
            <w:tcW w:w="1040" w:type="pct"/>
            <w:gridSpan w:val="2"/>
            <w:tcMar>
              <w:top w:w="0" w:type="dxa"/>
              <w:left w:w="105" w:type="dxa"/>
              <w:bottom w:w="0" w:type="dxa"/>
              <w:right w:w="105" w:type="dxa"/>
            </w:tcMar>
            <w:vAlign w:val="top"/>
          </w:tcPr>
          <w:p w14:paraId="1B224D24">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审核人：                                </w:t>
            </w:r>
          </w:p>
        </w:tc>
        <w:tc>
          <w:tcPr>
            <w:tcW w:w="3181" w:type="pct"/>
            <w:gridSpan w:val="2"/>
            <w:tcMar>
              <w:top w:w="0" w:type="dxa"/>
              <w:left w:w="105" w:type="dxa"/>
              <w:bottom w:w="0" w:type="dxa"/>
              <w:right w:w="105" w:type="dxa"/>
            </w:tcMar>
            <w:vAlign w:val="top"/>
          </w:tcPr>
          <w:p w14:paraId="4E1481BA">
            <w:pPr>
              <w:pStyle w:val="19"/>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填表人：                 </w:t>
            </w:r>
          </w:p>
        </w:tc>
        <w:tc>
          <w:tcPr>
            <w:tcW w:w="778" w:type="pct"/>
            <w:gridSpan w:val="2"/>
            <w:tcMar>
              <w:top w:w="0" w:type="dxa"/>
              <w:left w:w="105" w:type="dxa"/>
              <w:bottom w:w="0" w:type="dxa"/>
              <w:right w:w="105" w:type="dxa"/>
            </w:tcMar>
            <w:vAlign w:val="top"/>
          </w:tcPr>
          <w:p w14:paraId="55FD50D5">
            <w:pPr>
              <w:pStyle w:val="19"/>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填报日期：</w:t>
            </w:r>
          </w:p>
        </w:tc>
      </w:tr>
    </w:tbl>
    <w:p w14:paraId="6C4FFA73">
      <w:pPr>
        <w:pStyle w:val="19"/>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注：</w:t>
      </w:r>
    </w:p>
    <w:p w14:paraId="188A409C">
      <w:pPr>
        <w:pStyle w:val="19"/>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1、当乙方的考核成绩为良【即考核成绩分数在75分（含）~85分（不含）区间】，前两次甲方向乙方下达《整改意见书》，乙方累计出现三次考核成绩良时，甲方有权在当月货款中扣除人民币3000元为罚款。</w:t>
      </w:r>
    </w:p>
    <w:p w14:paraId="43783B69">
      <w:pPr>
        <w:pStyle w:val="19"/>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2、当乙方的考核成绩为一般【即考核成绩分数65分（含）~75分（不含）区间】，甲方向乙方下达《整改意见书》并在当月货款中扣除人民币5000元为罚款。</w:t>
      </w:r>
    </w:p>
    <w:p w14:paraId="71AB135F">
      <w:pPr>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3、当乙方的考核成绩为差（即考核成绩分数在65分以下）时，甲方向乙方下达《整改意见书》并在当月货款中扣除人民币7000元为罚款；</w:t>
      </w:r>
    </w:p>
    <w:p w14:paraId="131E1E25">
      <w:pPr>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4、乙方一年内累计出现三次考核成绩差时，甲方有权无条件单方面终止合同。</w:t>
      </w:r>
    </w:p>
    <w:p w14:paraId="25A164C6">
      <w:pPr>
        <w:pageBreakBefore/>
        <w:widowControl/>
        <w:jc w:val="center"/>
        <w:outlineLvl w:val="1"/>
        <w:rPr>
          <w:rFonts w:ascii="Calibri" w:hAnsi="Calibri" w:eastAsia="宋体" w:cs="Times New Roman"/>
          <w:kern w:val="0"/>
          <w:sz w:val="20"/>
          <w:szCs w:val="20"/>
          <w:lang w:eastAsia="zh-Hans"/>
        </w:rPr>
      </w:pPr>
      <w:r>
        <w:rPr>
          <w:rFonts w:ascii="Calibri" w:hAnsi="Calibri" w:eastAsia="宋体" w:cs="Times New Roman"/>
          <w:b/>
          <w:kern w:val="0"/>
          <w:sz w:val="36"/>
          <w:szCs w:val="20"/>
          <w:lang w:eastAsia="zh-Hans"/>
        </w:rPr>
        <w:t>第六章 投标文件格式</w:t>
      </w:r>
      <w:bookmarkEnd w:id="33"/>
      <w:bookmarkEnd w:id="34"/>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72"/>
          <w:szCs w:val="72"/>
        </w:rPr>
      </w:pPr>
      <w:bookmarkStart w:id="36" w:name="_Toc169799785"/>
      <w:r>
        <w:rPr>
          <w:rFonts w:hint="eastAsia" w:ascii="宋体" w:hAnsi="宋体" w:eastAsia="宋体"/>
          <w:b/>
          <w:bCs/>
          <w:sz w:val="72"/>
          <w:szCs w:val="72"/>
        </w:rPr>
        <w:t>东莞市石龙镇社区卫生服务中心食堂食材配送服务项目</w:t>
      </w:r>
    </w:p>
    <w:p w14:paraId="22263F55">
      <w:pPr>
        <w:spacing w:before="652" w:beforeLines="150"/>
        <w:jc w:val="center"/>
        <w:rPr>
          <w:rFonts w:hint="eastAsia" w:ascii="宋体" w:hAnsi="宋体" w:eastAsia="宋体"/>
          <w:b/>
          <w:bCs/>
          <w:spacing w:val="20"/>
          <w:sz w:val="80"/>
          <w:szCs w:val="80"/>
        </w:rPr>
      </w:pPr>
      <w:r>
        <w:rPr>
          <w:rFonts w:ascii="宋体" w:hAnsi="宋体" w:eastAsia="宋体"/>
          <w:b/>
          <w:bCs/>
          <w:spacing w:val="20"/>
          <w:sz w:val="80"/>
          <w:szCs w:val="80"/>
        </w:rPr>
        <w:t>投标文件</w:t>
      </w:r>
      <w:bookmarkEnd w:id="36"/>
    </w:p>
    <w:p w14:paraId="4BC6EA96">
      <w:pPr>
        <w:jc w:val="center"/>
        <w:rPr>
          <w:rFonts w:hint="eastAsia" w:ascii="宋体" w:hAnsi="宋体" w:eastAsia="宋体"/>
          <w:b/>
          <w:bCs/>
        </w:rPr>
      </w:pPr>
      <w:bookmarkStart w:id="37" w:name="_Toc169799786"/>
      <w:r>
        <w:rPr>
          <w:rFonts w:ascii="宋体" w:hAnsi="宋体" w:eastAsia="宋体"/>
          <w:b/>
          <w:bCs/>
          <w:sz w:val="44"/>
          <w:szCs w:val="48"/>
        </w:rPr>
        <w:t>（正本/副本）</w:t>
      </w:r>
      <w:bookmarkEnd w:id="37"/>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lang w:eastAsia="zh-Hans"/>
        </w:rPr>
        <w:t>ZHDGZC2025081</w:t>
      </w:r>
    </w:p>
    <w:p w14:paraId="1999A936">
      <w:pPr>
        <w:keepNext w:val="0"/>
        <w:keepLines w:val="0"/>
        <w:pageBreakBefore w:val="0"/>
        <w:widowControl/>
        <w:kinsoku/>
        <w:wordWrap/>
        <w:overflowPunct/>
        <w:topLinePunct w:val="0"/>
        <w:autoSpaceDE/>
        <w:autoSpaceDN/>
        <w:bidi w:val="0"/>
        <w:adjustRightInd/>
        <w:snapToGrid/>
        <w:spacing w:before="219" w:beforeLines="50" w:line="360" w:lineRule="auto"/>
        <w:ind w:firstLine="1558" w:firstLineChars="485"/>
        <w:jc w:val="left"/>
        <w:textAlignment w:val="auto"/>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一、投标函</w:t>
      </w:r>
    </w:p>
    <w:p w14:paraId="512994C4">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二、开标一览表</w:t>
      </w:r>
    </w:p>
    <w:p w14:paraId="433CFA7F">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三、分项报价表</w:t>
      </w:r>
    </w:p>
    <w:p w14:paraId="6BBA1CBF">
      <w:pPr>
        <w:widowControl/>
        <w:jc w:val="left"/>
        <w:rPr>
          <w:rFonts w:ascii="Calibri" w:hAnsi="Calibri" w:eastAsia="宋体" w:cs="Times New Roman"/>
          <w:kern w:val="0"/>
          <w:szCs w:val="21"/>
        </w:rPr>
      </w:pPr>
      <w:r>
        <w:rPr>
          <w:rFonts w:ascii="Calibri" w:hAnsi="Calibri" w:eastAsia="宋体" w:cs="Times New Roman"/>
          <w:kern w:val="0"/>
          <w:szCs w:val="21"/>
          <w:lang w:eastAsia="zh-Hans"/>
        </w:rPr>
        <w:t>四、</w:t>
      </w:r>
      <w:r>
        <w:rPr>
          <w:rFonts w:hint="eastAsia" w:ascii="Calibri" w:hAnsi="Calibri" w:eastAsia="宋体" w:cs="Times New Roman"/>
          <w:kern w:val="0"/>
          <w:szCs w:val="21"/>
          <w:lang w:eastAsia="zh-Hans"/>
        </w:rPr>
        <w:t>中小企业声明函</w:t>
      </w:r>
    </w:p>
    <w:p w14:paraId="0F963B8C">
      <w:pPr>
        <w:widowControl/>
        <w:jc w:val="left"/>
        <w:rPr>
          <w:rFonts w:ascii="Calibri" w:hAnsi="Calibri" w:eastAsia="宋体" w:cs="Times New Roman"/>
          <w:kern w:val="0"/>
          <w:szCs w:val="21"/>
        </w:rPr>
      </w:pPr>
      <w:r>
        <w:rPr>
          <w:rFonts w:hint="eastAsia" w:ascii="Calibri" w:hAnsi="Calibri" w:eastAsia="宋体" w:cs="Times New Roman"/>
          <w:kern w:val="0"/>
          <w:szCs w:val="21"/>
        </w:rPr>
        <w:t>五、</w:t>
      </w:r>
      <w:r>
        <w:rPr>
          <w:rFonts w:ascii="Calibri" w:hAnsi="Calibri" w:eastAsia="宋体" w:cs="Times New Roman"/>
          <w:kern w:val="0"/>
          <w:szCs w:val="21"/>
          <w:lang w:eastAsia="zh-Hans"/>
        </w:rPr>
        <w:t>监狱企业</w:t>
      </w:r>
    </w:p>
    <w:p w14:paraId="5FE1DDF1">
      <w:pPr>
        <w:widowControl/>
        <w:jc w:val="left"/>
        <w:rPr>
          <w:rFonts w:ascii="Calibri" w:hAnsi="Calibri" w:eastAsia="宋体" w:cs="Times New Roman"/>
          <w:kern w:val="0"/>
          <w:szCs w:val="21"/>
        </w:rPr>
      </w:pPr>
      <w:r>
        <w:rPr>
          <w:rFonts w:hint="eastAsia" w:ascii="Calibri" w:hAnsi="Calibri" w:eastAsia="宋体" w:cs="Times New Roman"/>
          <w:kern w:val="0"/>
          <w:szCs w:val="21"/>
        </w:rPr>
        <w:t>六、</w:t>
      </w:r>
      <w:r>
        <w:rPr>
          <w:rFonts w:ascii="Calibri" w:hAnsi="Calibri" w:eastAsia="宋体" w:cs="Times New Roman"/>
          <w:kern w:val="0"/>
          <w:szCs w:val="21"/>
          <w:lang w:eastAsia="zh-Hans"/>
        </w:rPr>
        <w:t>残疾人福利性单位声明函</w:t>
      </w:r>
    </w:p>
    <w:p w14:paraId="06801FB1">
      <w:pPr>
        <w:widowControl/>
        <w:jc w:val="left"/>
        <w:rPr>
          <w:rFonts w:ascii="Calibri" w:hAnsi="Calibri" w:eastAsia="宋体" w:cs="Times New Roman"/>
          <w:kern w:val="0"/>
          <w:szCs w:val="21"/>
        </w:rPr>
      </w:pPr>
      <w:r>
        <w:rPr>
          <w:rFonts w:hint="eastAsia" w:ascii="Calibri" w:hAnsi="Calibri" w:eastAsia="宋体" w:cs="Times New Roman"/>
          <w:kern w:val="0"/>
          <w:szCs w:val="21"/>
        </w:rPr>
        <w:t>七、</w:t>
      </w:r>
      <w:r>
        <w:rPr>
          <w:rFonts w:ascii="Calibri" w:hAnsi="Calibri" w:eastAsia="宋体" w:cs="Times New Roman"/>
          <w:kern w:val="0"/>
          <w:szCs w:val="21"/>
          <w:lang w:eastAsia="zh-Hans"/>
        </w:rPr>
        <w:t>政策适用性说明</w:t>
      </w:r>
    </w:p>
    <w:p w14:paraId="0463493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val="en-US" w:eastAsia="zh-CN"/>
        </w:rPr>
        <w:t>八</w:t>
      </w:r>
      <w:r>
        <w:rPr>
          <w:rFonts w:ascii="Calibri" w:hAnsi="Calibri" w:eastAsia="宋体" w:cs="Times New Roman"/>
          <w:kern w:val="0"/>
          <w:szCs w:val="21"/>
          <w:lang w:eastAsia="zh-Hans"/>
        </w:rPr>
        <w:t>、法定代表人证明书</w:t>
      </w:r>
    </w:p>
    <w:p w14:paraId="6FFD1DE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val="en-US" w:eastAsia="zh-CN"/>
        </w:rPr>
        <w:t>九</w:t>
      </w: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widowControl/>
        <w:jc w:val="left"/>
        <w:rPr>
          <w:rFonts w:ascii="Calibri" w:hAnsi="Calibri" w:eastAsia="宋体" w:cs="Times New Roman"/>
          <w:kern w:val="0"/>
          <w:szCs w:val="21"/>
        </w:rPr>
      </w:pPr>
      <w:r>
        <w:rPr>
          <w:rFonts w:hint="eastAsia" w:ascii="Calibri" w:hAnsi="Calibri" w:eastAsia="宋体" w:cs="Times New Roman"/>
          <w:kern w:val="0"/>
          <w:szCs w:val="21"/>
        </w:rPr>
        <w:t>十、资格条件承诺函</w:t>
      </w:r>
    </w:p>
    <w:p w14:paraId="118B6973">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一</w:t>
      </w:r>
      <w:r>
        <w:rPr>
          <w:rFonts w:ascii="Calibri" w:hAnsi="Calibri" w:eastAsia="宋体" w:cs="Times New Roman"/>
          <w:kern w:val="0"/>
          <w:szCs w:val="21"/>
          <w:lang w:eastAsia="zh-Hans"/>
        </w:rPr>
        <w:t>、提供具有独立承担民事责任的能力的证明材料</w:t>
      </w:r>
    </w:p>
    <w:p w14:paraId="2C5908F1">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二</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拟投入本项目设备情况表</w:t>
      </w:r>
    </w:p>
    <w:p w14:paraId="65C8EF60">
      <w:pPr>
        <w:widowControl/>
        <w:jc w:val="left"/>
        <w:rPr>
          <w:rFonts w:ascii="Calibri" w:hAnsi="Calibri" w:eastAsia="宋体" w:cs="Times New Roman"/>
          <w:kern w:val="0"/>
          <w:szCs w:val="21"/>
        </w:rPr>
      </w:pPr>
      <w:r>
        <w:rPr>
          <w:rFonts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三</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项目技术服务人员情况表</w:t>
      </w:r>
    </w:p>
    <w:p w14:paraId="41AFFB6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四</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项目负责人简历表</w:t>
      </w:r>
    </w:p>
    <w:p w14:paraId="174D1A68">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五</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投标人业绩情况表</w:t>
      </w:r>
    </w:p>
    <w:p w14:paraId="03FAB5C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六</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技术和服务要求响应表</w:t>
      </w:r>
    </w:p>
    <w:p w14:paraId="441CCE17">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val="en-US" w:eastAsia="zh-CN"/>
        </w:rPr>
        <w:t>七</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商务条件响应表</w:t>
      </w:r>
    </w:p>
    <w:p w14:paraId="201B1BAE">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val="en-US" w:eastAsia="zh-CN"/>
        </w:rPr>
        <w:t>十八</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各类证明材料</w:t>
      </w:r>
    </w:p>
    <w:p w14:paraId="4048C294">
      <w:pPr>
        <w:widowControl/>
        <w:jc w:val="left"/>
        <w:rPr>
          <w:rFonts w:ascii="Calibri" w:hAnsi="Calibri" w:eastAsia="宋体" w:cs="Times New Roman"/>
          <w:kern w:val="0"/>
          <w:szCs w:val="21"/>
        </w:rPr>
      </w:pPr>
      <w:r>
        <w:rPr>
          <w:rFonts w:hint="eastAsia" w:ascii="Calibri" w:hAnsi="Calibri" w:eastAsia="宋体" w:cs="Times New Roman"/>
          <w:kern w:val="0"/>
          <w:szCs w:val="21"/>
          <w:lang w:val="en-US" w:eastAsia="zh-CN"/>
        </w:rPr>
        <w:t>十九</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采购代理服务费支付承诺书</w:t>
      </w:r>
    </w:p>
    <w:p w14:paraId="16C153A6">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询问函、质疑函、投诉书格式</w:t>
      </w:r>
    </w:p>
    <w:p w14:paraId="2DC55D76">
      <w:pPr>
        <w:widowControl/>
        <w:jc w:val="left"/>
        <w:rPr>
          <w:rFonts w:ascii="Calibri" w:hAnsi="Calibri" w:eastAsia="宋体" w:cs="Times New Roman"/>
          <w:kern w:val="0"/>
          <w:sz w:val="20"/>
          <w:szCs w:val="20"/>
          <w:lang w:eastAsia="zh-Hans"/>
        </w:rPr>
      </w:pPr>
      <w:r>
        <w:rPr>
          <w:rFonts w:hint="eastAsia" w:ascii="Calibri" w:hAnsi="Calibri" w:eastAsia="宋体" w:cs="Times New Roman"/>
          <w:kern w:val="0"/>
          <w:szCs w:val="21"/>
          <w:lang w:eastAsia="zh-Hans"/>
        </w:rPr>
        <w:t>二十</w:t>
      </w:r>
      <w:r>
        <w:rPr>
          <w:rFonts w:hint="eastAsia" w:ascii="Calibri" w:hAnsi="Calibri" w:eastAsia="宋体" w:cs="Times New Roman"/>
          <w:kern w:val="0"/>
          <w:szCs w:val="21"/>
          <w:lang w:val="en-US" w:eastAsia="zh-CN"/>
        </w:rPr>
        <w:t>一</w:t>
      </w:r>
      <w:r>
        <w:rPr>
          <w:rFonts w:ascii="Calibri" w:hAnsi="Calibri" w:eastAsia="宋体" w:cs="Times New Roman"/>
          <w:kern w:val="0"/>
          <w:szCs w:val="21"/>
          <w:lang w:eastAsia="zh-Hans"/>
        </w:rPr>
        <w:t>、项目实施方案、质量保证及售后服务承诺等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hint="eastAsia"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hint="eastAsia"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hint="eastAsia"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hint="eastAsia"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hint="eastAsia" w:ascii="宋体" w:hAnsi="宋体" w:eastAsia="宋体"/>
          <w:b/>
          <w:bCs/>
          <w:szCs w:val="21"/>
        </w:rPr>
      </w:pPr>
      <w:bookmarkStart w:id="38" w:name="_Hlk169787866"/>
      <w:r>
        <w:rPr>
          <w:rFonts w:ascii="宋体" w:hAnsi="宋体" w:eastAsia="宋体"/>
          <w:b/>
          <w:bCs/>
          <w:sz w:val="24"/>
          <w:szCs w:val="24"/>
        </w:rPr>
        <w:t>详细评审</w:t>
      </w:r>
      <w:r>
        <w:rPr>
          <w:rFonts w:hint="eastAsia" w:ascii="宋体" w:hAnsi="宋体" w:eastAsia="宋体"/>
          <w:b/>
          <w:bCs/>
          <w:sz w:val="24"/>
          <w:szCs w:val="24"/>
        </w:rPr>
        <w:t>索引表</w:t>
      </w:r>
      <w:bookmarkEnd w:id="38"/>
      <w:r>
        <w:rPr>
          <w:rFonts w:hint="eastAsia" w:ascii="宋体" w:hAnsi="宋体" w:eastAsia="宋体"/>
          <w:b/>
          <w:bCs/>
          <w:sz w:val="24"/>
          <w:szCs w:val="24"/>
        </w:rPr>
        <w:t>格式</w:t>
      </w:r>
    </w:p>
    <w:p w14:paraId="49E95316">
      <w:pPr>
        <w:spacing w:before="435" w:beforeLines="100" w:after="435" w:afterLines="100"/>
        <w:jc w:val="center"/>
        <w:rPr>
          <w:rFonts w:hint="eastAsia"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hint="eastAsia"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hint="eastAsia" w:ascii="宋体" w:hAnsi="宋体" w:eastAsia="宋体"/>
          <w:b/>
          <w:bCs/>
        </w:rPr>
      </w:pPr>
      <w:bookmarkStart w:id="39" w:name="_Toc169799787"/>
      <w:r>
        <w:rPr>
          <w:rFonts w:ascii="宋体" w:hAnsi="宋体" w:eastAsia="宋体"/>
          <w:b/>
          <w:bCs/>
          <w:sz w:val="24"/>
          <w:szCs w:val="28"/>
        </w:rPr>
        <w:t>格式一：</w:t>
      </w:r>
      <w:bookmarkEnd w:id="39"/>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color w:val="auto"/>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w:t>
      </w:r>
      <w:r>
        <w:rPr>
          <w:rFonts w:ascii="Calibri" w:hAnsi="Calibri" w:eastAsia="宋体" w:cs="Times New Roman"/>
          <w:b/>
          <w:bCs/>
          <w:color w:val="auto"/>
          <w:kern w:val="0"/>
          <w:sz w:val="20"/>
          <w:szCs w:val="20"/>
          <w:lang w:eastAsia="zh-Hans"/>
        </w:rPr>
        <w:t>公司</w:t>
      </w:r>
    </w:p>
    <w:p w14:paraId="704EDDED">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你方组织的</w:t>
      </w:r>
      <w:r>
        <w:rPr>
          <w:rFonts w:hint="eastAsia" w:ascii="Calibri" w:hAnsi="Calibri" w:eastAsia="宋体" w:cs="Times New Roman"/>
          <w:color w:val="auto"/>
          <w:kern w:val="0"/>
          <w:szCs w:val="21"/>
          <w:u w:val="single"/>
        </w:rPr>
        <w:t xml:space="preserve">    （项目名称）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1CA4C31D">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77DDE64E">
      <w:pPr>
        <w:widowControl/>
        <w:ind w:firstLine="20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w:t>
      </w:r>
      <w:r>
        <w:rPr>
          <w:rFonts w:ascii="宋体" w:hAnsi="宋体" w:eastAsia="宋体" w:cs="Times New Roman"/>
          <w:kern w:val="0"/>
          <w:szCs w:val="21"/>
          <w:lang w:eastAsia="zh-Hans"/>
        </w:rPr>
        <w:t>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（五）我方理解贵方不一定接受最</w:t>
      </w:r>
      <w:r>
        <w:rPr>
          <w:rFonts w:ascii="宋体" w:hAnsi="宋体" w:eastAsia="宋体" w:cs="Times New Roman"/>
          <w:color w:val="auto"/>
          <w:kern w:val="0"/>
          <w:szCs w:val="21"/>
          <w:lang w:eastAsia="zh-Hans"/>
        </w:rPr>
        <w:t>低投标价或任何贵方可能收到的投标。</w:t>
      </w:r>
    </w:p>
    <w:p w14:paraId="774D10B9">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40" w:name="_Toc169799788"/>
      <w:r>
        <w:rPr>
          <w:rFonts w:ascii="宋体" w:hAnsi="宋体" w:eastAsia="宋体"/>
          <w:b/>
          <w:bCs/>
          <w:sz w:val="24"/>
          <w:szCs w:val="28"/>
        </w:rPr>
        <w:t>格式二：</w:t>
      </w:r>
      <w:bookmarkEnd w:id="40"/>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cs="宋体"/>
                <w:b/>
                <w:color w:val="auto"/>
                <w:szCs w:val="21"/>
                <w:highlight w:val="none"/>
                <w:lang w:val="en-US" w:eastAsia="zh-CN"/>
              </w:rPr>
              <w:t>投标下浮率</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hint="eastAsia" w:ascii="宋体" w:hAnsi="宋体" w:eastAsia="宋体"/>
                <w:color w:val="000000" w:themeColor="text1"/>
                <w:szCs w:val="21"/>
                <w:u w:val="single"/>
                <w:lang w:val="en-US" w:eastAsia="zh-CN"/>
                <w14:textFill>
                  <w14:solidFill>
                    <w14:schemeClr w14:val="tx1"/>
                  </w14:solidFill>
                </w14:textFill>
              </w:rPr>
              <w:t>百分之</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p>
        </w:tc>
      </w:tr>
    </w:tbl>
    <w:p w14:paraId="1BF83365">
      <w:pPr>
        <w:widowControl/>
        <w:jc w:val="left"/>
        <w:rPr>
          <w:rFonts w:ascii="Calibri" w:hAnsi="Calibri" w:eastAsia="宋体" w:cs="Times New Roman"/>
          <w:kern w:val="0"/>
          <w:szCs w:val="21"/>
        </w:rPr>
      </w:pPr>
    </w:p>
    <w:p w14:paraId="3C2FB566">
      <w:pPr>
        <w:widowControl/>
        <w:jc w:val="left"/>
        <w:rPr>
          <w:rFonts w:hint="eastAsia" w:ascii="Calibri" w:hAnsi="Calibri" w:eastAsia="宋体" w:cs="Times New Roman"/>
          <w:kern w:val="0"/>
          <w:szCs w:val="21"/>
          <w:lang w:val="en-US" w:eastAsia="zh-CN"/>
        </w:rPr>
      </w:pPr>
      <w:r>
        <w:rPr>
          <w:rFonts w:hint="eastAsia" w:ascii="Calibri" w:hAnsi="Calibri" w:eastAsia="宋体" w:cs="Times New Roman"/>
          <w:kern w:val="0"/>
          <w:szCs w:val="21"/>
          <w:lang w:val="en-US" w:eastAsia="zh-CN"/>
        </w:rPr>
        <w:t>注：</w:t>
      </w:r>
    </w:p>
    <w:p w14:paraId="0D2E28F5">
      <w:pPr>
        <w:pStyle w:val="25"/>
        <w:widowControl/>
        <w:numPr>
          <w:ilvl w:val="0"/>
          <w:numId w:val="120"/>
        </w:numPr>
        <w:ind w:left="425" w:leftChars="0" w:hanging="425"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5663EE7C">
      <w:pPr>
        <w:pStyle w:val="25"/>
        <w:widowControl/>
        <w:numPr>
          <w:ilvl w:val="0"/>
          <w:numId w:val="120"/>
        </w:numPr>
        <w:ind w:left="425" w:leftChars="0" w:hanging="425"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2F1860E3">
      <w:pPr>
        <w:pStyle w:val="25"/>
        <w:widowControl/>
        <w:numPr>
          <w:ilvl w:val="0"/>
          <w:numId w:val="120"/>
        </w:numPr>
        <w:ind w:left="425" w:leftChars="0" w:hanging="425"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25EF99D4">
      <w:pPr>
        <w:pStyle w:val="25"/>
        <w:widowControl/>
        <w:numPr>
          <w:ilvl w:val="0"/>
          <w:numId w:val="120"/>
        </w:numPr>
        <w:ind w:left="425" w:leftChars="0" w:hanging="425"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BF78476">
      <w:pPr>
        <w:widowControl/>
        <w:jc w:val="left"/>
        <w:rPr>
          <w:rFonts w:ascii="Calibri" w:hAnsi="Calibri" w:eastAsia="宋体" w:cs="Times New Roman"/>
          <w:kern w:val="0"/>
          <w:szCs w:val="21"/>
        </w:rPr>
      </w:pPr>
    </w:p>
    <w:p w14:paraId="4B7ED0D5">
      <w:pPr>
        <w:widowControl/>
        <w:jc w:val="left"/>
        <w:rPr>
          <w:rFonts w:ascii="Calibri" w:hAnsi="Calibri" w:eastAsia="宋体" w:cs="Times New Roman"/>
          <w:kern w:val="0"/>
          <w:szCs w:val="21"/>
        </w:rPr>
      </w:pPr>
    </w:p>
    <w:p w14:paraId="7BDF3604">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41" w:name="_Toc169799789"/>
      <w:r>
        <w:rPr>
          <w:rFonts w:ascii="宋体" w:hAnsi="宋体" w:eastAsia="宋体"/>
          <w:b/>
          <w:bCs/>
          <w:sz w:val="24"/>
          <w:szCs w:val="28"/>
        </w:rPr>
        <w:t>格式三：</w:t>
      </w:r>
      <w:bookmarkEnd w:id="41"/>
    </w:p>
    <w:p w14:paraId="0DCFDCF2">
      <w:pPr>
        <w:widowControl/>
        <w:jc w:val="center"/>
        <w:outlineLvl w:val="3"/>
        <w:rPr>
          <w:rFonts w:hint="eastAsia"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351AA36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投标人名称：</w:t>
      </w:r>
    </w:p>
    <w:p w14:paraId="1FD77CB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p w14:paraId="7DBFA6F4">
      <w:pPr>
        <w:widowControl/>
        <w:jc w:val="left"/>
        <w:rPr>
          <w:rFonts w:hint="eastAsia" w:ascii="宋体" w:hAnsi="宋体" w:eastAsia="宋体" w:cs="Times New Roman"/>
          <w:kern w:val="0"/>
          <w:szCs w:val="21"/>
          <w:lang w:eastAsia="zh-Hans"/>
        </w:rPr>
      </w:pP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86DEF0B">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153" w:type="pct"/>
          </w:tcPr>
          <w:p w14:paraId="5C787154">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服务名称</w:t>
            </w:r>
          </w:p>
        </w:tc>
        <w:tc>
          <w:tcPr>
            <w:tcW w:w="1045" w:type="pct"/>
          </w:tcPr>
          <w:p w14:paraId="139E2C0C">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w:t>
            </w:r>
          </w:p>
        </w:tc>
        <w:tc>
          <w:tcPr>
            <w:tcW w:w="1045" w:type="pct"/>
          </w:tcPr>
          <w:p w14:paraId="360C7E02">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数量</w:t>
            </w:r>
          </w:p>
        </w:tc>
        <w:tc>
          <w:tcPr>
            <w:tcW w:w="1035" w:type="pct"/>
          </w:tcPr>
          <w:p w14:paraId="184AEEAB">
            <w:pPr>
              <w:widowControl/>
              <w:spacing w:line="300" w:lineRule="auto"/>
              <w:jc w:val="center"/>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C50E81B">
            <w:pPr>
              <w:spacing w:line="300" w:lineRule="auto"/>
              <w:jc w:val="center"/>
              <w:rPr>
                <w:rFonts w:hint="eastAsia" w:ascii="宋体" w:hAnsi="宋体" w:eastAsia="宋体" w:cs="Times New Roman"/>
                <w:szCs w:val="21"/>
              </w:rPr>
            </w:pPr>
          </w:p>
        </w:tc>
        <w:tc>
          <w:tcPr>
            <w:tcW w:w="1153" w:type="pct"/>
          </w:tcPr>
          <w:p w14:paraId="46E55669">
            <w:pPr>
              <w:spacing w:line="300" w:lineRule="auto"/>
              <w:jc w:val="center"/>
              <w:rPr>
                <w:rFonts w:hint="eastAsia" w:ascii="宋体" w:hAnsi="宋体" w:eastAsia="宋体" w:cs="Times New Roman"/>
                <w:szCs w:val="21"/>
              </w:rPr>
            </w:pPr>
          </w:p>
        </w:tc>
        <w:tc>
          <w:tcPr>
            <w:tcW w:w="1045" w:type="pct"/>
          </w:tcPr>
          <w:p w14:paraId="59D02428">
            <w:pPr>
              <w:spacing w:line="300" w:lineRule="auto"/>
              <w:jc w:val="center"/>
              <w:rPr>
                <w:rFonts w:hint="eastAsia" w:ascii="宋体" w:hAnsi="宋体" w:eastAsia="宋体" w:cs="Times New Roman"/>
                <w:szCs w:val="21"/>
              </w:rPr>
            </w:pPr>
          </w:p>
        </w:tc>
        <w:tc>
          <w:tcPr>
            <w:tcW w:w="1045" w:type="pct"/>
          </w:tcPr>
          <w:p w14:paraId="2107F464">
            <w:pPr>
              <w:spacing w:line="300" w:lineRule="auto"/>
              <w:jc w:val="center"/>
              <w:rPr>
                <w:rFonts w:hint="eastAsia" w:ascii="宋体" w:hAnsi="宋体" w:eastAsia="宋体" w:cs="Times New Roman"/>
                <w:szCs w:val="21"/>
              </w:rPr>
            </w:pPr>
          </w:p>
        </w:tc>
        <w:tc>
          <w:tcPr>
            <w:tcW w:w="1035" w:type="pct"/>
          </w:tcPr>
          <w:p w14:paraId="49375C58">
            <w:pPr>
              <w:spacing w:line="300" w:lineRule="auto"/>
              <w:jc w:val="center"/>
              <w:rPr>
                <w:rFonts w:hint="eastAsia" w:ascii="宋体" w:hAnsi="宋体" w:eastAsia="宋体" w:cs="Times New Roman"/>
                <w:szCs w:val="21"/>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6B7E92D">
            <w:pPr>
              <w:spacing w:line="300" w:lineRule="auto"/>
              <w:jc w:val="center"/>
              <w:rPr>
                <w:rFonts w:hint="eastAsia" w:ascii="宋体" w:hAnsi="宋体" w:eastAsia="宋体" w:cs="Times New Roman"/>
                <w:szCs w:val="21"/>
              </w:rPr>
            </w:pPr>
          </w:p>
        </w:tc>
        <w:tc>
          <w:tcPr>
            <w:tcW w:w="1153" w:type="pct"/>
          </w:tcPr>
          <w:p w14:paraId="58791121">
            <w:pPr>
              <w:spacing w:line="300" w:lineRule="auto"/>
              <w:jc w:val="center"/>
              <w:rPr>
                <w:rFonts w:hint="eastAsia" w:ascii="宋体" w:hAnsi="宋体" w:eastAsia="宋体" w:cs="Times New Roman"/>
                <w:szCs w:val="21"/>
              </w:rPr>
            </w:pPr>
          </w:p>
        </w:tc>
        <w:tc>
          <w:tcPr>
            <w:tcW w:w="1045" w:type="pct"/>
          </w:tcPr>
          <w:p w14:paraId="3792F827">
            <w:pPr>
              <w:spacing w:line="300" w:lineRule="auto"/>
              <w:jc w:val="center"/>
              <w:rPr>
                <w:rFonts w:hint="eastAsia" w:ascii="宋体" w:hAnsi="宋体" w:eastAsia="宋体" w:cs="Times New Roman"/>
                <w:szCs w:val="21"/>
              </w:rPr>
            </w:pPr>
          </w:p>
        </w:tc>
        <w:tc>
          <w:tcPr>
            <w:tcW w:w="1045" w:type="pct"/>
          </w:tcPr>
          <w:p w14:paraId="1C46CFDB">
            <w:pPr>
              <w:spacing w:line="300" w:lineRule="auto"/>
              <w:jc w:val="center"/>
              <w:rPr>
                <w:rFonts w:hint="eastAsia" w:ascii="宋体" w:hAnsi="宋体" w:eastAsia="宋体" w:cs="Times New Roman"/>
                <w:szCs w:val="21"/>
              </w:rPr>
            </w:pPr>
          </w:p>
        </w:tc>
        <w:tc>
          <w:tcPr>
            <w:tcW w:w="1035" w:type="pct"/>
          </w:tcPr>
          <w:p w14:paraId="63A0B64F">
            <w:pPr>
              <w:spacing w:line="300" w:lineRule="auto"/>
              <w:jc w:val="center"/>
              <w:rPr>
                <w:rFonts w:hint="eastAsia" w:ascii="宋体" w:hAnsi="宋体" w:eastAsia="宋体" w:cs="Times New Roman"/>
                <w:szCs w:val="21"/>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6018410">
            <w:pPr>
              <w:spacing w:line="300" w:lineRule="auto"/>
              <w:jc w:val="center"/>
              <w:rPr>
                <w:rFonts w:hint="eastAsia" w:ascii="宋体" w:hAnsi="宋体" w:eastAsia="宋体" w:cs="Times New Roman"/>
                <w:szCs w:val="21"/>
              </w:rPr>
            </w:pPr>
            <w:r>
              <w:rPr>
                <w:rFonts w:ascii="宋体" w:hAnsi="宋体" w:eastAsia="宋体" w:cs="Times New Roman"/>
                <w:kern w:val="0"/>
                <w:szCs w:val="21"/>
                <w:lang w:eastAsia="zh-Hans"/>
              </w:rPr>
              <w:t>...</w:t>
            </w:r>
          </w:p>
        </w:tc>
        <w:tc>
          <w:tcPr>
            <w:tcW w:w="1153" w:type="pct"/>
          </w:tcPr>
          <w:p w14:paraId="1334347B">
            <w:pPr>
              <w:spacing w:line="300" w:lineRule="auto"/>
              <w:jc w:val="center"/>
              <w:rPr>
                <w:rFonts w:hint="eastAsia" w:ascii="宋体" w:hAnsi="宋体" w:eastAsia="宋体" w:cs="Times New Roman"/>
                <w:szCs w:val="21"/>
              </w:rPr>
            </w:pPr>
          </w:p>
        </w:tc>
        <w:tc>
          <w:tcPr>
            <w:tcW w:w="1045" w:type="pct"/>
          </w:tcPr>
          <w:p w14:paraId="54CDFDEB">
            <w:pPr>
              <w:spacing w:line="300" w:lineRule="auto"/>
              <w:jc w:val="center"/>
              <w:rPr>
                <w:rFonts w:hint="eastAsia" w:ascii="宋体" w:hAnsi="宋体" w:eastAsia="宋体" w:cs="Times New Roman"/>
                <w:szCs w:val="21"/>
              </w:rPr>
            </w:pPr>
          </w:p>
        </w:tc>
        <w:tc>
          <w:tcPr>
            <w:tcW w:w="1045" w:type="pct"/>
          </w:tcPr>
          <w:p w14:paraId="7D92F2CA">
            <w:pPr>
              <w:spacing w:line="300" w:lineRule="auto"/>
              <w:jc w:val="center"/>
              <w:rPr>
                <w:rFonts w:hint="eastAsia" w:ascii="宋体" w:hAnsi="宋体" w:eastAsia="宋体" w:cs="Times New Roman"/>
                <w:szCs w:val="21"/>
              </w:rPr>
            </w:pPr>
          </w:p>
        </w:tc>
        <w:tc>
          <w:tcPr>
            <w:tcW w:w="1035" w:type="pct"/>
          </w:tcPr>
          <w:p w14:paraId="09792819">
            <w:pPr>
              <w:spacing w:line="300" w:lineRule="auto"/>
              <w:jc w:val="center"/>
              <w:rPr>
                <w:rFonts w:hint="eastAsia" w:ascii="宋体" w:hAnsi="宋体" w:eastAsia="宋体" w:cs="Times New Roman"/>
                <w:szCs w:val="21"/>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4B4E99AA">
            <w:pPr>
              <w:spacing w:line="300" w:lineRule="auto"/>
              <w:rPr>
                <w:rFonts w:hint="eastAsia" w:ascii="宋体" w:hAnsi="宋体" w:eastAsia="宋体" w:cs="Times New Roman"/>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308085D1">
      <w:pPr>
        <w:widowControl/>
        <w:jc w:val="left"/>
        <w:rPr>
          <w:rFonts w:ascii="Calibri" w:hAnsi="Calibri" w:eastAsia="宋体" w:cs="Times New Roman"/>
          <w:kern w:val="0"/>
          <w:sz w:val="20"/>
          <w:szCs w:val="20"/>
          <w:lang w:eastAsia="zh-Hans"/>
        </w:rPr>
      </w:pPr>
    </w:p>
    <w:p w14:paraId="4D9A63D0">
      <w:pPr>
        <w:widowControl/>
        <w:jc w:val="left"/>
        <w:rPr>
          <w:rFonts w:ascii="Calibri" w:hAnsi="Calibri" w:eastAsia="宋体" w:cs="Times New Roman"/>
          <w:kern w:val="0"/>
          <w:sz w:val="20"/>
          <w:szCs w:val="20"/>
          <w:lang w:eastAsia="zh-Hans"/>
        </w:rPr>
      </w:pPr>
    </w:p>
    <w:p w14:paraId="4CEDCB9F">
      <w:pPr>
        <w:widowControl/>
        <w:jc w:val="left"/>
        <w:outlineLvl w:val="2"/>
        <w:rPr>
          <w:rFonts w:ascii="Calibri" w:hAnsi="Calibri" w:eastAsia="宋体" w:cs="Times New Roman"/>
          <w:b/>
          <w:kern w:val="0"/>
          <w:sz w:val="28"/>
          <w:szCs w:val="20"/>
        </w:rPr>
      </w:pPr>
    </w:p>
    <w:p w14:paraId="76EEE6F7">
      <w:pPr>
        <w:widowControl/>
        <w:spacing w:line="300" w:lineRule="auto"/>
        <w:jc w:val="left"/>
        <w:rPr>
          <w:rFonts w:hint="eastAsia" w:ascii="宋体" w:hAnsi="宋体" w:eastAsia="宋体" w:cs="Times New Roman"/>
          <w:kern w:val="0"/>
          <w:szCs w:val="21"/>
          <w:lang w:eastAsia="zh-Hans"/>
        </w:rPr>
      </w:pPr>
    </w:p>
    <w:p w14:paraId="2DB9C27D">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hint="eastAsia"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hint="eastAsia" w:ascii="宋体" w:hAnsi="宋体" w:eastAsia="宋体" w:cs="Times New Roman"/>
          <w:kern w:val="0"/>
          <w:szCs w:val="21"/>
          <w:lang w:eastAsia="zh-Hans"/>
        </w:rPr>
      </w:pPr>
      <w:bookmarkStart w:id="42"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42"/>
    </w:p>
    <w:p w14:paraId="4E9FCF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（以下格式文件由供应商根据需要选用）中小企业声明函（承接本项目服务为中小企业时提交本函，所属行业应符合采购文件中明确的本项目所属行业）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中小企业声明函（服务）</w:t>
      </w:r>
    </w:p>
    <w:p w14:paraId="329D60C6">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本公司郑重声明，根据《政府采购促进中小企业发展管理办法》（财库﹝2020﹞46号）的规定，本公司参加</w:t>
      </w:r>
      <w:r>
        <w:rPr>
          <w:rFonts w:ascii="宋体" w:hAnsi="宋体" w:eastAsia="宋体" w:cs="Times New Roman"/>
          <w:kern w:val="0"/>
          <w:szCs w:val="21"/>
          <w:u w:val="single"/>
          <w:lang w:eastAsia="zh-Hans"/>
        </w:rPr>
        <w:t>（</w:t>
      </w:r>
      <w:r>
        <w:rPr>
          <w:rFonts w:hint="eastAsia" w:ascii="宋体" w:hAnsi="宋体" w:eastAsia="宋体" w:cs="Times New Roman"/>
          <w:kern w:val="0"/>
          <w:szCs w:val="21"/>
          <w:u w:val="single"/>
          <w:lang w:eastAsia="zh-Hans"/>
        </w:rPr>
        <w:t>东莞市石龙镇社区卫生服务中心</w:t>
      </w:r>
      <w:r>
        <w:rPr>
          <w:rFonts w:ascii="宋体" w:hAnsi="宋体" w:eastAsia="宋体" w:cs="Times New Roman"/>
          <w:kern w:val="0"/>
          <w:szCs w:val="21"/>
          <w:u w:val="single"/>
          <w:lang w:eastAsia="zh-Hans"/>
        </w:rPr>
        <w:t>）</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w:t>
      </w:r>
      <w:r>
        <w:rPr>
          <w:rFonts w:hint="eastAsia" w:ascii="宋体" w:hAnsi="宋体" w:eastAsia="宋体" w:cs="Times New Roman"/>
          <w:kern w:val="0"/>
          <w:szCs w:val="21"/>
          <w:u w:val="single"/>
          <w:lang w:eastAsia="zh-Hans"/>
        </w:rPr>
        <w:t>东莞市石龙镇社区卫生服务中心食堂食材配送服务项目</w:t>
      </w:r>
      <w:r>
        <w:rPr>
          <w:rFonts w:ascii="宋体" w:hAnsi="宋体" w:eastAsia="宋体" w:cs="Times New Roman"/>
          <w:kern w:val="0"/>
          <w:szCs w:val="21"/>
          <w:u w:val="single"/>
          <w:lang w:eastAsia="zh-Hans"/>
        </w:rPr>
        <w:t>）</w:t>
      </w:r>
      <w:r>
        <w:rPr>
          <w:rFonts w:ascii="宋体" w:hAnsi="宋体" w:eastAsia="宋体" w:cs="Times New Roman"/>
          <w:kern w:val="0"/>
          <w:szCs w:val="21"/>
          <w:lang w:eastAsia="zh-Hans"/>
        </w:rPr>
        <w:t>采购活动，服务全部由符合政策要求的中小企业承接。具体情况如下：</w:t>
      </w:r>
    </w:p>
    <w:p w14:paraId="3C7DA1D7">
      <w:pPr>
        <w:widowControl/>
        <w:ind w:firstLine="420" w:firstLineChars="200"/>
        <w:jc w:val="left"/>
        <w:rPr>
          <w:rFonts w:hint="eastAsia" w:ascii="宋体" w:hAnsi="宋体" w:eastAsia="宋体" w:cs="Times New Roman"/>
          <w:kern w:val="0"/>
          <w:szCs w:val="21"/>
          <w:lang w:eastAsia="zh-CN"/>
        </w:rPr>
      </w:pPr>
    </w:p>
    <w:p w14:paraId="5A966398">
      <w:pPr>
        <w:widowControl/>
        <w:ind w:firstLine="420" w:firstLineChars="200"/>
        <w:jc w:val="left"/>
        <w:rPr>
          <w:rFonts w:hint="eastAsia" w:ascii="宋体" w:hAnsi="宋体" w:eastAsia="宋体" w:cs="Times New Roman"/>
          <w:kern w:val="0"/>
          <w:szCs w:val="21"/>
          <w:lang w:eastAsia="zh-CN"/>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w:t>
      </w:r>
      <w:r>
        <w:rPr>
          <w:rFonts w:hint="eastAsia" w:ascii="宋体" w:hAnsi="宋体" w:eastAsia="宋体" w:cs="Times New Roman"/>
          <w:kern w:val="0"/>
          <w:szCs w:val="21"/>
          <w:u w:val="single"/>
          <w:lang w:val="en-US" w:eastAsia="zh-CN"/>
        </w:rPr>
        <w:t>食材配送服务</w:t>
      </w:r>
      <w:r>
        <w:rPr>
          <w:rFonts w:ascii="宋体" w:hAnsi="宋体" w:eastAsia="宋体" w:cs="Times New Roman"/>
          <w:kern w:val="0"/>
          <w:szCs w:val="21"/>
          <w:u w:val="single"/>
          <w:lang w:eastAsia="zh-Hans"/>
        </w:rPr>
        <w:t>）</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w:t>
      </w:r>
      <w:r>
        <w:rPr>
          <w:rFonts w:hint="eastAsia" w:ascii="宋体" w:hAnsi="宋体" w:eastAsia="宋体" w:cs="Times New Roman"/>
          <w:kern w:val="0"/>
          <w:szCs w:val="21"/>
          <w:u w:val="single"/>
          <w:lang w:val="en-US" w:eastAsia="zh-CN"/>
        </w:rPr>
        <w:t>批发业</w:t>
      </w:r>
      <w:r>
        <w:rPr>
          <w:rFonts w:ascii="宋体" w:hAnsi="宋体" w:eastAsia="宋体" w:cs="Times New Roman"/>
          <w:kern w:val="0"/>
          <w:szCs w:val="21"/>
          <w:u w:val="single"/>
          <w:lang w:eastAsia="zh-Hans"/>
        </w:rPr>
        <w:t>）</w:t>
      </w:r>
      <w:r>
        <w:rPr>
          <w:rFonts w:ascii="宋体" w:hAnsi="宋体" w:eastAsia="宋体" w:cs="Times New Roman"/>
          <w:kern w:val="0"/>
          <w:szCs w:val="21"/>
          <w:lang w:eastAsia="zh-Hans"/>
        </w:rPr>
        <w:t>行业；承接企业为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w:t>
      </w:r>
      <w:r>
        <w:rPr>
          <w:rFonts w:hint="eastAsia" w:ascii="宋体" w:hAnsi="宋体" w:eastAsia="宋体" w:cs="宋体"/>
          <w:color w:val="auto"/>
          <w:kern w:val="0"/>
          <w:szCs w:val="21"/>
          <w:highlight w:val="none"/>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hint="eastAsia" w:ascii="宋体" w:hAnsi="宋体" w:eastAsia="宋体" w:cs="Times New Roman"/>
          <w:kern w:val="0"/>
          <w:szCs w:val="21"/>
          <w:lang w:eastAsia="zh-CN"/>
        </w:rPr>
        <w:t>。</w:t>
      </w:r>
    </w:p>
    <w:p w14:paraId="44B4A11A">
      <w:pPr>
        <w:widowControl/>
        <w:ind w:firstLine="420" w:firstLineChars="200"/>
        <w:jc w:val="left"/>
        <w:rPr>
          <w:rFonts w:ascii="宋体" w:hAnsi="宋体" w:eastAsia="宋体" w:cs="Times New Roman"/>
          <w:kern w:val="0"/>
          <w:szCs w:val="21"/>
          <w:lang w:eastAsia="zh-Hans"/>
        </w:rPr>
      </w:pPr>
    </w:p>
    <w:p w14:paraId="58590A9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21324415">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4BC5F13">
      <w:pPr>
        <w:widowControl/>
        <w:spacing w:before="3045" w:beforeLines="7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1CB4C9D5">
      <w:pPr>
        <w:pageBreakBefore/>
        <w:rPr>
          <w:rFonts w:hint="eastAsia" w:ascii="宋体" w:hAnsi="宋体" w:eastAsia="宋体" w:cs="Times New Roman"/>
          <w:kern w:val="0"/>
          <w:szCs w:val="21"/>
          <w:lang w:eastAsia="zh-Hans"/>
        </w:rPr>
      </w:pPr>
      <w:bookmarkStart w:id="43"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43"/>
    </w:p>
    <w:p w14:paraId="5EAFA4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hint="eastAsia" w:ascii="宋体" w:hAnsi="宋体" w:eastAsia="宋体" w:cs="Times New Roman"/>
          <w:kern w:val="0"/>
          <w:szCs w:val="21"/>
          <w:lang w:eastAsia="zh-Hans"/>
        </w:rPr>
      </w:pPr>
    </w:p>
    <w:p w14:paraId="452DC3D0">
      <w:pPr>
        <w:keepLines/>
        <w:spacing w:before="652" w:beforeLines="150"/>
        <w:rPr>
          <w:rFonts w:hint="eastAsia" w:ascii="宋体" w:hAnsi="宋体" w:eastAsia="宋体" w:cs="Times New Roman"/>
          <w:kern w:val="0"/>
          <w:szCs w:val="21"/>
          <w:lang w:eastAsia="zh-Hans"/>
        </w:rPr>
      </w:pPr>
      <w:bookmarkStart w:id="44" w:name="_Toc169799792"/>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44"/>
    </w:p>
    <w:p w14:paraId="07BDD4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45"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45"/>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hint="eastAsia" w:ascii="宋体" w:hAnsi="宋体" w:eastAsia="宋体" w:cs="Times New Roman"/>
                <w:szCs w:val="21"/>
              </w:rPr>
            </w:pPr>
          </w:p>
        </w:tc>
        <w:tc>
          <w:tcPr>
            <w:tcW w:w="614" w:type="pct"/>
            <w:vAlign w:val="center"/>
          </w:tcPr>
          <w:p w14:paraId="295FC0F8">
            <w:pPr>
              <w:jc w:val="center"/>
              <w:rPr>
                <w:rFonts w:hint="eastAsia" w:ascii="宋体" w:hAnsi="宋体" w:eastAsia="宋体" w:cs="Times New Roman"/>
                <w:szCs w:val="21"/>
              </w:rPr>
            </w:pPr>
          </w:p>
        </w:tc>
        <w:tc>
          <w:tcPr>
            <w:tcW w:w="614" w:type="pct"/>
            <w:vAlign w:val="center"/>
          </w:tcPr>
          <w:p w14:paraId="597AAA28">
            <w:pPr>
              <w:jc w:val="center"/>
              <w:rPr>
                <w:rFonts w:hint="eastAsia" w:ascii="宋体" w:hAnsi="宋体" w:eastAsia="宋体" w:cs="Times New Roman"/>
                <w:szCs w:val="21"/>
              </w:rPr>
            </w:pPr>
          </w:p>
        </w:tc>
        <w:tc>
          <w:tcPr>
            <w:tcW w:w="613" w:type="pct"/>
            <w:vAlign w:val="center"/>
          </w:tcPr>
          <w:p w14:paraId="51DEA5FC">
            <w:pPr>
              <w:jc w:val="center"/>
              <w:rPr>
                <w:rFonts w:hint="eastAsia" w:ascii="宋体" w:hAnsi="宋体" w:eastAsia="宋体" w:cs="Times New Roman"/>
                <w:szCs w:val="21"/>
              </w:rPr>
            </w:pPr>
          </w:p>
        </w:tc>
        <w:tc>
          <w:tcPr>
            <w:tcW w:w="614" w:type="pct"/>
            <w:vAlign w:val="center"/>
          </w:tcPr>
          <w:p w14:paraId="65928C23">
            <w:pPr>
              <w:jc w:val="center"/>
              <w:rPr>
                <w:rFonts w:hint="eastAsia" w:ascii="宋体" w:hAnsi="宋体" w:eastAsia="宋体" w:cs="Times New Roman"/>
                <w:szCs w:val="21"/>
              </w:rPr>
            </w:pPr>
          </w:p>
        </w:tc>
        <w:tc>
          <w:tcPr>
            <w:tcW w:w="540" w:type="pct"/>
            <w:vAlign w:val="center"/>
          </w:tcPr>
          <w:p w14:paraId="42170184">
            <w:pPr>
              <w:jc w:val="center"/>
              <w:rPr>
                <w:rFonts w:hint="eastAsia" w:ascii="宋体" w:hAnsi="宋体" w:eastAsia="宋体" w:cs="Times New Roman"/>
                <w:szCs w:val="21"/>
              </w:rPr>
            </w:pPr>
          </w:p>
        </w:tc>
        <w:tc>
          <w:tcPr>
            <w:tcW w:w="624" w:type="pct"/>
            <w:vAlign w:val="center"/>
          </w:tcPr>
          <w:p w14:paraId="07A206E3">
            <w:pPr>
              <w:jc w:val="center"/>
              <w:rPr>
                <w:rFonts w:hint="eastAsia"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hint="eastAsia" w:ascii="宋体" w:hAnsi="宋体" w:eastAsia="宋体" w:cs="Times New Roman"/>
                <w:szCs w:val="21"/>
              </w:rPr>
            </w:pPr>
          </w:p>
        </w:tc>
        <w:tc>
          <w:tcPr>
            <w:tcW w:w="614" w:type="pct"/>
            <w:vAlign w:val="center"/>
          </w:tcPr>
          <w:p w14:paraId="1BD6BB28">
            <w:pPr>
              <w:jc w:val="center"/>
              <w:rPr>
                <w:rFonts w:hint="eastAsia" w:ascii="宋体" w:hAnsi="宋体" w:eastAsia="宋体" w:cs="Times New Roman"/>
                <w:szCs w:val="21"/>
              </w:rPr>
            </w:pPr>
          </w:p>
        </w:tc>
        <w:tc>
          <w:tcPr>
            <w:tcW w:w="614" w:type="pct"/>
            <w:vAlign w:val="center"/>
          </w:tcPr>
          <w:p w14:paraId="17D6A5CE">
            <w:pPr>
              <w:jc w:val="center"/>
              <w:rPr>
                <w:rFonts w:hint="eastAsia" w:ascii="宋体" w:hAnsi="宋体" w:eastAsia="宋体" w:cs="Times New Roman"/>
                <w:szCs w:val="21"/>
              </w:rPr>
            </w:pPr>
          </w:p>
        </w:tc>
        <w:tc>
          <w:tcPr>
            <w:tcW w:w="613" w:type="pct"/>
            <w:vAlign w:val="center"/>
          </w:tcPr>
          <w:p w14:paraId="20A39320">
            <w:pPr>
              <w:jc w:val="center"/>
              <w:rPr>
                <w:rFonts w:hint="eastAsia" w:ascii="宋体" w:hAnsi="宋体" w:eastAsia="宋体" w:cs="Times New Roman"/>
                <w:szCs w:val="21"/>
              </w:rPr>
            </w:pPr>
          </w:p>
        </w:tc>
        <w:tc>
          <w:tcPr>
            <w:tcW w:w="614" w:type="pct"/>
            <w:vAlign w:val="center"/>
          </w:tcPr>
          <w:p w14:paraId="3E4FEA72">
            <w:pPr>
              <w:jc w:val="center"/>
              <w:rPr>
                <w:rFonts w:hint="eastAsia" w:ascii="宋体" w:hAnsi="宋体" w:eastAsia="宋体" w:cs="Times New Roman"/>
                <w:szCs w:val="21"/>
              </w:rPr>
            </w:pPr>
          </w:p>
        </w:tc>
        <w:tc>
          <w:tcPr>
            <w:tcW w:w="540" w:type="pct"/>
            <w:vAlign w:val="center"/>
          </w:tcPr>
          <w:p w14:paraId="1AE1FD9E">
            <w:pPr>
              <w:jc w:val="center"/>
              <w:rPr>
                <w:rFonts w:hint="eastAsia" w:ascii="宋体" w:hAnsi="宋体" w:eastAsia="宋体" w:cs="Times New Roman"/>
                <w:szCs w:val="21"/>
              </w:rPr>
            </w:pPr>
          </w:p>
        </w:tc>
        <w:tc>
          <w:tcPr>
            <w:tcW w:w="624" w:type="pct"/>
            <w:vAlign w:val="center"/>
          </w:tcPr>
          <w:p w14:paraId="6ACB66F2">
            <w:pPr>
              <w:jc w:val="center"/>
              <w:rPr>
                <w:rFonts w:hint="eastAsia"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hint="eastAsia" w:ascii="宋体" w:hAnsi="宋体" w:eastAsia="宋体" w:cs="Times New Roman"/>
                <w:szCs w:val="21"/>
              </w:rPr>
            </w:pPr>
          </w:p>
        </w:tc>
        <w:tc>
          <w:tcPr>
            <w:tcW w:w="614" w:type="pct"/>
            <w:vAlign w:val="center"/>
          </w:tcPr>
          <w:p w14:paraId="2F57FD87">
            <w:pPr>
              <w:jc w:val="center"/>
              <w:rPr>
                <w:rFonts w:hint="eastAsia" w:ascii="宋体" w:hAnsi="宋体" w:eastAsia="宋体" w:cs="Times New Roman"/>
                <w:szCs w:val="21"/>
              </w:rPr>
            </w:pPr>
          </w:p>
        </w:tc>
        <w:tc>
          <w:tcPr>
            <w:tcW w:w="614" w:type="pct"/>
            <w:vAlign w:val="center"/>
          </w:tcPr>
          <w:p w14:paraId="5DA5E17C">
            <w:pPr>
              <w:jc w:val="center"/>
              <w:rPr>
                <w:rFonts w:hint="eastAsia" w:ascii="宋体" w:hAnsi="宋体" w:eastAsia="宋体" w:cs="Times New Roman"/>
                <w:szCs w:val="21"/>
              </w:rPr>
            </w:pPr>
          </w:p>
        </w:tc>
        <w:tc>
          <w:tcPr>
            <w:tcW w:w="613" w:type="pct"/>
            <w:vAlign w:val="center"/>
          </w:tcPr>
          <w:p w14:paraId="3FC829CA">
            <w:pPr>
              <w:jc w:val="center"/>
              <w:rPr>
                <w:rFonts w:hint="eastAsia" w:ascii="宋体" w:hAnsi="宋体" w:eastAsia="宋体" w:cs="Times New Roman"/>
                <w:szCs w:val="21"/>
              </w:rPr>
            </w:pPr>
          </w:p>
        </w:tc>
        <w:tc>
          <w:tcPr>
            <w:tcW w:w="614" w:type="pct"/>
            <w:vAlign w:val="center"/>
          </w:tcPr>
          <w:p w14:paraId="7CF7F8C1">
            <w:pPr>
              <w:jc w:val="center"/>
              <w:rPr>
                <w:rFonts w:hint="eastAsia" w:ascii="宋体" w:hAnsi="宋体" w:eastAsia="宋体" w:cs="Times New Roman"/>
                <w:szCs w:val="21"/>
              </w:rPr>
            </w:pPr>
          </w:p>
        </w:tc>
        <w:tc>
          <w:tcPr>
            <w:tcW w:w="540" w:type="pct"/>
            <w:vAlign w:val="center"/>
          </w:tcPr>
          <w:p w14:paraId="500F042A">
            <w:pPr>
              <w:jc w:val="center"/>
              <w:rPr>
                <w:rFonts w:hint="eastAsia" w:ascii="宋体" w:hAnsi="宋体" w:eastAsia="宋体" w:cs="Times New Roman"/>
                <w:szCs w:val="21"/>
              </w:rPr>
            </w:pPr>
          </w:p>
        </w:tc>
        <w:tc>
          <w:tcPr>
            <w:tcW w:w="624" w:type="pct"/>
            <w:vAlign w:val="center"/>
          </w:tcPr>
          <w:p w14:paraId="6B1FA96E">
            <w:pPr>
              <w:jc w:val="center"/>
              <w:rPr>
                <w:rFonts w:hint="eastAsia"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hint="eastAsia" w:ascii="宋体" w:hAnsi="宋体" w:eastAsia="宋体" w:cs="Times New Roman"/>
                <w:szCs w:val="21"/>
              </w:rPr>
            </w:pPr>
          </w:p>
        </w:tc>
        <w:tc>
          <w:tcPr>
            <w:tcW w:w="614" w:type="pct"/>
            <w:vAlign w:val="center"/>
          </w:tcPr>
          <w:p w14:paraId="7850C18C">
            <w:pPr>
              <w:jc w:val="center"/>
              <w:rPr>
                <w:rFonts w:hint="eastAsia" w:ascii="宋体" w:hAnsi="宋体" w:eastAsia="宋体" w:cs="Times New Roman"/>
                <w:szCs w:val="21"/>
              </w:rPr>
            </w:pPr>
          </w:p>
        </w:tc>
        <w:tc>
          <w:tcPr>
            <w:tcW w:w="614" w:type="pct"/>
            <w:vAlign w:val="center"/>
          </w:tcPr>
          <w:p w14:paraId="4D1E06C1">
            <w:pPr>
              <w:jc w:val="center"/>
              <w:rPr>
                <w:rFonts w:hint="eastAsia" w:ascii="宋体" w:hAnsi="宋体" w:eastAsia="宋体" w:cs="Times New Roman"/>
                <w:szCs w:val="21"/>
              </w:rPr>
            </w:pPr>
          </w:p>
        </w:tc>
        <w:tc>
          <w:tcPr>
            <w:tcW w:w="613" w:type="pct"/>
            <w:vAlign w:val="center"/>
          </w:tcPr>
          <w:p w14:paraId="13F5ED5D">
            <w:pPr>
              <w:jc w:val="center"/>
              <w:rPr>
                <w:rFonts w:hint="eastAsia" w:ascii="宋体" w:hAnsi="宋体" w:eastAsia="宋体" w:cs="Times New Roman"/>
                <w:szCs w:val="21"/>
              </w:rPr>
            </w:pPr>
          </w:p>
        </w:tc>
        <w:tc>
          <w:tcPr>
            <w:tcW w:w="614" w:type="pct"/>
            <w:vAlign w:val="center"/>
          </w:tcPr>
          <w:p w14:paraId="5C9FB4B1">
            <w:pPr>
              <w:jc w:val="center"/>
              <w:rPr>
                <w:rFonts w:hint="eastAsia" w:ascii="宋体" w:hAnsi="宋体" w:eastAsia="宋体" w:cs="Times New Roman"/>
                <w:szCs w:val="21"/>
              </w:rPr>
            </w:pPr>
          </w:p>
        </w:tc>
        <w:tc>
          <w:tcPr>
            <w:tcW w:w="540" w:type="pct"/>
            <w:vAlign w:val="center"/>
          </w:tcPr>
          <w:p w14:paraId="75E3D512">
            <w:pPr>
              <w:jc w:val="center"/>
              <w:rPr>
                <w:rFonts w:hint="eastAsia" w:ascii="宋体" w:hAnsi="宋体" w:eastAsia="宋体" w:cs="Times New Roman"/>
                <w:szCs w:val="21"/>
              </w:rPr>
            </w:pPr>
          </w:p>
        </w:tc>
        <w:tc>
          <w:tcPr>
            <w:tcW w:w="624" w:type="pct"/>
            <w:vAlign w:val="center"/>
          </w:tcPr>
          <w:p w14:paraId="40720D86">
            <w:pPr>
              <w:jc w:val="center"/>
              <w:rPr>
                <w:rFonts w:hint="eastAsia"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hint="eastAsia" w:ascii="宋体" w:hAnsi="宋体" w:eastAsia="宋体" w:cs="Times New Roman"/>
                <w:szCs w:val="21"/>
              </w:rPr>
            </w:pPr>
          </w:p>
        </w:tc>
        <w:tc>
          <w:tcPr>
            <w:tcW w:w="614" w:type="pct"/>
            <w:vAlign w:val="center"/>
          </w:tcPr>
          <w:p w14:paraId="2407CAEF">
            <w:pPr>
              <w:jc w:val="center"/>
              <w:rPr>
                <w:rFonts w:hint="eastAsia" w:ascii="宋体" w:hAnsi="宋体" w:eastAsia="宋体" w:cs="Times New Roman"/>
                <w:szCs w:val="21"/>
              </w:rPr>
            </w:pPr>
          </w:p>
        </w:tc>
        <w:tc>
          <w:tcPr>
            <w:tcW w:w="614" w:type="pct"/>
            <w:vAlign w:val="center"/>
          </w:tcPr>
          <w:p w14:paraId="5A00E673">
            <w:pPr>
              <w:jc w:val="center"/>
              <w:rPr>
                <w:rFonts w:hint="eastAsia" w:ascii="宋体" w:hAnsi="宋体" w:eastAsia="宋体" w:cs="Times New Roman"/>
                <w:szCs w:val="21"/>
              </w:rPr>
            </w:pPr>
          </w:p>
        </w:tc>
        <w:tc>
          <w:tcPr>
            <w:tcW w:w="613" w:type="pct"/>
            <w:vAlign w:val="center"/>
          </w:tcPr>
          <w:p w14:paraId="6F95A962">
            <w:pPr>
              <w:jc w:val="center"/>
              <w:rPr>
                <w:rFonts w:hint="eastAsia" w:ascii="宋体" w:hAnsi="宋体" w:eastAsia="宋体" w:cs="Times New Roman"/>
                <w:szCs w:val="21"/>
              </w:rPr>
            </w:pPr>
          </w:p>
        </w:tc>
        <w:tc>
          <w:tcPr>
            <w:tcW w:w="614" w:type="pct"/>
            <w:vAlign w:val="center"/>
          </w:tcPr>
          <w:p w14:paraId="5B900C1C">
            <w:pPr>
              <w:jc w:val="center"/>
              <w:rPr>
                <w:rFonts w:hint="eastAsia" w:ascii="宋体" w:hAnsi="宋体" w:eastAsia="宋体" w:cs="Times New Roman"/>
                <w:szCs w:val="21"/>
              </w:rPr>
            </w:pPr>
          </w:p>
        </w:tc>
        <w:tc>
          <w:tcPr>
            <w:tcW w:w="540" w:type="pct"/>
            <w:vAlign w:val="center"/>
          </w:tcPr>
          <w:p w14:paraId="402D8396">
            <w:pPr>
              <w:jc w:val="center"/>
              <w:rPr>
                <w:rFonts w:hint="eastAsia" w:ascii="宋体" w:hAnsi="宋体" w:eastAsia="宋体" w:cs="Times New Roman"/>
                <w:szCs w:val="21"/>
              </w:rPr>
            </w:pPr>
          </w:p>
        </w:tc>
        <w:tc>
          <w:tcPr>
            <w:tcW w:w="624" w:type="pct"/>
            <w:vAlign w:val="center"/>
          </w:tcPr>
          <w:p w14:paraId="2D1DDD2C">
            <w:pPr>
              <w:jc w:val="center"/>
              <w:rPr>
                <w:rFonts w:hint="eastAsia"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hint="eastAsia" w:ascii="宋体" w:hAnsi="宋体" w:eastAsia="宋体" w:cs="Times New Roman"/>
                <w:szCs w:val="21"/>
              </w:rPr>
            </w:pPr>
          </w:p>
        </w:tc>
        <w:tc>
          <w:tcPr>
            <w:tcW w:w="614" w:type="pct"/>
            <w:vAlign w:val="center"/>
          </w:tcPr>
          <w:p w14:paraId="27D1A15B">
            <w:pPr>
              <w:jc w:val="center"/>
              <w:rPr>
                <w:rFonts w:hint="eastAsia" w:ascii="宋体" w:hAnsi="宋体" w:eastAsia="宋体" w:cs="Times New Roman"/>
                <w:szCs w:val="21"/>
              </w:rPr>
            </w:pPr>
          </w:p>
        </w:tc>
        <w:tc>
          <w:tcPr>
            <w:tcW w:w="614" w:type="pct"/>
            <w:vAlign w:val="center"/>
          </w:tcPr>
          <w:p w14:paraId="3027D961">
            <w:pPr>
              <w:jc w:val="center"/>
              <w:rPr>
                <w:rFonts w:hint="eastAsia" w:ascii="宋体" w:hAnsi="宋体" w:eastAsia="宋体" w:cs="Times New Roman"/>
                <w:szCs w:val="21"/>
              </w:rPr>
            </w:pPr>
          </w:p>
        </w:tc>
        <w:tc>
          <w:tcPr>
            <w:tcW w:w="613" w:type="pct"/>
            <w:vAlign w:val="center"/>
          </w:tcPr>
          <w:p w14:paraId="03CB365C">
            <w:pPr>
              <w:jc w:val="center"/>
              <w:rPr>
                <w:rFonts w:hint="eastAsia" w:ascii="宋体" w:hAnsi="宋体" w:eastAsia="宋体" w:cs="Times New Roman"/>
                <w:szCs w:val="21"/>
              </w:rPr>
            </w:pPr>
          </w:p>
        </w:tc>
        <w:tc>
          <w:tcPr>
            <w:tcW w:w="614" w:type="pct"/>
            <w:vAlign w:val="center"/>
          </w:tcPr>
          <w:p w14:paraId="25F10BEA">
            <w:pPr>
              <w:jc w:val="center"/>
              <w:rPr>
                <w:rFonts w:hint="eastAsia" w:ascii="宋体" w:hAnsi="宋体" w:eastAsia="宋体" w:cs="Times New Roman"/>
                <w:szCs w:val="21"/>
              </w:rPr>
            </w:pPr>
          </w:p>
        </w:tc>
        <w:tc>
          <w:tcPr>
            <w:tcW w:w="540" w:type="pct"/>
            <w:vAlign w:val="center"/>
          </w:tcPr>
          <w:p w14:paraId="2B62D518">
            <w:pPr>
              <w:jc w:val="center"/>
              <w:rPr>
                <w:rFonts w:hint="eastAsia" w:ascii="宋体" w:hAnsi="宋体" w:eastAsia="宋体" w:cs="Times New Roman"/>
                <w:szCs w:val="21"/>
              </w:rPr>
            </w:pPr>
          </w:p>
        </w:tc>
        <w:tc>
          <w:tcPr>
            <w:tcW w:w="624" w:type="pct"/>
            <w:vAlign w:val="center"/>
          </w:tcPr>
          <w:p w14:paraId="0995BF55">
            <w:pPr>
              <w:jc w:val="center"/>
              <w:rPr>
                <w:rFonts w:hint="eastAsia" w:ascii="宋体" w:hAnsi="宋体" w:eastAsia="宋体" w:cs="Times New Roman"/>
                <w:szCs w:val="21"/>
              </w:rPr>
            </w:pPr>
          </w:p>
        </w:tc>
      </w:tr>
    </w:tbl>
    <w:p w14:paraId="3C9B692E">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hint="eastAsia"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hint="eastAsia" w:ascii="宋体" w:hAnsi="宋体" w:eastAsia="宋体" w:cs="Times New Roman"/>
          <w:kern w:val="0"/>
          <w:szCs w:val="21"/>
          <w:lang w:eastAsia="zh-Hans"/>
        </w:rPr>
      </w:pPr>
      <w:bookmarkStart w:id="46"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hint="eastAsia"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6"/>
    </w:p>
    <w:p w14:paraId="637B47E6">
      <w:pPr>
        <w:pageBreakBefore/>
        <w:rPr>
          <w:rFonts w:ascii="Calibri" w:hAnsi="Calibri" w:eastAsia="宋体" w:cs="Times New Roman"/>
          <w:kern w:val="0"/>
          <w:sz w:val="20"/>
          <w:szCs w:val="20"/>
          <w:lang w:eastAsia="zh-Hans"/>
        </w:rPr>
      </w:pPr>
      <w:bookmarkStart w:id="47"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47"/>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hint="eastAsia" w:ascii="宋体" w:hAnsi="宋体" w:eastAsia="宋体"/>
          <w:szCs w:val="21"/>
        </w:rPr>
      </w:pPr>
    </w:p>
    <w:p w14:paraId="516D0C36">
      <w:pPr>
        <w:spacing w:before="217" w:beforeLines="50" w:after="217" w:afterLines="50" w:line="360" w:lineRule="auto"/>
        <w:rPr>
          <w:rFonts w:hint="eastAsia"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8"/>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74B7B39E">
            <w:pPr>
              <w:pStyle w:val="28"/>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48"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48"/>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hint="eastAsia"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8"/>
        <w:spacing w:line="360" w:lineRule="auto"/>
        <w:ind w:firstLine="450" w:firstLineChars="0"/>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8"/>
        <w:spacing w:line="360" w:lineRule="auto"/>
        <w:ind w:firstLine="428" w:firstLineChars="204"/>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8"/>
        <w:spacing w:line="360" w:lineRule="auto"/>
        <w:ind w:firstLine="0" w:firstLineChars="0"/>
        <w:rPr>
          <w:rFonts w:hint="eastAsia"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8"/>
        <w:spacing w:line="360" w:lineRule="auto"/>
        <w:ind w:firstLine="0" w:firstLineChars="0"/>
        <w:rPr>
          <w:rFonts w:hint="eastAsia" w:ascii="宋体" w:eastAsia="宋体"/>
          <w:color w:val="000000" w:themeColor="text1"/>
          <w:sz w:val="21"/>
          <w:szCs w:val="21"/>
          <w14:textFill>
            <w14:solidFill>
              <w14:schemeClr w14:val="tx1"/>
            </w14:solidFill>
          </w14:textFill>
        </w:rPr>
      </w:pPr>
    </w:p>
    <w:p w14:paraId="61B7A769">
      <w:pPr>
        <w:spacing w:after="217" w:after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8"/>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8"/>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hint="eastAsia" w:ascii="宋体" w:hAnsi="宋体" w:eastAsia="宋体"/>
          <w:b/>
          <w:bCs/>
        </w:rPr>
      </w:pPr>
      <w:r>
        <w:rPr>
          <w:rFonts w:hint="eastAsia" w:ascii="宋体" w:hAnsi="宋体" w:eastAsia="宋体"/>
          <w:b/>
          <w:bCs/>
          <w:sz w:val="24"/>
          <w:szCs w:val="28"/>
        </w:rPr>
        <w:t>格式十：</w:t>
      </w:r>
    </w:p>
    <w:p w14:paraId="6E50D479">
      <w:pPr>
        <w:spacing w:before="217" w:beforeLines="50" w:after="435" w:afterLines="100" w:line="360" w:lineRule="auto"/>
        <w:jc w:val="center"/>
        <w:rPr>
          <w:rFonts w:hint="eastAsia"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5"/>
        <w:widowControl/>
        <w:numPr>
          <w:ilvl w:val="0"/>
          <w:numId w:val="12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hint="eastAsia" w:ascii="宋体" w:hAnsi="宋体" w:eastAsia="宋体" w:cs="Times New Roman"/>
          <w:szCs w:val="21"/>
        </w:rPr>
      </w:pPr>
    </w:p>
    <w:p w14:paraId="076116A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hint="eastAsia"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49" w:name="_Toc169799798"/>
      <w:r>
        <w:rPr>
          <w:rFonts w:ascii="宋体" w:hAnsi="宋体" w:eastAsia="宋体"/>
          <w:b/>
          <w:bCs/>
          <w:sz w:val="24"/>
          <w:szCs w:val="28"/>
        </w:rPr>
        <w:t>格式</w:t>
      </w:r>
      <w:r>
        <w:rPr>
          <w:rFonts w:hint="eastAsia" w:ascii="宋体" w:hAnsi="宋体" w:eastAsia="宋体"/>
          <w:b/>
          <w:bCs/>
          <w:sz w:val="24"/>
          <w:szCs w:val="28"/>
          <w:lang w:val="en-US" w:eastAsia="zh-CN"/>
        </w:rPr>
        <w:t>十一</w:t>
      </w:r>
      <w:r>
        <w:rPr>
          <w:rFonts w:ascii="宋体" w:hAnsi="宋体" w:eastAsia="宋体"/>
          <w:b/>
          <w:bCs/>
          <w:sz w:val="24"/>
          <w:szCs w:val="28"/>
        </w:rPr>
        <w:t>：</w:t>
      </w:r>
      <w:bookmarkEnd w:id="49"/>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hint="eastAsia" w:ascii="宋体" w:hAnsi="宋体" w:eastAsia="宋体"/>
          <w:b/>
          <w:bCs/>
        </w:rPr>
      </w:pPr>
      <w:bookmarkStart w:id="50" w:name="_Toc391627770"/>
      <w:bookmarkStart w:id="51" w:name="_Toc405313974"/>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0B1632C9">
      <w:pPr>
        <w:spacing w:after="217" w:afterLines="50" w:line="360" w:lineRule="auto"/>
        <w:jc w:val="center"/>
        <w:rPr>
          <w:rFonts w:hint="eastAsia"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hint="eastAsia"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hint="eastAsia"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hint="eastAsia"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hint="eastAsia"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szCs w:val="21"/>
              </w:rPr>
            </w:pPr>
          </w:p>
        </w:tc>
        <w:tc>
          <w:tcPr>
            <w:tcW w:w="1563" w:type="pct"/>
            <w:vAlign w:val="center"/>
          </w:tcPr>
          <w:p w14:paraId="6B01071C">
            <w:pPr>
              <w:jc w:val="center"/>
              <w:rPr>
                <w:rFonts w:hint="eastAsia" w:ascii="宋体" w:hAnsi="宋体" w:eastAsia="宋体"/>
                <w:szCs w:val="21"/>
              </w:rPr>
            </w:pPr>
          </w:p>
        </w:tc>
        <w:tc>
          <w:tcPr>
            <w:tcW w:w="1164" w:type="pct"/>
            <w:vAlign w:val="center"/>
          </w:tcPr>
          <w:p w14:paraId="217AAAA0">
            <w:pPr>
              <w:jc w:val="center"/>
              <w:rPr>
                <w:rFonts w:hint="eastAsia" w:ascii="宋体" w:hAnsi="宋体" w:eastAsia="宋体"/>
                <w:szCs w:val="21"/>
              </w:rPr>
            </w:pPr>
          </w:p>
        </w:tc>
        <w:tc>
          <w:tcPr>
            <w:tcW w:w="732" w:type="pct"/>
            <w:vAlign w:val="center"/>
          </w:tcPr>
          <w:p w14:paraId="79F085ED">
            <w:pPr>
              <w:jc w:val="center"/>
              <w:rPr>
                <w:rFonts w:hint="eastAsia" w:ascii="宋体" w:hAnsi="宋体" w:eastAsia="宋体"/>
                <w:szCs w:val="21"/>
              </w:rPr>
            </w:pPr>
          </w:p>
        </w:tc>
        <w:tc>
          <w:tcPr>
            <w:tcW w:w="1009" w:type="pct"/>
            <w:vAlign w:val="center"/>
          </w:tcPr>
          <w:p w14:paraId="1B4ED215">
            <w:pPr>
              <w:jc w:val="center"/>
              <w:rPr>
                <w:rFonts w:hint="eastAsia"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szCs w:val="21"/>
              </w:rPr>
            </w:pPr>
          </w:p>
        </w:tc>
        <w:tc>
          <w:tcPr>
            <w:tcW w:w="1563" w:type="pct"/>
            <w:vAlign w:val="center"/>
          </w:tcPr>
          <w:p w14:paraId="52011562">
            <w:pPr>
              <w:jc w:val="center"/>
              <w:rPr>
                <w:rFonts w:hint="eastAsia" w:ascii="宋体" w:hAnsi="宋体" w:eastAsia="宋体"/>
                <w:szCs w:val="21"/>
              </w:rPr>
            </w:pPr>
          </w:p>
        </w:tc>
        <w:tc>
          <w:tcPr>
            <w:tcW w:w="1164" w:type="pct"/>
            <w:vAlign w:val="center"/>
          </w:tcPr>
          <w:p w14:paraId="0E9E40B3">
            <w:pPr>
              <w:jc w:val="center"/>
              <w:rPr>
                <w:rFonts w:hint="eastAsia" w:ascii="宋体" w:hAnsi="宋体" w:eastAsia="宋体"/>
                <w:szCs w:val="21"/>
              </w:rPr>
            </w:pPr>
          </w:p>
        </w:tc>
        <w:tc>
          <w:tcPr>
            <w:tcW w:w="732" w:type="pct"/>
            <w:vAlign w:val="center"/>
          </w:tcPr>
          <w:p w14:paraId="6824BC50">
            <w:pPr>
              <w:jc w:val="center"/>
              <w:rPr>
                <w:rFonts w:hint="eastAsia" w:ascii="宋体" w:hAnsi="宋体" w:eastAsia="宋体"/>
                <w:szCs w:val="21"/>
              </w:rPr>
            </w:pPr>
          </w:p>
        </w:tc>
        <w:tc>
          <w:tcPr>
            <w:tcW w:w="1009" w:type="pct"/>
            <w:vAlign w:val="center"/>
          </w:tcPr>
          <w:p w14:paraId="6459261F">
            <w:pPr>
              <w:jc w:val="center"/>
              <w:rPr>
                <w:rFonts w:hint="eastAsia"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szCs w:val="21"/>
              </w:rPr>
            </w:pPr>
          </w:p>
        </w:tc>
        <w:tc>
          <w:tcPr>
            <w:tcW w:w="1563" w:type="pct"/>
            <w:vAlign w:val="center"/>
          </w:tcPr>
          <w:p w14:paraId="1565DAD5">
            <w:pPr>
              <w:jc w:val="center"/>
              <w:rPr>
                <w:rFonts w:hint="eastAsia" w:ascii="宋体" w:hAnsi="宋体" w:eastAsia="宋体"/>
                <w:szCs w:val="21"/>
              </w:rPr>
            </w:pPr>
          </w:p>
        </w:tc>
        <w:tc>
          <w:tcPr>
            <w:tcW w:w="1164" w:type="pct"/>
            <w:vAlign w:val="center"/>
          </w:tcPr>
          <w:p w14:paraId="7F88EB27">
            <w:pPr>
              <w:jc w:val="center"/>
              <w:rPr>
                <w:rFonts w:hint="eastAsia" w:ascii="宋体" w:hAnsi="宋体" w:eastAsia="宋体"/>
                <w:szCs w:val="21"/>
              </w:rPr>
            </w:pPr>
          </w:p>
        </w:tc>
        <w:tc>
          <w:tcPr>
            <w:tcW w:w="732" w:type="pct"/>
            <w:vAlign w:val="center"/>
          </w:tcPr>
          <w:p w14:paraId="42B23CD7">
            <w:pPr>
              <w:jc w:val="center"/>
              <w:rPr>
                <w:rFonts w:hint="eastAsia" w:ascii="宋体" w:hAnsi="宋体" w:eastAsia="宋体"/>
                <w:szCs w:val="21"/>
              </w:rPr>
            </w:pPr>
          </w:p>
        </w:tc>
        <w:tc>
          <w:tcPr>
            <w:tcW w:w="1009" w:type="pct"/>
            <w:vAlign w:val="center"/>
          </w:tcPr>
          <w:p w14:paraId="4AD4DFBE">
            <w:pPr>
              <w:jc w:val="center"/>
              <w:rPr>
                <w:rFonts w:hint="eastAsia"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szCs w:val="21"/>
              </w:rPr>
            </w:pPr>
          </w:p>
        </w:tc>
        <w:tc>
          <w:tcPr>
            <w:tcW w:w="1563" w:type="pct"/>
            <w:vAlign w:val="center"/>
          </w:tcPr>
          <w:p w14:paraId="2F582632">
            <w:pPr>
              <w:jc w:val="center"/>
              <w:rPr>
                <w:rFonts w:hint="eastAsia" w:ascii="宋体" w:hAnsi="宋体" w:eastAsia="宋体"/>
                <w:szCs w:val="21"/>
              </w:rPr>
            </w:pPr>
          </w:p>
        </w:tc>
        <w:tc>
          <w:tcPr>
            <w:tcW w:w="1164" w:type="pct"/>
            <w:vAlign w:val="center"/>
          </w:tcPr>
          <w:p w14:paraId="63BE101F">
            <w:pPr>
              <w:jc w:val="center"/>
              <w:rPr>
                <w:rFonts w:hint="eastAsia" w:ascii="宋体" w:hAnsi="宋体" w:eastAsia="宋体"/>
                <w:szCs w:val="21"/>
              </w:rPr>
            </w:pPr>
          </w:p>
        </w:tc>
        <w:tc>
          <w:tcPr>
            <w:tcW w:w="732" w:type="pct"/>
            <w:vAlign w:val="center"/>
          </w:tcPr>
          <w:p w14:paraId="0D7D6BCD">
            <w:pPr>
              <w:jc w:val="center"/>
              <w:rPr>
                <w:rFonts w:hint="eastAsia" w:ascii="宋体" w:hAnsi="宋体" w:eastAsia="宋体"/>
                <w:szCs w:val="21"/>
              </w:rPr>
            </w:pPr>
          </w:p>
        </w:tc>
        <w:tc>
          <w:tcPr>
            <w:tcW w:w="1009" w:type="pct"/>
            <w:vAlign w:val="center"/>
          </w:tcPr>
          <w:p w14:paraId="1F9D5896">
            <w:pPr>
              <w:jc w:val="center"/>
              <w:rPr>
                <w:rFonts w:hint="eastAsia"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szCs w:val="21"/>
              </w:rPr>
            </w:pPr>
          </w:p>
        </w:tc>
        <w:tc>
          <w:tcPr>
            <w:tcW w:w="1563" w:type="pct"/>
            <w:vAlign w:val="center"/>
          </w:tcPr>
          <w:p w14:paraId="59578F53">
            <w:pPr>
              <w:jc w:val="center"/>
              <w:rPr>
                <w:rFonts w:hint="eastAsia" w:ascii="宋体" w:hAnsi="宋体" w:eastAsia="宋体"/>
                <w:szCs w:val="21"/>
              </w:rPr>
            </w:pPr>
          </w:p>
        </w:tc>
        <w:tc>
          <w:tcPr>
            <w:tcW w:w="1164" w:type="pct"/>
            <w:vAlign w:val="center"/>
          </w:tcPr>
          <w:p w14:paraId="0F22411E">
            <w:pPr>
              <w:jc w:val="center"/>
              <w:rPr>
                <w:rFonts w:hint="eastAsia" w:ascii="宋体" w:hAnsi="宋体" w:eastAsia="宋体"/>
                <w:szCs w:val="21"/>
              </w:rPr>
            </w:pPr>
          </w:p>
        </w:tc>
        <w:tc>
          <w:tcPr>
            <w:tcW w:w="732" w:type="pct"/>
            <w:vAlign w:val="center"/>
          </w:tcPr>
          <w:p w14:paraId="3028C6D5">
            <w:pPr>
              <w:jc w:val="center"/>
              <w:rPr>
                <w:rFonts w:hint="eastAsia" w:ascii="宋体" w:hAnsi="宋体" w:eastAsia="宋体"/>
                <w:szCs w:val="21"/>
              </w:rPr>
            </w:pPr>
          </w:p>
        </w:tc>
        <w:tc>
          <w:tcPr>
            <w:tcW w:w="1009" w:type="pct"/>
            <w:vAlign w:val="center"/>
          </w:tcPr>
          <w:p w14:paraId="2760B64B">
            <w:pPr>
              <w:jc w:val="center"/>
              <w:rPr>
                <w:rFonts w:hint="eastAsia"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szCs w:val="21"/>
              </w:rPr>
            </w:pPr>
          </w:p>
        </w:tc>
        <w:tc>
          <w:tcPr>
            <w:tcW w:w="1563" w:type="pct"/>
            <w:vAlign w:val="center"/>
          </w:tcPr>
          <w:p w14:paraId="05755403">
            <w:pPr>
              <w:jc w:val="center"/>
              <w:rPr>
                <w:rFonts w:hint="eastAsia" w:ascii="宋体" w:hAnsi="宋体" w:eastAsia="宋体"/>
                <w:szCs w:val="21"/>
              </w:rPr>
            </w:pPr>
          </w:p>
        </w:tc>
        <w:tc>
          <w:tcPr>
            <w:tcW w:w="1164" w:type="pct"/>
            <w:vAlign w:val="center"/>
          </w:tcPr>
          <w:p w14:paraId="0124A58D">
            <w:pPr>
              <w:jc w:val="center"/>
              <w:rPr>
                <w:rFonts w:hint="eastAsia" w:ascii="宋体" w:hAnsi="宋体" w:eastAsia="宋体"/>
                <w:szCs w:val="21"/>
              </w:rPr>
            </w:pPr>
          </w:p>
        </w:tc>
        <w:tc>
          <w:tcPr>
            <w:tcW w:w="732" w:type="pct"/>
            <w:vAlign w:val="center"/>
          </w:tcPr>
          <w:p w14:paraId="75EFB702">
            <w:pPr>
              <w:jc w:val="center"/>
              <w:rPr>
                <w:rFonts w:hint="eastAsia" w:ascii="宋体" w:hAnsi="宋体" w:eastAsia="宋体"/>
                <w:szCs w:val="21"/>
              </w:rPr>
            </w:pPr>
          </w:p>
        </w:tc>
        <w:tc>
          <w:tcPr>
            <w:tcW w:w="1009" w:type="pct"/>
            <w:vAlign w:val="center"/>
          </w:tcPr>
          <w:p w14:paraId="084CCF0D">
            <w:pPr>
              <w:jc w:val="center"/>
              <w:rPr>
                <w:rFonts w:hint="eastAsia"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szCs w:val="21"/>
              </w:rPr>
            </w:pPr>
          </w:p>
        </w:tc>
        <w:tc>
          <w:tcPr>
            <w:tcW w:w="1563" w:type="pct"/>
            <w:vAlign w:val="center"/>
          </w:tcPr>
          <w:p w14:paraId="7CB689AC">
            <w:pPr>
              <w:jc w:val="center"/>
              <w:rPr>
                <w:rFonts w:hint="eastAsia" w:ascii="宋体" w:hAnsi="宋体" w:eastAsia="宋体"/>
                <w:szCs w:val="21"/>
              </w:rPr>
            </w:pPr>
          </w:p>
        </w:tc>
        <w:tc>
          <w:tcPr>
            <w:tcW w:w="1164" w:type="pct"/>
            <w:vAlign w:val="center"/>
          </w:tcPr>
          <w:p w14:paraId="01CC754A">
            <w:pPr>
              <w:jc w:val="center"/>
              <w:rPr>
                <w:rFonts w:hint="eastAsia" w:ascii="宋体" w:hAnsi="宋体" w:eastAsia="宋体"/>
                <w:szCs w:val="21"/>
              </w:rPr>
            </w:pPr>
          </w:p>
        </w:tc>
        <w:tc>
          <w:tcPr>
            <w:tcW w:w="732" w:type="pct"/>
            <w:vAlign w:val="center"/>
          </w:tcPr>
          <w:p w14:paraId="1BBC3748">
            <w:pPr>
              <w:jc w:val="center"/>
              <w:rPr>
                <w:rFonts w:hint="eastAsia" w:ascii="宋体" w:hAnsi="宋体" w:eastAsia="宋体"/>
                <w:szCs w:val="21"/>
              </w:rPr>
            </w:pPr>
          </w:p>
        </w:tc>
        <w:tc>
          <w:tcPr>
            <w:tcW w:w="1009" w:type="pct"/>
            <w:vAlign w:val="center"/>
          </w:tcPr>
          <w:p w14:paraId="1EA17CC2">
            <w:pPr>
              <w:jc w:val="center"/>
              <w:rPr>
                <w:rFonts w:hint="eastAsia"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szCs w:val="21"/>
              </w:rPr>
            </w:pPr>
          </w:p>
        </w:tc>
        <w:tc>
          <w:tcPr>
            <w:tcW w:w="1563" w:type="pct"/>
            <w:vAlign w:val="center"/>
          </w:tcPr>
          <w:p w14:paraId="0EEF5E5A">
            <w:pPr>
              <w:jc w:val="center"/>
              <w:rPr>
                <w:rFonts w:hint="eastAsia" w:ascii="宋体" w:hAnsi="宋体" w:eastAsia="宋体"/>
                <w:szCs w:val="21"/>
              </w:rPr>
            </w:pPr>
          </w:p>
        </w:tc>
        <w:tc>
          <w:tcPr>
            <w:tcW w:w="1164" w:type="pct"/>
            <w:vAlign w:val="center"/>
          </w:tcPr>
          <w:p w14:paraId="10036CA7">
            <w:pPr>
              <w:jc w:val="center"/>
              <w:rPr>
                <w:rFonts w:hint="eastAsia" w:ascii="宋体" w:hAnsi="宋体" w:eastAsia="宋体"/>
                <w:szCs w:val="21"/>
              </w:rPr>
            </w:pPr>
          </w:p>
        </w:tc>
        <w:tc>
          <w:tcPr>
            <w:tcW w:w="732" w:type="pct"/>
            <w:vAlign w:val="center"/>
          </w:tcPr>
          <w:p w14:paraId="6E6C00DB">
            <w:pPr>
              <w:jc w:val="center"/>
              <w:rPr>
                <w:rFonts w:hint="eastAsia" w:ascii="宋体" w:hAnsi="宋体" w:eastAsia="宋体"/>
                <w:szCs w:val="21"/>
              </w:rPr>
            </w:pPr>
          </w:p>
        </w:tc>
        <w:tc>
          <w:tcPr>
            <w:tcW w:w="1009" w:type="pct"/>
            <w:vAlign w:val="center"/>
          </w:tcPr>
          <w:p w14:paraId="4069C89F">
            <w:pPr>
              <w:jc w:val="center"/>
              <w:rPr>
                <w:rFonts w:hint="eastAsia" w:ascii="宋体" w:hAnsi="宋体" w:eastAsia="宋体"/>
                <w:szCs w:val="21"/>
              </w:rPr>
            </w:pPr>
          </w:p>
        </w:tc>
      </w:tr>
    </w:tbl>
    <w:p w14:paraId="759D3C9E">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hint="eastAsia"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50"/>
    <w:bookmarkEnd w:id="51"/>
    <w:p w14:paraId="022E1B87">
      <w:pPr>
        <w:pageBreakBefore/>
        <w:rPr>
          <w:rFonts w:hint="eastAsia"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三</w:t>
      </w:r>
      <w:r>
        <w:rPr>
          <w:rFonts w:hint="eastAsia" w:ascii="宋体" w:hAnsi="宋体" w:eastAsia="宋体"/>
          <w:b/>
          <w:bCs/>
          <w:sz w:val="24"/>
          <w:szCs w:val="28"/>
        </w:rPr>
        <w:t>：</w:t>
      </w:r>
    </w:p>
    <w:p w14:paraId="3DE2BFB1">
      <w:pPr>
        <w:spacing w:after="217" w:afterLines="50" w:line="360" w:lineRule="auto"/>
        <w:jc w:val="center"/>
        <w:rPr>
          <w:rFonts w:hint="eastAsia"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hint="eastAsia"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hint="eastAsia"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hint="eastAsia"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hint="eastAsia"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hint="eastAsia"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hint="eastAsia"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szCs w:val="21"/>
              </w:rPr>
            </w:pPr>
          </w:p>
        </w:tc>
        <w:tc>
          <w:tcPr>
            <w:tcW w:w="653" w:type="pct"/>
            <w:vAlign w:val="center"/>
          </w:tcPr>
          <w:p w14:paraId="3AB8EE80">
            <w:pPr>
              <w:jc w:val="center"/>
              <w:rPr>
                <w:rFonts w:hint="eastAsia" w:ascii="宋体" w:hAnsi="宋体" w:eastAsia="宋体"/>
                <w:szCs w:val="21"/>
              </w:rPr>
            </w:pPr>
          </w:p>
        </w:tc>
        <w:tc>
          <w:tcPr>
            <w:tcW w:w="739" w:type="pct"/>
            <w:vAlign w:val="center"/>
          </w:tcPr>
          <w:p w14:paraId="63A272CC">
            <w:pPr>
              <w:jc w:val="center"/>
              <w:rPr>
                <w:rFonts w:hint="eastAsia" w:ascii="宋体" w:hAnsi="宋体" w:eastAsia="宋体"/>
                <w:szCs w:val="21"/>
              </w:rPr>
            </w:pPr>
          </w:p>
        </w:tc>
        <w:tc>
          <w:tcPr>
            <w:tcW w:w="1081" w:type="pct"/>
            <w:vAlign w:val="center"/>
          </w:tcPr>
          <w:p w14:paraId="6A1AF531">
            <w:pPr>
              <w:jc w:val="center"/>
              <w:rPr>
                <w:rFonts w:hint="eastAsia" w:ascii="宋体" w:hAnsi="宋体" w:eastAsia="宋体"/>
                <w:szCs w:val="21"/>
              </w:rPr>
            </w:pPr>
          </w:p>
        </w:tc>
        <w:tc>
          <w:tcPr>
            <w:tcW w:w="830" w:type="pct"/>
          </w:tcPr>
          <w:p w14:paraId="273D4706">
            <w:pPr>
              <w:jc w:val="center"/>
              <w:rPr>
                <w:rFonts w:hint="eastAsia" w:ascii="宋体" w:hAnsi="宋体" w:eastAsia="宋体"/>
                <w:szCs w:val="21"/>
              </w:rPr>
            </w:pPr>
          </w:p>
        </w:tc>
        <w:tc>
          <w:tcPr>
            <w:tcW w:w="582" w:type="pct"/>
            <w:vAlign w:val="center"/>
          </w:tcPr>
          <w:p w14:paraId="74DA6C12">
            <w:pPr>
              <w:jc w:val="center"/>
              <w:rPr>
                <w:rFonts w:hint="eastAsia" w:ascii="宋体" w:hAnsi="宋体" w:eastAsia="宋体"/>
                <w:szCs w:val="21"/>
              </w:rPr>
            </w:pPr>
          </w:p>
        </w:tc>
        <w:tc>
          <w:tcPr>
            <w:tcW w:w="699" w:type="pct"/>
          </w:tcPr>
          <w:p w14:paraId="7A70E5E6">
            <w:pPr>
              <w:jc w:val="center"/>
              <w:rPr>
                <w:rFonts w:hint="eastAsia"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szCs w:val="21"/>
              </w:rPr>
            </w:pPr>
          </w:p>
        </w:tc>
        <w:tc>
          <w:tcPr>
            <w:tcW w:w="653" w:type="pct"/>
            <w:vAlign w:val="center"/>
          </w:tcPr>
          <w:p w14:paraId="0C9CA726">
            <w:pPr>
              <w:jc w:val="center"/>
              <w:rPr>
                <w:rFonts w:hint="eastAsia" w:ascii="宋体" w:hAnsi="宋体" w:eastAsia="宋体"/>
                <w:szCs w:val="21"/>
              </w:rPr>
            </w:pPr>
          </w:p>
        </w:tc>
        <w:tc>
          <w:tcPr>
            <w:tcW w:w="739" w:type="pct"/>
            <w:vAlign w:val="center"/>
          </w:tcPr>
          <w:p w14:paraId="70C51E5D">
            <w:pPr>
              <w:jc w:val="center"/>
              <w:rPr>
                <w:rFonts w:hint="eastAsia" w:ascii="宋体" w:hAnsi="宋体" w:eastAsia="宋体"/>
                <w:szCs w:val="21"/>
              </w:rPr>
            </w:pPr>
          </w:p>
        </w:tc>
        <w:tc>
          <w:tcPr>
            <w:tcW w:w="1081" w:type="pct"/>
            <w:vAlign w:val="center"/>
          </w:tcPr>
          <w:p w14:paraId="552AD384">
            <w:pPr>
              <w:jc w:val="center"/>
              <w:rPr>
                <w:rFonts w:hint="eastAsia" w:ascii="宋体" w:hAnsi="宋体" w:eastAsia="宋体"/>
                <w:szCs w:val="21"/>
              </w:rPr>
            </w:pPr>
          </w:p>
        </w:tc>
        <w:tc>
          <w:tcPr>
            <w:tcW w:w="830" w:type="pct"/>
          </w:tcPr>
          <w:p w14:paraId="670140FF">
            <w:pPr>
              <w:jc w:val="center"/>
              <w:rPr>
                <w:rFonts w:hint="eastAsia" w:ascii="宋体" w:hAnsi="宋体" w:eastAsia="宋体"/>
                <w:szCs w:val="21"/>
              </w:rPr>
            </w:pPr>
          </w:p>
        </w:tc>
        <w:tc>
          <w:tcPr>
            <w:tcW w:w="582" w:type="pct"/>
            <w:vAlign w:val="center"/>
          </w:tcPr>
          <w:p w14:paraId="362772DE">
            <w:pPr>
              <w:jc w:val="center"/>
              <w:rPr>
                <w:rFonts w:hint="eastAsia" w:ascii="宋体" w:hAnsi="宋体" w:eastAsia="宋体"/>
                <w:szCs w:val="21"/>
              </w:rPr>
            </w:pPr>
          </w:p>
        </w:tc>
        <w:tc>
          <w:tcPr>
            <w:tcW w:w="699" w:type="pct"/>
          </w:tcPr>
          <w:p w14:paraId="226E8EA2">
            <w:pPr>
              <w:jc w:val="center"/>
              <w:rPr>
                <w:rFonts w:hint="eastAsia"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szCs w:val="21"/>
              </w:rPr>
            </w:pPr>
          </w:p>
        </w:tc>
        <w:tc>
          <w:tcPr>
            <w:tcW w:w="653" w:type="pct"/>
            <w:vAlign w:val="center"/>
          </w:tcPr>
          <w:p w14:paraId="46703EAB">
            <w:pPr>
              <w:jc w:val="center"/>
              <w:rPr>
                <w:rFonts w:hint="eastAsia" w:ascii="宋体" w:hAnsi="宋体" w:eastAsia="宋体"/>
                <w:szCs w:val="21"/>
              </w:rPr>
            </w:pPr>
          </w:p>
        </w:tc>
        <w:tc>
          <w:tcPr>
            <w:tcW w:w="739" w:type="pct"/>
            <w:vAlign w:val="center"/>
          </w:tcPr>
          <w:p w14:paraId="5B210401">
            <w:pPr>
              <w:jc w:val="center"/>
              <w:rPr>
                <w:rFonts w:hint="eastAsia" w:ascii="宋体" w:hAnsi="宋体" w:eastAsia="宋体"/>
                <w:szCs w:val="21"/>
              </w:rPr>
            </w:pPr>
          </w:p>
        </w:tc>
        <w:tc>
          <w:tcPr>
            <w:tcW w:w="1081" w:type="pct"/>
            <w:vAlign w:val="center"/>
          </w:tcPr>
          <w:p w14:paraId="1CA38B0F">
            <w:pPr>
              <w:jc w:val="center"/>
              <w:rPr>
                <w:rFonts w:hint="eastAsia" w:ascii="宋体" w:hAnsi="宋体" w:eastAsia="宋体"/>
                <w:szCs w:val="21"/>
              </w:rPr>
            </w:pPr>
          </w:p>
        </w:tc>
        <w:tc>
          <w:tcPr>
            <w:tcW w:w="830" w:type="pct"/>
          </w:tcPr>
          <w:p w14:paraId="491A791E">
            <w:pPr>
              <w:jc w:val="center"/>
              <w:rPr>
                <w:rFonts w:hint="eastAsia" w:ascii="宋体" w:hAnsi="宋体" w:eastAsia="宋体"/>
                <w:szCs w:val="21"/>
              </w:rPr>
            </w:pPr>
          </w:p>
        </w:tc>
        <w:tc>
          <w:tcPr>
            <w:tcW w:w="582" w:type="pct"/>
            <w:vAlign w:val="center"/>
          </w:tcPr>
          <w:p w14:paraId="17A5565B">
            <w:pPr>
              <w:jc w:val="center"/>
              <w:rPr>
                <w:rFonts w:hint="eastAsia" w:ascii="宋体" w:hAnsi="宋体" w:eastAsia="宋体"/>
                <w:szCs w:val="21"/>
              </w:rPr>
            </w:pPr>
          </w:p>
        </w:tc>
        <w:tc>
          <w:tcPr>
            <w:tcW w:w="699" w:type="pct"/>
          </w:tcPr>
          <w:p w14:paraId="3CEEAE76">
            <w:pPr>
              <w:jc w:val="center"/>
              <w:rPr>
                <w:rFonts w:hint="eastAsia"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szCs w:val="21"/>
              </w:rPr>
            </w:pPr>
          </w:p>
        </w:tc>
        <w:tc>
          <w:tcPr>
            <w:tcW w:w="653" w:type="pct"/>
            <w:vAlign w:val="center"/>
          </w:tcPr>
          <w:p w14:paraId="38F0906F">
            <w:pPr>
              <w:jc w:val="center"/>
              <w:rPr>
                <w:rFonts w:hint="eastAsia" w:ascii="宋体" w:hAnsi="宋体" w:eastAsia="宋体"/>
                <w:szCs w:val="21"/>
              </w:rPr>
            </w:pPr>
          </w:p>
        </w:tc>
        <w:tc>
          <w:tcPr>
            <w:tcW w:w="739" w:type="pct"/>
            <w:vAlign w:val="center"/>
          </w:tcPr>
          <w:p w14:paraId="7FE1C737">
            <w:pPr>
              <w:jc w:val="center"/>
              <w:rPr>
                <w:rFonts w:hint="eastAsia" w:ascii="宋体" w:hAnsi="宋体" w:eastAsia="宋体"/>
                <w:szCs w:val="21"/>
              </w:rPr>
            </w:pPr>
          </w:p>
        </w:tc>
        <w:tc>
          <w:tcPr>
            <w:tcW w:w="1081" w:type="pct"/>
            <w:vAlign w:val="center"/>
          </w:tcPr>
          <w:p w14:paraId="13A48178">
            <w:pPr>
              <w:jc w:val="center"/>
              <w:rPr>
                <w:rFonts w:hint="eastAsia" w:ascii="宋体" w:hAnsi="宋体" w:eastAsia="宋体"/>
                <w:szCs w:val="21"/>
              </w:rPr>
            </w:pPr>
          </w:p>
        </w:tc>
        <w:tc>
          <w:tcPr>
            <w:tcW w:w="830" w:type="pct"/>
          </w:tcPr>
          <w:p w14:paraId="29078F11">
            <w:pPr>
              <w:jc w:val="center"/>
              <w:rPr>
                <w:rFonts w:hint="eastAsia" w:ascii="宋体" w:hAnsi="宋体" w:eastAsia="宋体"/>
                <w:szCs w:val="21"/>
              </w:rPr>
            </w:pPr>
          </w:p>
        </w:tc>
        <w:tc>
          <w:tcPr>
            <w:tcW w:w="582" w:type="pct"/>
            <w:vAlign w:val="center"/>
          </w:tcPr>
          <w:p w14:paraId="22085B0A">
            <w:pPr>
              <w:jc w:val="center"/>
              <w:rPr>
                <w:rFonts w:hint="eastAsia" w:ascii="宋体" w:hAnsi="宋体" w:eastAsia="宋体"/>
                <w:szCs w:val="21"/>
              </w:rPr>
            </w:pPr>
          </w:p>
        </w:tc>
        <w:tc>
          <w:tcPr>
            <w:tcW w:w="699" w:type="pct"/>
          </w:tcPr>
          <w:p w14:paraId="35995CA2">
            <w:pPr>
              <w:jc w:val="center"/>
              <w:rPr>
                <w:rFonts w:hint="eastAsia"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szCs w:val="21"/>
              </w:rPr>
            </w:pPr>
          </w:p>
        </w:tc>
        <w:tc>
          <w:tcPr>
            <w:tcW w:w="653" w:type="pct"/>
            <w:vAlign w:val="center"/>
          </w:tcPr>
          <w:p w14:paraId="7A6C4DEC">
            <w:pPr>
              <w:jc w:val="center"/>
              <w:rPr>
                <w:rFonts w:hint="eastAsia" w:ascii="宋体" w:hAnsi="宋体" w:eastAsia="宋体"/>
                <w:szCs w:val="21"/>
              </w:rPr>
            </w:pPr>
          </w:p>
        </w:tc>
        <w:tc>
          <w:tcPr>
            <w:tcW w:w="739" w:type="pct"/>
            <w:vAlign w:val="center"/>
          </w:tcPr>
          <w:p w14:paraId="27F65C55">
            <w:pPr>
              <w:jc w:val="center"/>
              <w:rPr>
                <w:rFonts w:hint="eastAsia" w:ascii="宋体" w:hAnsi="宋体" w:eastAsia="宋体"/>
                <w:szCs w:val="21"/>
              </w:rPr>
            </w:pPr>
          </w:p>
        </w:tc>
        <w:tc>
          <w:tcPr>
            <w:tcW w:w="1081" w:type="pct"/>
            <w:vAlign w:val="center"/>
          </w:tcPr>
          <w:p w14:paraId="3140FDA0">
            <w:pPr>
              <w:widowControl/>
              <w:tabs>
                <w:tab w:val="right" w:leader="dot" w:pos="8302"/>
              </w:tabs>
              <w:jc w:val="center"/>
              <w:rPr>
                <w:rFonts w:hint="eastAsia" w:ascii="宋体" w:hAnsi="宋体" w:eastAsia="宋体"/>
                <w:kern w:val="0"/>
                <w:szCs w:val="21"/>
              </w:rPr>
            </w:pPr>
          </w:p>
        </w:tc>
        <w:tc>
          <w:tcPr>
            <w:tcW w:w="830" w:type="pct"/>
          </w:tcPr>
          <w:p w14:paraId="254EA750">
            <w:pPr>
              <w:jc w:val="center"/>
              <w:rPr>
                <w:rFonts w:hint="eastAsia" w:ascii="宋体" w:hAnsi="宋体" w:eastAsia="宋体"/>
                <w:szCs w:val="21"/>
              </w:rPr>
            </w:pPr>
          </w:p>
        </w:tc>
        <w:tc>
          <w:tcPr>
            <w:tcW w:w="582" w:type="pct"/>
            <w:vAlign w:val="center"/>
          </w:tcPr>
          <w:p w14:paraId="557566C7">
            <w:pPr>
              <w:jc w:val="center"/>
              <w:rPr>
                <w:rFonts w:hint="eastAsia" w:ascii="宋体" w:hAnsi="宋体" w:eastAsia="宋体"/>
                <w:szCs w:val="21"/>
              </w:rPr>
            </w:pPr>
          </w:p>
        </w:tc>
        <w:tc>
          <w:tcPr>
            <w:tcW w:w="699" w:type="pct"/>
          </w:tcPr>
          <w:p w14:paraId="13F4BB69">
            <w:pPr>
              <w:jc w:val="center"/>
              <w:rPr>
                <w:rFonts w:hint="eastAsia"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szCs w:val="21"/>
              </w:rPr>
            </w:pPr>
          </w:p>
        </w:tc>
        <w:tc>
          <w:tcPr>
            <w:tcW w:w="653" w:type="pct"/>
            <w:vAlign w:val="center"/>
          </w:tcPr>
          <w:p w14:paraId="2576C1B7">
            <w:pPr>
              <w:jc w:val="center"/>
              <w:rPr>
                <w:rFonts w:hint="eastAsia" w:ascii="宋体" w:hAnsi="宋体" w:eastAsia="宋体"/>
                <w:szCs w:val="21"/>
              </w:rPr>
            </w:pPr>
          </w:p>
        </w:tc>
        <w:tc>
          <w:tcPr>
            <w:tcW w:w="739" w:type="pct"/>
            <w:vAlign w:val="center"/>
          </w:tcPr>
          <w:p w14:paraId="57F23FBA">
            <w:pPr>
              <w:jc w:val="center"/>
              <w:rPr>
                <w:rFonts w:hint="eastAsia" w:ascii="宋体" w:hAnsi="宋体" w:eastAsia="宋体"/>
                <w:szCs w:val="21"/>
              </w:rPr>
            </w:pPr>
          </w:p>
        </w:tc>
        <w:tc>
          <w:tcPr>
            <w:tcW w:w="1081" w:type="pct"/>
            <w:vAlign w:val="center"/>
          </w:tcPr>
          <w:p w14:paraId="0383AFE5">
            <w:pPr>
              <w:widowControl/>
              <w:tabs>
                <w:tab w:val="right" w:leader="dot" w:pos="8302"/>
              </w:tabs>
              <w:jc w:val="center"/>
              <w:rPr>
                <w:rFonts w:hint="eastAsia" w:ascii="宋体" w:hAnsi="宋体" w:eastAsia="宋体"/>
                <w:kern w:val="0"/>
                <w:szCs w:val="21"/>
              </w:rPr>
            </w:pPr>
          </w:p>
        </w:tc>
        <w:tc>
          <w:tcPr>
            <w:tcW w:w="830" w:type="pct"/>
          </w:tcPr>
          <w:p w14:paraId="6DFF9830">
            <w:pPr>
              <w:jc w:val="center"/>
              <w:rPr>
                <w:rFonts w:hint="eastAsia" w:ascii="宋体" w:hAnsi="宋体" w:eastAsia="宋体"/>
                <w:szCs w:val="21"/>
              </w:rPr>
            </w:pPr>
          </w:p>
        </w:tc>
        <w:tc>
          <w:tcPr>
            <w:tcW w:w="582" w:type="pct"/>
            <w:vAlign w:val="center"/>
          </w:tcPr>
          <w:p w14:paraId="017E6BE4">
            <w:pPr>
              <w:jc w:val="center"/>
              <w:rPr>
                <w:rFonts w:hint="eastAsia" w:ascii="宋体" w:hAnsi="宋体" w:eastAsia="宋体"/>
                <w:szCs w:val="21"/>
              </w:rPr>
            </w:pPr>
          </w:p>
        </w:tc>
        <w:tc>
          <w:tcPr>
            <w:tcW w:w="699" w:type="pct"/>
          </w:tcPr>
          <w:p w14:paraId="69FDC671">
            <w:pPr>
              <w:jc w:val="center"/>
              <w:rPr>
                <w:rFonts w:hint="eastAsia"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szCs w:val="21"/>
              </w:rPr>
            </w:pPr>
          </w:p>
        </w:tc>
        <w:tc>
          <w:tcPr>
            <w:tcW w:w="653" w:type="pct"/>
            <w:vAlign w:val="center"/>
          </w:tcPr>
          <w:p w14:paraId="6766E312">
            <w:pPr>
              <w:jc w:val="center"/>
              <w:rPr>
                <w:rFonts w:hint="eastAsia" w:ascii="宋体" w:hAnsi="宋体" w:eastAsia="宋体"/>
                <w:szCs w:val="21"/>
              </w:rPr>
            </w:pPr>
          </w:p>
        </w:tc>
        <w:tc>
          <w:tcPr>
            <w:tcW w:w="739" w:type="pct"/>
            <w:vAlign w:val="center"/>
          </w:tcPr>
          <w:p w14:paraId="712229AA">
            <w:pPr>
              <w:jc w:val="center"/>
              <w:rPr>
                <w:rFonts w:hint="eastAsia" w:ascii="宋体" w:hAnsi="宋体" w:eastAsia="宋体"/>
                <w:szCs w:val="21"/>
              </w:rPr>
            </w:pPr>
          </w:p>
        </w:tc>
        <w:tc>
          <w:tcPr>
            <w:tcW w:w="1081" w:type="pct"/>
            <w:vAlign w:val="center"/>
          </w:tcPr>
          <w:p w14:paraId="46A54FD3">
            <w:pPr>
              <w:jc w:val="center"/>
              <w:rPr>
                <w:rFonts w:hint="eastAsia" w:ascii="宋体" w:hAnsi="宋体" w:eastAsia="宋体"/>
                <w:szCs w:val="21"/>
              </w:rPr>
            </w:pPr>
          </w:p>
        </w:tc>
        <w:tc>
          <w:tcPr>
            <w:tcW w:w="830" w:type="pct"/>
          </w:tcPr>
          <w:p w14:paraId="4EF42F3D">
            <w:pPr>
              <w:jc w:val="center"/>
              <w:rPr>
                <w:rFonts w:hint="eastAsia" w:ascii="宋体" w:hAnsi="宋体" w:eastAsia="宋体"/>
                <w:szCs w:val="21"/>
              </w:rPr>
            </w:pPr>
          </w:p>
        </w:tc>
        <w:tc>
          <w:tcPr>
            <w:tcW w:w="582" w:type="pct"/>
            <w:vAlign w:val="center"/>
          </w:tcPr>
          <w:p w14:paraId="08C50BFC">
            <w:pPr>
              <w:jc w:val="center"/>
              <w:rPr>
                <w:rFonts w:hint="eastAsia" w:ascii="宋体" w:hAnsi="宋体" w:eastAsia="宋体"/>
                <w:szCs w:val="21"/>
              </w:rPr>
            </w:pPr>
          </w:p>
        </w:tc>
        <w:tc>
          <w:tcPr>
            <w:tcW w:w="699" w:type="pct"/>
          </w:tcPr>
          <w:p w14:paraId="0A696757">
            <w:pPr>
              <w:jc w:val="center"/>
              <w:rPr>
                <w:rFonts w:hint="eastAsia"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szCs w:val="21"/>
              </w:rPr>
            </w:pPr>
          </w:p>
        </w:tc>
        <w:tc>
          <w:tcPr>
            <w:tcW w:w="653" w:type="pct"/>
            <w:vAlign w:val="center"/>
          </w:tcPr>
          <w:p w14:paraId="76F5D1F9">
            <w:pPr>
              <w:jc w:val="center"/>
              <w:rPr>
                <w:rFonts w:hint="eastAsia" w:ascii="宋体" w:hAnsi="宋体" w:eastAsia="宋体"/>
                <w:szCs w:val="21"/>
              </w:rPr>
            </w:pPr>
          </w:p>
        </w:tc>
        <w:tc>
          <w:tcPr>
            <w:tcW w:w="739" w:type="pct"/>
            <w:vAlign w:val="center"/>
          </w:tcPr>
          <w:p w14:paraId="4F852F46">
            <w:pPr>
              <w:jc w:val="center"/>
              <w:rPr>
                <w:rFonts w:hint="eastAsia" w:ascii="宋体" w:hAnsi="宋体" w:eastAsia="宋体"/>
                <w:szCs w:val="21"/>
              </w:rPr>
            </w:pPr>
          </w:p>
        </w:tc>
        <w:tc>
          <w:tcPr>
            <w:tcW w:w="1081" w:type="pct"/>
            <w:vAlign w:val="center"/>
          </w:tcPr>
          <w:p w14:paraId="437366F9">
            <w:pPr>
              <w:jc w:val="center"/>
              <w:rPr>
                <w:rFonts w:hint="eastAsia" w:ascii="宋体" w:hAnsi="宋体" w:eastAsia="宋体"/>
                <w:szCs w:val="21"/>
              </w:rPr>
            </w:pPr>
          </w:p>
        </w:tc>
        <w:tc>
          <w:tcPr>
            <w:tcW w:w="830" w:type="pct"/>
          </w:tcPr>
          <w:p w14:paraId="3D42306E">
            <w:pPr>
              <w:jc w:val="center"/>
              <w:rPr>
                <w:rFonts w:hint="eastAsia" w:ascii="宋体" w:hAnsi="宋体" w:eastAsia="宋体"/>
                <w:szCs w:val="21"/>
              </w:rPr>
            </w:pPr>
          </w:p>
        </w:tc>
        <w:tc>
          <w:tcPr>
            <w:tcW w:w="582" w:type="pct"/>
            <w:vAlign w:val="center"/>
          </w:tcPr>
          <w:p w14:paraId="2F48BADD">
            <w:pPr>
              <w:jc w:val="center"/>
              <w:rPr>
                <w:rFonts w:hint="eastAsia" w:ascii="宋体" w:hAnsi="宋体" w:eastAsia="宋体"/>
                <w:szCs w:val="21"/>
              </w:rPr>
            </w:pPr>
          </w:p>
        </w:tc>
        <w:tc>
          <w:tcPr>
            <w:tcW w:w="699" w:type="pct"/>
          </w:tcPr>
          <w:p w14:paraId="14356E07">
            <w:pPr>
              <w:jc w:val="center"/>
              <w:rPr>
                <w:rFonts w:hint="eastAsia" w:ascii="宋体" w:hAnsi="宋体" w:eastAsia="宋体"/>
                <w:szCs w:val="21"/>
              </w:rPr>
            </w:pPr>
          </w:p>
        </w:tc>
      </w:tr>
    </w:tbl>
    <w:p w14:paraId="585052B7">
      <w:pPr>
        <w:spacing w:line="360" w:lineRule="auto"/>
        <w:rPr>
          <w:rFonts w:hint="eastAsia" w:ascii="黑体" w:hAnsi="黑体" w:eastAsia="黑体"/>
        </w:rPr>
      </w:pPr>
    </w:p>
    <w:p w14:paraId="16EB79C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hint="eastAsia" w:ascii="黑体" w:hAnsi="黑体" w:eastAsia="黑体"/>
        </w:rPr>
      </w:pPr>
    </w:p>
    <w:p w14:paraId="6C399DC8">
      <w:pPr>
        <w:pageBreakBefore/>
        <w:rPr>
          <w:rFonts w:hint="eastAsia"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val="en-US" w:eastAsia="zh-CN"/>
        </w:rPr>
        <w:t>四</w:t>
      </w:r>
      <w:r>
        <w:rPr>
          <w:rFonts w:hint="eastAsia" w:ascii="宋体" w:hAnsi="宋体" w:eastAsia="宋体"/>
          <w:b/>
          <w:bCs/>
          <w:sz w:val="24"/>
          <w:szCs w:val="28"/>
        </w:rPr>
        <w:t>：</w:t>
      </w:r>
    </w:p>
    <w:p w14:paraId="7966E96E">
      <w:pPr>
        <w:spacing w:after="217" w:afterLines="50" w:line="360" w:lineRule="auto"/>
        <w:jc w:val="center"/>
        <w:rPr>
          <w:rFonts w:hint="eastAsia"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hint="eastAsia" w:ascii="宋体" w:hAnsi="宋体" w:eastAsia="宋体"/>
                <w:szCs w:val="21"/>
              </w:rPr>
            </w:pPr>
          </w:p>
        </w:tc>
        <w:tc>
          <w:tcPr>
            <w:tcW w:w="480" w:type="pct"/>
            <w:vAlign w:val="center"/>
          </w:tcPr>
          <w:p w14:paraId="42134CA2">
            <w:pPr>
              <w:jc w:val="center"/>
              <w:rPr>
                <w:rFonts w:hint="eastAsia"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hint="eastAsia" w:ascii="宋体" w:hAnsi="宋体" w:eastAsia="宋体"/>
                <w:szCs w:val="21"/>
              </w:rPr>
            </w:pPr>
          </w:p>
        </w:tc>
        <w:tc>
          <w:tcPr>
            <w:tcW w:w="617" w:type="pct"/>
            <w:gridSpan w:val="2"/>
            <w:vAlign w:val="center"/>
          </w:tcPr>
          <w:p w14:paraId="4C9B7B82">
            <w:pPr>
              <w:jc w:val="center"/>
              <w:rPr>
                <w:rFonts w:hint="eastAsia"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hint="eastAsia"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hint="eastAsia" w:ascii="宋体" w:hAnsi="宋体" w:eastAsia="宋体"/>
                <w:szCs w:val="21"/>
              </w:rPr>
            </w:pPr>
          </w:p>
        </w:tc>
        <w:tc>
          <w:tcPr>
            <w:tcW w:w="480" w:type="pct"/>
            <w:vAlign w:val="center"/>
          </w:tcPr>
          <w:p w14:paraId="6443894A">
            <w:pPr>
              <w:jc w:val="center"/>
              <w:rPr>
                <w:rFonts w:hint="eastAsia"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hint="eastAsia" w:ascii="宋体" w:hAnsi="宋体" w:eastAsia="宋体"/>
                <w:szCs w:val="21"/>
              </w:rPr>
            </w:pPr>
          </w:p>
        </w:tc>
        <w:tc>
          <w:tcPr>
            <w:tcW w:w="617" w:type="pct"/>
            <w:gridSpan w:val="2"/>
            <w:vAlign w:val="center"/>
          </w:tcPr>
          <w:p w14:paraId="4E4FB8BD">
            <w:pPr>
              <w:jc w:val="center"/>
              <w:rPr>
                <w:rFonts w:hint="eastAsia"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hint="eastAsia"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hint="eastAsia" w:ascii="宋体" w:hAnsi="宋体" w:eastAsia="宋体"/>
                <w:szCs w:val="21"/>
              </w:rPr>
            </w:pPr>
          </w:p>
        </w:tc>
        <w:tc>
          <w:tcPr>
            <w:tcW w:w="1502" w:type="pct"/>
            <w:gridSpan w:val="5"/>
            <w:vAlign w:val="center"/>
          </w:tcPr>
          <w:p w14:paraId="79AD2E2B">
            <w:pPr>
              <w:jc w:val="center"/>
              <w:rPr>
                <w:rFonts w:hint="eastAsia"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hint="eastAsia"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hint="eastAsia"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hint="eastAsia"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hint="eastAsia"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hint="eastAsia"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hint="eastAsia"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szCs w:val="21"/>
              </w:rPr>
            </w:pPr>
          </w:p>
        </w:tc>
        <w:tc>
          <w:tcPr>
            <w:tcW w:w="962" w:type="pct"/>
            <w:gridSpan w:val="2"/>
            <w:vAlign w:val="center"/>
          </w:tcPr>
          <w:p w14:paraId="59D4CC7B">
            <w:pPr>
              <w:jc w:val="center"/>
              <w:rPr>
                <w:rFonts w:hint="eastAsia" w:ascii="宋体" w:hAnsi="宋体" w:eastAsia="宋体"/>
                <w:szCs w:val="21"/>
              </w:rPr>
            </w:pPr>
          </w:p>
        </w:tc>
        <w:tc>
          <w:tcPr>
            <w:tcW w:w="903" w:type="pct"/>
            <w:gridSpan w:val="4"/>
            <w:vAlign w:val="center"/>
          </w:tcPr>
          <w:p w14:paraId="53B57B73">
            <w:pPr>
              <w:jc w:val="center"/>
              <w:rPr>
                <w:rFonts w:hint="eastAsia" w:ascii="宋体" w:hAnsi="宋体" w:eastAsia="宋体"/>
                <w:szCs w:val="21"/>
              </w:rPr>
            </w:pPr>
          </w:p>
        </w:tc>
        <w:tc>
          <w:tcPr>
            <w:tcW w:w="892" w:type="pct"/>
            <w:gridSpan w:val="2"/>
            <w:vAlign w:val="center"/>
          </w:tcPr>
          <w:p w14:paraId="744DD2C6">
            <w:pPr>
              <w:jc w:val="center"/>
              <w:rPr>
                <w:rFonts w:hint="eastAsia" w:ascii="宋体" w:hAnsi="宋体" w:eastAsia="宋体"/>
                <w:szCs w:val="21"/>
              </w:rPr>
            </w:pPr>
          </w:p>
        </w:tc>
        <w:tc>
          <w:tcPr>
            <w:tcW w:w="1399" w:type="pct"/>
            <w:gridSpan w:val="3"/>
            <w:vAlign w:val="center"/>
          </w:tcPr>
          <w:p w14:paraId="689BFAA0">
            <w:pPr>
              <w:jc w:val="center"/>
              <w:rPr>
                <w:rFonts w:hint="eastAsia"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szCs w:val="21"/>
              </w:rPr>
            </w:pPr>
          </w:p>
        </w:tc>
        <w:tc>
          <w:tcPr>
            <w:tcW w:w="962" w:type="pct"/>
            <w:gridSpan w:val="2"/>
            <w:vAlign w:val="center"/>
          </w:tcPr>
          <w:p w14:paraId="63B2D052">
            <w:pPr>
              <w:jc w:val="center"/>
              <w:rPr>
                <w:rFonts w:hint="eastAsia" w:ascii="宋体" w:hAnsi="宋体" w:eastAsia="宋体"/>
                <w:szCs w:val="21"/>
              </w:rPr>
            </w:pPr>
          </w:p>
        </w:tc>
        <w:tc>
          <w:tcPr>
            <w:tcW w:w="903" w:type="pct"/>
            <w:gridSpan w:val="4"/>
            <w:vAlign w:val="center"/>
          </w:tcPr>
          <w:p w14:paraId="5DEEB8CC">
            <w:pPr>
              <w:jc w:val="center"/>
              <w:rPr>
                <w:rFonts w:hint="eastAsia" w:ascii="宋体" w:hAnsi="宋体" w:eastAsia="宋体"/>
                <w:szCs w:val="21"/>
              </w:rPr>
            </w:pPr>
          </w:p>
        </w:tc>
        <w:tc>
          <w:tcPr>
            <w:tcW w:w="892" w:type="pct"/>
            <w:gridSpan w:val="2"/>
            <w:vAlign w:val="center"/>
          </w:tcPr>
          <w:p w14:paraId="2A34503D">
            <w:pPr>
              <w:jc w:val="center"/>
              <w:rPr>
                <w:rFonts w:hint="eastAsia" w:ascii="宋体" w:hAnsi="宋体" w:eastAsia="宋体"/>
                <w:szCs w:val="21"/>
              </w:rPr>
            </w:pPr>
          </w:p>
        </w:tc>
        <w:tc>
          <w:tcPr>
            <w:tcW w:w="1399" w:type="pct"/>
            <w:gridSpan w:val="3"/>
            <w:vAlign w:val="center"/>
          </w:tcPr>
          <w:p w14:paraId="33F6FDBE">
            <w:pPr>
              <w:jc w:val="center"/>
              <w:rPr>
                <w:rFonts w:hint="eastAsia"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szCs w:val="21"/>
              </w:rPr>
            </w:pPr>
          </w:p>
        </w:tc>
        <w:tc>
          <w:tcPr>
            <w:tcW w:w="962" w:type="pct"/>
            <w:gridSpan w:val="2"/>
            <w:vAlign w:val="center"/>
          </w:tcPr>
          <w:p w14:paraId="1B40859A">
            <w:pPr>
              <w:jc w:val="center"/>
              <w:rPr>
                <w:rFonts w:hint="eastAsia" w:ascii="宋体" w:hAnsi="宋体" w:eastAsia="宋体"/>
                <w:szCs w:val="21"/>
              </w:rPr>
            </w:pPr>
          </w:p>
        </w:tc>
        <w:tc>
          <w:tcPr>
            <w:tcW w:w="903" w:type="pct"/>
            <w:gridSpan w:val="4"/>
            <w:vAlign w:val="center"/>
          </w:tcPr>
          <w:p w14:paraId="15522DA1">
            <w:pPr>
              <w:jc w:val="center"/>
              <w:rPr>
                <w:rFonts w:hint="eastAsia" w:ascii="宋体" w:hAnsi="宋体" w:eastAsia="宋体"/>
                <w:szCs w:val="21"/>
              </w:rPr>
            </w:pPr>
          </w:p>
        </w:tc>
        <w:tc>
          <w:tcPr>
            <w:tcW w:w="892" w:type="pct"/>
            <w:gridSpan w:val="2"/>
            <w:vAlign w:val="center"/>
          </w:tcPr>
          <w:p w14:paraId="0CAD3FD0">
            <w:pPr>
              <w:jc w:val="center"/>
              <w:rPr>
                <w:rFonts w:hint="eastAsia" w:ascii="宋体" w:hAnsi="宋体" w:eastAsia="宋体"/>
                <w:szCs w:val="21"/>
              </w:rPr>
            </w:pPr>
          </w:p>
        </w:tc>
        <w:tc>
          <w:tcPr>
            <w:tcW w:w="1399" w:type="pct"/>
            <w:gridSpan w:val="3"/>
            <w:vAlign w:val="center"/>
          </w:tcPr>
          <w:p w14:paraId="6D75C0E0">
            <w:pPr>
              <w:jc w:val="center"/>
              <w:rPr>
                <w:rFonts w:hint="eastAsia"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szCs w:val="21"/>
              </w:rPr>
            </w:pPr>
          </w:p>
        </w:tc>
        <w:tc>
          <w:tcPr>
            <w:tcW w:w="962" w:type="pct"/>
            <w:gridSpan w:val="2"/>
            <w:vAlign w:val="center"/>
          </w:tcPr>
          <w:p w14:paraId="6C354A75">
            <w:pPr>
              <w:jc w:val="center"/>
              <w:rPr>
                <w:rFonts w:hint="eastAsia" w:ascii="宋体" w:hAnsi="宋体" w:eastAsia="宋体"/>
                <w:szCs w:val="21"/>
              </w:rPr>
            </w:pPr>
          </w:p>
        </w:tc>
        <w:tc>
          <w:tcPr>
            <w:tcW w:w="903" w:type="pct"/>
            <w:gridSpan w:val="4"/>
            <w:vAlign w:val="center"/>
          </w:tcPr>
          <w:p w14:paraId="5376537B">
            <w:pPr>
              <w:jc w:val="center"/>
              <w:rPr>
                <w:rFonts w:hint="eastAsia" w:ascii="宋体" w:hAnsi="宋体" w:eastAsia="宋体"/>
                <w:szCs w:val="21"/>
              </w:rPr>
            </w:pPr>
          </w:p>
        </w:tc>
        <w:tc>
          <w:tcPr>
            <w:tcW w:w="892" w:type="pct"/>
            <w:gridSpan w:val="2"/>
            <w:vAlign w:val="center"/>
          </w:tcPr>
          <w:p w14:paraId="7D6D7284">
            <w:pPr>
              <w:jc w:val="center"/>
              <w:rPr>
                <w:rFonts w:hint="eastAsia" w:ascii="宋体" w:hAnsi="宋体" w:eastAsia="宋体"/>
                <w:szCs w:val="21"/>
              </w:rPr>
            </w:pPr>
          </w:p>
        </w:tc>
        <w:tc>
          <w:tcPr>
            <w:tcW w:w="1399" w:type="pct"/>
            <w:gridSpan w:val="3"/>
            <w:vAlign w:val="center"/>
          </w:tcPr>
          <w:p w14:paraId="6ACF342D">
            <w:pPr>
              <w:jc w:val="center"/>
              <w:rPr>
                <w:rFonts w:hint="eastAsia"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szCs w:val="21"/>
              </w:rPr>
            </w:pPr>
          </w:p>
        </w:tc>
        <w:tc>
          <w:tcPr>
            <w:tcW w:w="962" w:type="pct"/>
            <w:gridSpan w:val="2"/>
            <w:vAlign w:val="center"/>
          </w:tcPr>
          <w:p w14:paraId="37FC9F82">
            <w:pPr>
              <w:jc w:val="center"/>
              <w:rPr>
                <w:rFonts w:hint="eastAsia" w:ascii="宋体" w:hAnsi="宋体" w:eastAsia="宋体"/>
                <w:szCs w:val="21"/>
              </w:rPr>
            </w:pPr>
          </w:p>
        </w:tc>
        <w:tc>
          <w:tcPr>
            <w:tcW w:w="903" w:type="pct"/>
            <w:gridSpan w:val="4"/>
            <w:vAlign w:val="center"/>
          </w:tcPr>
          <w:p w14:paraId="71801AC3">
            <w:pPr>
              <w:jc w:val="center"/>
              <w:rPr>
                <w:rFonts w:hint="eastAsia" w:ascii="宋体" w:hAnsi="宋体" w:eastAsia="宋体"/>
                <w:szCs w:val="21"/>
              </w:rPr>
            </w:pPr>
          </w:p>
        </w:tc>
        <w:tc>
          <w:tcPr>
            <w:tcW w:w="892" w:type="pct"/>
            <w:gridSpan w:val="2"/>
            <w:vAlign w:val="center"/>
          </w:tcPr>
          <w:p w14:paraId="5A8F9131">
            <w:pPr>
              <w:jc w:val="center"/>
              <w:rPr>
                <w:rFonts w:hint="eastAsia" w:ascii="宋体" w:hAnsi="宋体" w:eastAsia="宋体"/>
                <w:szCs w:val="21"/>
              </w:rPr>
            </w:pPr>
          </w:p>
        </w:tc>
        <w:tc>
          <w:tcPr>
            <w:tcW w:w="1399" w:type="pct"/>
            <w:gridSpan w:val="3"/>
            <w:vAlign w:val="center"/>
          </w:tcPr>
          <w:p w14:paraId="50C1E36F">
            <w:pPr>
              <w:jc w:val="center"/>
              <w:rPr>
                <w:rFonts w:hint="eastAsia" w:ascii="宋体" w:hAnsi="宋体" w:eastAsia="宋体"/>
                <w:szCs w:val="21"/>
              </w:rPr>
            </w:pPr>
          </w:p>
        </w:tc>
      </w:tr>
    </w:tbl>
    <w:p w14:paraId="1764458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52" w:name="_Toc169799799"/>
      <w:r>
        <w:rPr>
          <w:rFonts w:ascii="宋体" w:hAnsi="宋体" w:eastAsia="宋体"/>
          <w:b/>
          <w:bCs/>
          <w:sz w:val="24"/>
          <w:szCs w:val="28"/>
        </w:rPr>
        <w:t>格式十</w:t>
      </w:r>
      <w:r>
        <w:rPr>
          <w:rFonts w:hint="eastAsia" w:ascii="宋体" w:hAnsi="宋体" w:eastAsia="宋体"/>
          <w:b/>
          <w:bCs/>
          <w:sz w:val="24"/>
          <w:szCs w:val="28"/>
          <w:lang w:val="en-US" w:eastAsia="zh-CN"/>
        </w:rPr>
        <w:t>五</w:t>
      </w:r>
      <w:r>
        <w:rPr>
          <w:rFonts w:ascii="宋体" w:hAnsi="宋体" w:eastAsia="宋体"/>
          <w:b/>
          <w:bCs/>
          <w:sz w:val="24"/>
          <w:szCs w:val="28"/>
        </w:rPr>
        <w:t>：</w:t>
      </w:r>
      <w:bookmarkEnd w:id="52"/>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及合同金额（万元）</w:t>
            </w:r>
          </w:p>
        </w:tc>
        <w:tc>
          <w:tcPr>
            <w:tcW w:w="627" w:type="pct"/>
          </w:tcPr>
          <w:p w14:paraId="472A2F1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hint="eastAsia" w:ascii="宋体" w:hAnsi="宋体" w:eastAsia="宋体" w:cs="Times New Roman"/>
                <w:szCs w:val="21"/>
              </w:rPr>
            </w:pPr>
          </w:p>
        </w:tc>
        <w:tc>
          <w:tcPr>
            <w:tcW w:w="1113" w:type="pct"/>
          </w:tcPr>
          <w:p w14:paraId="59C4F175">
            <w:pPr>
              <w:rPr>
                <w:rFonts w:hint="eastAsia" w:ascii="宋体" w:hAnsi="宋体" w:eastAsia="宋体" w:cs="Times New Roman"/>
                <w:szCs w:val="21"/>
              </w:rPr>
            </w:pPr>
          </w:p>
        </w:tc>
        <w:tc>
          <w:tcPr>
            <w:tcW w:w="704" w:type="pct"/>
          </w:tcPr>
          <w:p w14:paraId="736FFD0D">
            <w:pPr>
              <w:rPr>
                <w:rFonts w:hint="eastAsia" w:ascii="宋体" w:hAnsi="宋体" w:eastAsia="宋体" w:cs="Times New Roman"/>
                <w:szCs w:val="21"/>
              </w:rPr>
            </w:pPr>
          </w:p>
        </w:tc>
        <w:tc>
          <w:tcPr>
            <w:tcW w:w="627" w:type="pct"/>
          </w:tcPr>
          <w:p w14:paraId="11C97A5F">
            <w:pPr>
              <w:rPr>
                <w:rFonts w:hint="eastAsia" w:ascii="宋体" w:hAnsi="宋体" w:eastAsia="宋体" w:cs="Times New Roman"/>
                <w:szCs w:val="21"/>
              </w:rPr>
            </w:pPr>
          </w:p>
        </w:tc>
        <w:tc>
          <w:tcPr>
            <w:tcW w:w="705" w:type="pct"/>
          </w:tcPr>
          <w:p w14:paraId="2A4BDCFA">
            <w:pPr>
              <w:rPr>
                <w:rFonts w:hint="eastAsia" w:ascii="宋体" w:hAnsi="宋体" w:eastAsia="宋体" w:cs="Times New Roman"/>
                <w:szCs w:val="21"/>
              </w:rPr>
            </w:pPr>
          </w:p>
        </w:tc>
        <w:tc>
          <w:tcPr>
            <w:tcW w:w="855" w:type="pct"/>
          </w:tcPr>
          <w:p w14:paraId="3B692309">
            <w:pPr>
              <w:rPr>
                <w:rFonts w:hint="eastAsia"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hint="eastAsia" w:ascii="宋体" w:hAnsi="宋体" w:eastAsia="宋体" w:cs="Times New Roman"/>
                <w:szCs w:val="21"/>
              </w:rPr>
            </w:pPr>
          </w:p>
        </w:tc>
        <w:tc>
          <w:tcPr>
            <w:tcW w:w="1113" w:type="pct"/>
          </w:tcPr>
          <w:p w14:paraId="5F671B79">
            <w:pPr>
              <w:rPr>
                <w:rFonts w:hint="eastAsia" w:ascii="宋体" w:hAnsi="宋体" w:eastAsia="宋体" w:cs="Times New Roman"/>
                <w:szCs w:val="21"/>
              </w:rPr>
            </w:pPr>
          </w:p>
        </w:tc>
        <w:tc>
          <w:tcPr>
            <w:tcW w:w="704" w:type="pct"/>
          </w:tcPr>
          <w:p w14:paraId="1195D776">
            <w:pPr>
              <w:rPr>
                <w:rFonts w:hint="eastAsia" w:ascii="宋体" w:hAnsi="宋体" w:eastAsia="宋体" w:cs="Times New Roman"/>
                <w:szCs w:val="21"/>
              </w:rPr>
            </w:pPr>
          </w:p>
        </w:tc>
        <w:tc>
          <w:tcPr>
            <w:tcW w:w="627" w:type="pct"/>
          </w:tcPr>
          <w:p w14:paraId="315925D5">
            <w:pPr>
              <w:rPr>
                <w:rFonts w:hint="eastAsia" w:ascii="宋体" w:hAnsi="宋体" w:eastAsia="宋体" w:cs="Times New Roman"/>
                <w:szCs w:val="21"/>
              </w:rPr>
            </w:pPr>
          </w:p>
        </w:tc>
        <w:tc>
          <w:tcPr>
            <w:tcW w:w="705" w:type="pct"/>
          </w:tcPr>
          <w:p w14:paraId="3C778FED">
            <w:pPr>
              <w:rPr>
                <w:rFonts w:hint="eastAsia" w:ascii="宋体" w:hAnsi="宋体" w:eastAsia="宋体" w:cs="Times New Roman"/>
                <w:szCs w:val="21"/>
              </w:rPr>
            </w:pPr>
          </w:p>
        </w:tc>
        <w:tc>
          <w:tcPr>
            <w:tcW w:w="855" w:type="pct"/>
          </w:tcPr>
          <w:p w14:paraId="51D94A91">
            <w:pPr>
              <w:rPr>
                <w:rFonts w:hint="eastAsia"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hint="eastAsia" w:ascii="宋体" w:hAnsi="宋体" w:eastAsia="宋体" w:cs="Times New Roman"/>
                <w:szCs w:val="21"/>
              </w:rPr>
            </w:pPr>
          </w:p>
        </w:tc>
        <w:tc>
          <w:tcPr>
            <w:tcW w:w="1113" w:type="pct"/>
          </w:tcPr>
          <w:p w14:paraId="44E87058">
            <w:pPr>
              <w:rPr>
                <w:rFonts w:hint="eastAsia" w:ascii="宋体" w:hAnsi="宋体" w:eastAsia="宋体" w:cs="Times New Roman"/>
                <w:szCs w:val="21"/>
              </w:rPr>
            </w:pPr>
          </w:p>
        </w:tc>
        <w:tc>
          <w:tcPr>
            <w:tcW w:w="704" w:type="pct"/>
          </w:tcPr>
          <w:p w14:paraId="242ACC04">
            <w:pPr>
              <w:rPr>
                <w:rFonts w:hint="eastAsia" w:ascii="宋体" w:hAnsi="宋体" w:eastAsia="宋体" w:cs="Times New Roman"/>
                <w:szCs w:val="21"/>
              </w:rPr>
            </w:pPr>
          </w:p>
        </w:tc>
        <w:tc>
          <w:tcPr>
            <w:tcW w:w="627" w:type="pct"/>
          </w:tcPr>
          <w:p w14:paraId="46877AD0">
            <w:pPr>
              <w:rPr>
                <w:rFonts w:hint="eastAsia" w:ascii="宋体" w:hAnsi="宋体" w:eastAsia="宋体" w:cs="Times New Roman"/>
                <w:szCs w:val="21"/>
              </w:rPr>
            </w:pPr>
          </w:p>
        </w:tc>
        <w:tc>
          <w:tcPr>
            <w:tcW w:w="705" w:type="pct"/>
          </w:tcPr>
          <w:p w14:paraId="18E18C73">
            <w:pPr>
              <w:rPr>
                <w:rFonts w:hint="eastAsia" w:ascii="宋体" w:hAnsi="宋体" w:eastAsia="宋体" w:cs="Times New Roman"/>
                <w:szCs w:val="21"/>
              </w:rPr>
            </w:pPr>
          </w:p>
        </w:tc>
        <w:tc>
          <w:tcPr>
            <w:tcW w:w="855" w:type="pct"/>
          </w:tcPr>
          <w:p w14:paraId="1FD5C6D6">
            <w:pPr>
              <w:rPr>
                <w:rFonts w:hint="eastAsia"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hint="eastAsia" w:ascii="宋体" w:hAnsi="宋体" w:eastAsia="宋体" w:cs="Times New Roman"/>
                <w:szCs w:val="21"/>
              </w:rPr>
            </w:pPr>
          </w:p>
        </w:tc>
        <w:tc>
          <w:tcPr>
            <w:tcW w:w="1113" w:type="pct"/>
          </w:tcPr>
          <w:p w14:paraId="3C34C2FE">
            <w:pPr>
              <w:rPr>
                <w:rFonts w:hint="eastAsia" w:ascii="宋体" w:hAnsi="宋体" w:eastAsia="宋体" w:cs="Times New Roman"/>
                <w:szCs w:val="21"/>
              </w:rPr>
            </w:pPr>
          </w:p>
        </w:tc>
        <w:tc>
          <w:tcPr>
            <w:tcW w:w="704" w:type="pct"/>
          </w:tcPr>
          <w:p w14:paraId="4F2970B3">
            <w:pPr>
              <w:rPr>
                <w:rFonts w:hint="eastAsia" w:ascii="宋体" w:hAnsi="宋体" w:eastAsia="宋体" w:cs="Times New Roman"/>
                <w:szCs w:val="21"/>
              </w:rPr>
            </w:pPr>
          </w:p>
        </w:tc>
        <w:tc>
          <w:tcPr>
            <w:tcW w:w="627" w:type="pct"/>
          </w:tcPr>
          <w:p w14:paraId="6F850DDD">
            <w:pPr>
              <w:rPr>
                <w:rFonts w:hint="eastAsia" w:ascii="宋体" w:hAnsi="宋体" w:eastAsia="宋体" w:cs="Times New Roman"/>
                <w:szCs w:val="21"/>
              </w:rPr>
            </w:pPr>
          </w:p>
        </w:tc>
        <w:tc>
          <w:tcPr>
            <w:tcW w:w="705" w:type="pct"/>
          </w:tcPr>
          <w:p w14:paraId="03D5687C">
            <w:pPr>
              <w:rPr>
                <w:rFonts w:hint="eastAsia" w:ascii="宋体" w:hAnsi="宋体" w:eastAsia="宋体" w:cs="Times New Roman"/>
                <w:szCs w:val="21"/>
              </w:rPr>
            </w:pPr>
          </w:p>
        </w:tc>
        <w:tc>
          <w:tcPr>
            <w:tcW w:w="855" w:type="pct"/>
          </w:tcPr>
          <w:p w14:paraId="2D160E47">
            <w:pPr>
              <w:rPr>
                <w:rFonts w:hint="eastAsia"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hint="eastAsia" w:ascii="宋体" w:hAnsi="宋体" w:eastAsia="宋体" w:cs="Times New Roman"/>
                <w:szCs w:val="21"/>
              </w:rPr>
            </w:pPr>
          </w:p>
        </w:tc>
        <w:tc>
          <w:tcPr>
            <w:tcW w:w="1113" w:type="pct"/>
          </w:tcPr>
          <w:p w14:paraId="6CE47906">
            <w:pPr>
              <w:rPr>
                <w:rFonts w:hint="eastAsia" w:ascii="宋体" w:hAnsi="宋体" w:eastAsia="宋体" w:cs="Times New Roman"/>
                <w:szCs w:val="21"/>
              </w:rPr>
            </w:pPr>
          </w:p>
        </w:tc>
        <w:tc>
          <w:tcPr>
            <w:tcW w:w="704" w:type="pct"/>
          </w:tcPr>
          <w:p w14:paraId="1403D1F2">
            <w:pPr>
              <w:rPr>
                <w:rFonts w:hint="eastAsia" w:ascii="宋体" w:hAnsi="宋体" w:eastAsia="宋体" w:cs="Times New Roman"/>
                <w:szCs w:val="21"/>
              </w:rPr>
            </w:pPr>
          </w:p>
        </w:tc>
        <w:tc>
          <w:tcPr>
            <w:tcW w:w="627" w:type="pct"/>
          </w:tcPr>
          <w:p w14:paraId="4BA1DEFE">
            <w:pPr>
              <w:rPr>
                <w:rFonts w:hint="eastAsia" w:ascii="宋体" w:hAnsi="宋体" w:eastAsia="宋体" w:cs="Times New Roman"/>
                <w:szCs w:val="21"/>
              </w:rPr>
            </w:pPr>
          </w:p>
        </w:tc>
        <w:tc>
          <w:tcPr>
            <w:tcW w:w="705" w:type="pct"/>
          </w:tcPr>
          <w:p w14:paraId="7199E0A4">
            <w:pPr>
              <w:rPr>
                <w:rFonts w:hint="eastAsia" w:ascii="宋体" w:hAnsi="宋体" w:eastAsia="宋体" w:cs="Times New Roman"/>
                <w:szCs w:val="21"/>
              </w:rPr>
            </w:pPr>
          </w:p>
        </w:tc>
        <w:tc>
          <w:tcPr>
            <w:tcW w:w="855" w:type="pct"/>
          </w:tcPr>
          <w:p w14:paraId="374BE878">
            <w:pPr>
              <w:rPr>
                <w:rFonts w:hint="eastAsia"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53" w:name="_Toc169799800"/>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53"/>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6"/>
          <w:rFonts w:ascii="宋体" w:hAnsi="宋体" w:eastAsia="宋体" w:cs="Arial"/>
          <w:i w:val="0"/>
          <w:iCs w:val="0"/>
          <w:szCs w:val="21"/>
          <w:shd w:val="clear" w:color="auto" w:fill="FFFFFF"/>
        </w:rPr>
        <w:t>/</w:t>
      </w:r>
      <w:r>
        <w:rPr>
          <w:rStyle w:val="16"/>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6"/>
          <w:rFonts w:ascii="宋体" w:hAnsi="宋体" w:eastAsia="宋体" w:cs="Arial"/>
          <w:i w:val="0"/>
          <w:iCs w:val="0"/>
          <w:szCs w:val="21"/>
          <w:shd w:val="clear" w:color="auto" w:fill="FFFFFF"/>
        </w:rPr>
        <w:t>。</w:t>
      </w:r>
    </w:p>
    <w:p w14:paraId="278EC07C">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4" w:name="_Hlk169717981"/>
      <w:r>
        <w:rPr>
          <w:rFonts w:ascii="宋体" w:hAnsi="宋体" w:eastAsia="宋体" w:cs="Times New Roman"/>
          <w:kern w:val="0"/>
          <w:szCs w:val="21"/>
          <w:lang w:eastAsia="zh-Hans"/>
        </w:rPr>
        <w:t>“备注”</w:t>
      </w:r>
      <w:bookmarkEnd w:id="54"/>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55" w:name="_Toc169799801"/>
      <w:r>
        <w:rPr>
          <w:rFonts w:ascii="宋体" w:hAnsi="宋体" w:eastAsia="宋体"/>
          <w:b/>
          <w:bCs/>
          <w:sz w:val="24"/>
          <w:szCs w:val="28"/>
        </w:rPr>
        <w:t>格式十</w:t>
      </w:r>
      <w:r>
        <w:rPr>
          <w:rFonts w:hint="eastAsia" w:ascii="宋体" w:hAnsi="宋体" w:eastAsia="宋体"/>
          <w:b/>
          <w:bCs/>
          <w:sz w:val="24"/>
          <w:szCs w:val="28"/>
          <w:lang w:val="en-US" w:eastAsia="zh-CN"/>
        </w:rPr>
        <w:t>七</w:t>
      </w:r>
      <w:r>
        <w:rPr>
          <w:rFonts w:ascii="宋体" w:hAnsi="宋体" w:eastAsia="宋体"/>
          <w:b/>
          <w:bCs/>
          <w:sz w:val="24"/>
          <w:szCs w:val="28"/>
        </w:rPr>
        <w:t>：</w:t>
      </w:r>
      <w:bookmarkEnd w:id="55"/>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hint="eastAsia"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hint="eastAsia" w:ascii="宋体" w:hAnsi="宋体" w:eastAsia="宋体" w:cs="Times New Roman"/>
                <w:szCs w:val="21"/>
              </w:rPr>
            </w:pPr>
          </w:p>
        </w:tc>
        <w:tc>
          <w:tcPr>
            <w:tcW w:w="850" w:type="pct"/>
          </w:tcPr>
          <w:p w14:paraId="587938BA">
            <w:pPr>
              <w:rPr>
                <w:rFonts w:hint="eastAsia" w:ascii="宋体" w:hAnsi="宋体" w:eastAsia="宋体" w:cs="Times New Roman"/>
                <w:szCs w:val="21"/>
              </w:rPr>
            </w:pPr>
          </w:p>
        </w:tc>
        <w:tc>
          <w:tcPr>
            <w:tcW w:w="896" w:type="pct"/>
          </w:tcPr>
          <w:p w14:paraId="3D822424">
            <w:pPr>
              <w:rPr>
                <w:rFonts w:hint="eastAsia" w:ascii="宋体" w:hAnsi="宋体" w:eastAsia="宋体" w:cs="Times New Roman"/>
                <w:szCs w:val="21"/>
              </w:rPr>
            </w:pPr>
          </w:p>
        </w:tc>
        <w:tc>
          <w:tcPr>
            <w:tcW w:w="712" w:type="pct"/>
          </w:tcPr>
          <w:p w14:paraId="44B15A7C">
            <w:pPr>
              <w:rPr>
                <w:rFonts w:hint="eastAsia" w:ascii="宋体" w:hAnsi="宋体" w:eastAsia="宋体" w:cs="Times New Roman"/>
                <w:szCs w:val="21"/>
              </w:rPr>
            </w:pPr>
          </w:p>
        </w:tc>
        <w:tc>
          <w:tcPr>
            <w:tcW w:w="712" w:type="pct"/>
          </w:tcPr>
          <w:p w14:paraId="62E925FB">
            <w:pPr>
              <w:rPr>
                <w:rFonts w:hint="eastAsia" w:ascii="宋体" w:hAnsi="宋体" w:eastAsia="宋体" w:cs="Times New Roman"/>
                <w:szCs w:val="21"/>
              </w:rPr>
            </w:pPr>
          </w:p>
        </w:tc>
        <w:tc>
          <w:tcPr>
            <w:tcW w:w="712" w:type="pct"/>
          </w:tcPr>
          <w:p w14:paraId="2562ED58">
            <w:pPr>
              <w:rPr>
                <w:rFonts w:hint="eastAsia"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hint="eastAsia" w:ascii="宋体" w:hAnsi="宋体" w:eastAsia="宋体" w:cs="Times New Roman"/>
                <w:szCs w:val="21"/>
              </w:rPr>
            </w:pPr>
          </w:p>
        </w:tc>
        <w:tc>
          <w:tcPr>
            <w:tcW w:w="850" w:type="pct"/>
          </w:tcPr>
          <w:p w14:paraId="5BC9E0CB">
            <w:pPr>
              <w:rPr>
                <w:rFonts w:hint="eastAsia" w:ascii="宋体" w:hAnsi="宋体" w:eastAsia="宋体" w:cs="Times New Roman"/>
                <w:szCs w:val="21"/>
              </w:rPr>
            </w:pPr>
          </w:p>
        </w:tc>
        <w:tc>
          <w:tcPr>
            <w:tcW w:w="896" w:type="pct"/>
          </w:tcPr>
          <w:p w14:paraId="6AC1B8EA">
            <w:pPr>
              <w:rPr>
                <w:rFonts w:hint="eastAsia" w:ascii="宋体" w:hAnsi="宋体" w:eastAsia="宋体" w:cs="Times New Roman"/>
                <w:szCs w:val="21"/>
              </w:rPr>
            </w:pPr>
          </w:p>
        </w:tc>
        <w:tc>
          <w:tcPr>
            <w:tcW w:w="712" w:type="pct"/>
          </w:tcPr>
          <w:p w14:paraId="24DFDBCD">
            <w:pPr>
              <w:rPr>
                <w:rFonts w:hint="eastAsia" w:ascii="宋体" w:hAnsi="宋体" w:eastAsia="宋体" w:cs="Times New Roman"/>
                <w:szCs w:val="21"/>
              </w:rPr>
            </w:pPr>
          </w:p>
        </w:tc>
        <w:tc>
          <w:tcPr>
            <w:tcW w:w="712" w:type="pct"/>
          </w:tcPr>
          <w:p w14:paraId="3B000570">
            <w:pPr>
              <w:rPr>
                <w:rFonts w:hint="eastAsia" w:ascii="宋体" w:hAnsi="宋体" w:eastAsia="宋体" w:cs="Times New Roman"/>
                <w:szCs w:val="21"/>
              </w:rPr>
            </w:pPr>
          </w:p>
        </w:tc>
        <w:tc>
          <w:tcPr>
            <w:tcW w:w="712" w:type="pct"/>
          </w:tcPr>
          <w:p w14:paraId="0ADD7BD9">
            <w:pPr>
              <w:rPr>
                <w:rFonts w:hint="eastAsia"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hint="eastAsia" w:ascii="宋体" w:hAnsi="宋体" w:eastAsia="宋体" w:cs="Times New Roman"/>
                <w:szCs w:val="21"/>
              </w:rPr>
            </w:pPr>
          </w:p>
        </w:tc>
        <w:tc>
          <w:tcPr>
            <w:tcW w:w="850" w:type="pct"/>
          </w:tcPr>
          <w:p w14:paraId="54B852DF">
            <w:pPr>
              <w:rPr>
                <w:rFonts w:hint="eastAsia" w:ascii="宋体" w:hAnsi="宋体" w:eastAsia="宋体" w:cs="Times New Roman"/>
                <w:szCs w:val="21"/>
              </w:rPr>
            </w:pPr>
          </w:p>
        </w:tc>
        <w:tc>
          <w:tcPr>
            <w:tcW w:w="896" w:type="pct"/>
          </w:tcPr>
          <w:p w14:paraId="3E501B1A">
            <w:pPr>
              <w:rPr>
                <w:rFonts w:hint="eastAsia" w:ascii="宋体" w:hAnsi="宋体" w:eastAsia="宋体" w:cs="Times New Roman"/>
                <w:szCs w:val="21"/>
              </w:rPr>
            </w:pPr>
          </w:p>
        </w:tc>
        <w:tc>
          <w:tcPr>
            <w:tcW w:w="712" w:type="pct"/>
          </w:tcPr>
          <w:p w14:paraId="222C8DC3">
            <w:pPr>
              <w:rPr>
                <w:rFonts w:hint="eastAsia" w:ascii="宋体" w:hAnsi="宋体" w:eastAsia="宋体" w:cs="Times New Roman"/>
                <w:szCs w:val="21"/>
              </w:rPr>
            </w:pPr>
          </w:p>
        </w:tc>
        <w:tc>
          <w:tcPr>
            <w:tcW w:w="712" w:type="pct"/>
          </w:tcPr>
          <w:p w14:paraId="22473919">
            <w:pPr>
              <w:rPr>
                <w:rFonts w:hint="eastAsia" w:ascii="宋体" w:hAnsi="宋体" w:eastAsia="宋体" w:cs="Times New Roman"/>
                <w:szCs w:val="21"/>
              </w:rPr>
            </w:pPr>
          </w:p>
        </w:tc>
        <w:tc>
          <w:tcPr>
            <w:tcW w:w="712" w:type="pct"/>
          </w:tcPr>
          <w:p w14:paraId="216643F5">
            <w:pPr>
              <w:rPr>
                <w:rFonts w:hint="eastAsia"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hint="eastAsia" w:ascii="宋体" w:hAnsi="宋体" w:eastAsia="宋体" w:cs="Times New Roman"/>
                <w:szCs w:val="21"/>
              </w:rPr>
            </w:pPr>
          </w:p>
        </w:tc>
        <w:tc>
          <w:tcPr>
            <w:tcW w:w="850" w:type="pct"/>
          </w:tcPr>
          <w:p w14:paraId="7023FC4A">
            <w:pPr>
              <w:rPr>
                <w:rFonts w:hint="eastAsia" w:ascii="宋体" w:hAnsi="宋体" w:eastAsia="宋体" w:cs="Times New Roman"/>
                <w:szCs w:val="21"/>
              </w:rPr>
            </w:pPr>
          </w:p>
        </w:tc>
        <w:tc>
          <w:tcPr>
            <w:tcW w:w="896" w:type="pct"/>
          </w:tcPr>
          <w:p w14:paraId="2F92A615">
            <w:pPr>
              <w:rPr>
                <w:rFonts w:hint="eastAsia" w:ascii="宋体" w:hAnsi="宋体" w:eastAsia="宋体" w:cs="Times New Roman"/>
                <w:szCs w:val="21"/>
              </w:rPr>
            </w:pPr>
          </w:p>
        </w:tc>
        <w:tc>
          <w:tcPr>
            <w:tcW w:w="712" w:type="pct"/>
          </w:tcPr>
          <w:p w14:paraId="27FA4F91">
            <w:pPr>
              <w:rPr>
                <w:rFonts w:hint="eastAsia" w:ascii="宋体" w:hAnsi="宋体" w:eastAsia="宋体" w:cs="Times New Roman"/>
                <w:szCs w:val="21"/>
              </w:rPr>
            </w:pPr>
          </w:p>
        </w:tc>
        <w:tc>
          <w:tcPr>
            <w:tcW w:w="712" w:type="pct"/>
          </w:tcPr>
          <w:p w14:paraId="48CB42A5">
            <w:pPr>
              <w:rPr>
                <w:rFonts w:hint="eastAsia" w:ascii="宋体" w:hAnsi="宋体" w:eastAsia="宋体" w:cs="Times New Roman"/>
                <w:szCs w:val="21"/>
              </w:rPr>
            </w:pPr>
          </w:p>
        </w:tc>
        <w:tc>
          <w:tcPr>
            <w:tcW w:w="712" w:type="pct"/>
          </w:tcPr>
          <w:p w14:paraId="38C88D08">
            <w:pPr>
              <w:rPr>
                <w:rFonts w:hint="eastAsia"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hint="eastAsia" w:ascii="宋体" w:hAnsi="宋体" w:eastAsia="宋体" w:cs="Times New Roman"/>
                <w:szCs w:val="21"/>
              </w:rPr>
            </w:pPr>
          </w:p>
        </w:tc>
        <w:tc>
          <w:tcPr>
            <w:tcW w:w="850" w:type="pct"/>
          </w:tcPr>
          <w:p w14:paraId="47D328C1">
            <w:pPr>
              <w:rPr>
                <w:rFonts w:hint="eastAsia" w:ascii="宋体" w:hAnsi="宋体" w:eastAsia="宋体" w:cs="Times New Roman"/>
                <w:szCs w:val="21"/>
              </w:rPr>
            </w:pPr>
          </w:p>
        </w:tc>
        <w:tc>
          <w:tcPr>
            <w:tcW w:w="896" w:type="pct"/>
          </w:tcPr>
          <w:p w14:paraId="0ACF4650">
            <w:pPr>
              <w:rPr>
                <w:rFonts w:hint="eastAsia" w:ascii="宋体" w:hAnsi="宋体" w:eastAsia="宋体" w:cs="Times New Roman"/>
                <w:szCs w:val="21"/>
              </w:rPr>
            </w:pPr>
          </w:p>
        </w:tc>
        <w:tc>
          <w:tcPr>
            <w:tcW w:w="712" w:type="pct"/>
          </w:tcPr>
          <w:p w14:paraId="4CC92881">
            <w:pPr>
              <w:rPr>
                <w:rFonts w:hint="eastAsia" w:ascii="宋体" w:hAnsi="宋体" w:eastAsia="宋体" w:cs="Times New Roman"/>
                <w:szCs w:val="21"/>
              </w:rPr>
            </w:pPr>
          </w:p>
        </w:tc>
        <w:tc>
          <w:tcPr>
            <w:tcW w:w="712" w:type="pct"/>
          </w:tcPr>
          <w:p w14:paraId="5C23B49A">
            <w:pPr>
              <w:rPr>
                <w:rFonts w:hint="eastAsia" w:ascii="宋体" w:hAnsi="宋体" w:eastAsia="宋体" w:cs="Times New Roman"/>
                <w:szCs w:val="21"/>
              </w:rPr>
            </w:pPr>
          </w:p>
        </w:tc>
        <w:tc>
          <w:tcPr>
            <w:tcW w:w="712" w:type="pct"/>
          </w:tcPr>
          <w:p w14:paraId="60D46CAF">
            <w:pPr>
              <w:rPr>
                <w:rFonts w:hint="eastAsia"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hint="eastAsia" w:ascii="宋体" w:hAnsi="宋体" w:eastAsia="宋体" w:cs="Times New Roman"/>
                <w:szCs w:val="21"/>
              </w:rPr>
            </w:pPr>
          </w:p>
        </w:tc>
        <w:tc>
          <w:tcPr>
            <w:tcW w:w="850" w:type="pct"/>
          </w:tcPr>
          <w:p w14:paraId="5BC0F843">
            <w:pPr>
              <w:rPr>
                <w:rFonts w:hint="eastAsia" w:ascii="宋体" w:hAnsi="宋体" w:eastAsia="宋体" w:cs="Times New Roman"/>
                <w:szCs w:val="21"/>
              </w:rPr>
            </w:pPr>
          </w:p>
        </w:tc>
        <w:tc>
          <w:tcPr>
            <w:tcW w:w="896" w:type="pct"/>
          </w:tcPr>
          <w:p w14:paraId="15011B80">
            <w:pPr>
              <w:rPr>
                <w:rFonts w:hint="eastAsia" w:ascii="宋体" w:hAnsi="宋体" w:eastAsia="宋体" w:cs="Times New Roman"/>
                <w:szCs w:val="21"/>
              </w:rPr>
            </w:pPr>
          </w:p>
        </w:tc>
        <w:tc>
          <w:tcPr>
            <w:tcW w:w="712" w:type="pct"/>
          </w:tcPr>
          <w:p w14:paraId="6688CC53">
            <w:pPr>
              <w:rPr>
                <w:rFonts w:hint="eastAsia" w:ascii="宋体" w:hAnsi="宋体" w:eastAsia="宋体" w:cs="Times New Roman"/>
                <w:szCs w:val="21"/>
              </w:rPr>
            </w:pPr>
          </w:p>
        </w:tc>
        <w:tc>
          <w:tcPr>
            <w:tcW w:w="712" w:type="pct"/>
          </w:tcPr>
          <w:p w14:paraId="2913694A">
            <w:pPr>
              <w:rPr>
                <w:rFonts w:hint="eastAsia" w:ascii="宋体" w:hAnsi="宋体" w:eastAsia="宋体" w:cs="Times New Roman"/>
                <w:szCs w:val="21"/>
              </w:rPr>
            </w:pPr>
          </w:p>
        </w:tc>
        <w:tc>
          <w:tcPr>
            <w:tcW w:w="712" w:type="pct"/>
          </w:tcPr>
          <w:p w14:paraId="68BB0D41">
            <w:pPr>
              <w:rPr>
                <w:rFonts w:hint="eastAsia"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hint="eastAsia" w:ascii="宋体" w:hAnsi="宋体" w:eastAsia="宋体" w:cs="Times New Roman"/>
                <w:szCs w:val="21"/>
              </w:rPr>
            </w:pPr>
          </w:p>
        </w:tc>
        <w:tc>
          <w:tcPr>
            <w:tcW w:w="850" w:type="pct"/>
          </w:tcPr>
          <w:p w14:paraId="656F6909">
            <w:pPr>
              <w:rPr>
                <w:rFonts w:hint="eastAsia" w:ascii="宋体" w:hAnsi="宋体" w:eastAsia="宋体" w:cs="Times New Roman"/>
                <w:szCs w:val="21"/>
              </w:rPr>
            </w:pPr>
          </w:p>
        </w:tc>
        <w:tc>
          <w:tcPr>
            <w:tcW w:w="896" w:type="pct"/>
          </w:tcPr>
          <w:p w14:paraId="7E1D64D8">
            <w:pPr>
              <w:rPr>
                <w:rFonts w:hint="eastAsia" w:ascii="宋体" w:hAnsi="宋体" w:eastAsia="宋体" w:cs="Times New Roman"/>
                <w:szCs w:val="21"/>
              </w:rPr>
            </w:pPr>
          </w:p>
        </w:tc>
        <w:tc>
          <w:tcPr>
            <w:tcW w:w="712" w:type="pct"/>
          </w:tcPr>
          <w:p w14:paraId="48B2A5DC">
            <w:pPr>
              <w:rPr>
                <w:rFonts w:hint="eastAsia" w:ascii="宋体" w:hAnsi="宋体" w:eastAsia="宋体" w:cs="Times New Roman"/>
                <w:szCs w:val="21"/>
              </w:rPr>
            </w:pPr>
          </w:p>
        </w:tc>
        <w:tc>
          <w:tcPr>
            <w:tcW w:w="712" w:type="pct"/>
          </w:tcPr>
          <w:p w14:paraId="0891B846">
            <w:pPr>
              <w:rPr>
                <w:rFonts w:hint="eastAsia" w:ascii="宋体" w:hAnsi="宋体" w:eastAsia="宋体" w:cs="Times New Roman"/>
                <w:szCs w:val="21"/>
              </w:rPr>
            </w:pPr>
          </w:p>
        </w:tc>
        <w:tc>
          <w:tcPr>
            <w:tcW w:w="712" w:type="pct"/>
          </w:tcPr>
          <w:p w14:paraId="5957169E">
            <w:pPr>
              <w:rPr>
                <w:rFonts w:hint="eastAsia"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hint="eastAsia" w:ascii="宋体" w:hAnsi="宋体" w:eastAsia="宋体" w:cs="Times New Roman"/>
                <w:szCs w:val="21"/>
              </w:rPr>
            </w:pPr>
          </w:p>
        </w:tc>
        <w:tc>
          <w:tcPr>
            <w:tcW w:w="850" w:type="pct"/>
          </w:tcPr>
          <w:p w14:paraId="22F1E0A2">
            <w:pPr>
              <w:rPr>
                <w:rFonts w:hint="eastAsia" w:ascii="宋体" w:hAnsi="宋体" w:eastAsia="宋体" w:cs="Times New Roman"/>
                <w:szCs w:val="21"/>
              </w:rPr>
            </w:pPr>
          </w:p>
        </w:tc>
        <w:tc>
          <w:tcPr>
            <w:tcW w:w="896" w:type="pct"/>
          </w:tcPr>
          <w:p w14:paraId="344367AA">
            <w:pPr>
              <w:rPr>
                <w:rFonts w:hint="eastAsia" w:ascii="宋体" w:hAnsi="宋体" w:eastAsia="宋体" w:cs="Times New Roman"/>
                <w:szCs w:val="21"/>
              </w:rPr>
            </w:pPr>
          </w:p>
        </w:tc>
        <w:tc>
          <w:tcPr>
            <w:tcW w:w="712" w:type="pct"/>
          </w:tcPr>
          <w:p w14:paraId="18ECC32C">
            <w:pPr>
              <w:rPr>
                <w:rFonts w:hint="eastAsia" w:ascii="宋体" w:hAnsi="宋体" w:eastAsia="宋体" w:cs="Times New Roman"/>
                <w:szCs w:val="21"/>
              </w:rPr>
            </w:pPr>
          </w:p>
        </w:tc>
        <w:tc>
          <w:tcPr>
            <w:tcW w:w="712" w:type="pct"/>
          </w:tcPr>
          <w:p w14:paraId="4E081D5D">
            <w:pPr>
              <w:rPr>
                <w:rFonts w:hint="eastAsia" w:ascii="宋体" w:hAnsi="宋体" w:eastAsia="宋体" w:cs="Times New Roman"/>
                <w:szCs w:val="21"/>
              </w:rPr>
            </w:pPr>
          </w:p>
        </w:tc>
        <w:tc>
          <w:tcPr>
            <w:tcW w:w="712" w:type="pct"/>
          </w:tcPr>
          <w:p w14:paraId="285B6356">
            <w:pPr>
              <w:rPr>
                <w:rFonts w:hint="eastAsia"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hint="eastAsia" w:ascii="宋体" w:hAnsi="宋体" w:eastAsia="宋体" w:cs="Times New Roman"/>
                <w:szCs w:val="21"/>
              </w:rPr>
            </w:pPr>
          </w:p>
        </w:tc>
        <w:tc>
          <w:tcPr>
            <w:tcW w:w="850" w:type="pct"/>
          </w:tcPr>
          <w:p w14:paraId="3B3CBE9C">
            <w:pPr>
              <w:rPr>
                <w:rFonts w:hint="eastAsia" w:ascii="宋体" w:hAnsi="宋体" w:eastAsia="宋体" w:cs="Times New Roman"/>
                <w:szCs w:val="21"/>
              </w:rPr>
            </w:pPr>
          </w:p>
        </w:tc>
        <w:tc>
          <w:tcPr>
            <w:tcW w:w="896" w:type="pct"/>
          </w:tcPr>
          <w:p w14:paraId="24693B6B">
            <w:pPr>
              <w:rPr>
                <w:rFonts w:hint="eastAsia" w:ascii="宋体" w:hAnsi="宋体" w:eastAsia="宋体" w:cs="Times New Roman"/>
                <w:szCs w:val="21"/>
              </w:rPr>
            </w:pPr>
          </w:p>
        </w:tc>
        <w:tc>
          <w:tcPr>
            <w:tcW w:w="712" w:type="pct"/>
          </w:tcPr>
          <w:p w14:paraId="74193C0E">
            <w:pPr>
              <w:rPr>
                <w:rFonts w:hint="eastAsia" w:ascii="宋体" w:hAnsi="宋体" w:eastAsia="宋体" w:cs="Times New Roman"/>
                <w:szCs w:val="21"/>
              </w:rPr>
            </w:pPr>
          </w:p>
        </w:tc>
        <w:tc>
          <w:tcPr>
            <w:tcW w:w="712" w:type="pct"/>
          </w:tcPr>
          <w:p w14:paraId="0721CA2B">
            <w:pPr>
              <w:rPr>
                <w:rFonts w:hint="eastAsia" w:ascii="宋体" w:hAnsi="宋体" w:eastAsia="宋体" w:cs="Times New Roman"/>
                <w:szCs w:val="21"/>
              </w:rPr>
            </w:pPr>
          </w:p>
        </w:tc>
        <w:tc>
          <w:tcPr>
            <w:tcW w:w="712" w:type="pct"/>
          </w:tcPr>
          <w:p w14:paraId="36558872">
            <w:pPr>
              <w:rPr>
                <w:rFonts w:hint="eastAsia"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hint="eastAsia" w:ascii="宋体" w:hAnsi="宋体" w:eastAsia="宋体" w:cs="Times New Roman"/>
                <w:szCs w:val="21"/>
              </w:rPr>
            </w:pPr>
          </w:p>
        </w:tc>
        <w:tc>
          <w:tcPr>
            <w:tcW w:w="850" w:type="pct"/>
          </w:tcPr>
          <w:p w14:paraId="2471CDC0">
            <w:pPr>
              <w:rPr>
                <w:rFonts w:hint="eastAsia" w:ascii="宋体" w:hAnsi="宋体" w:eastAsia="宋体" w:cs="Times New Roman"/>
                <w:szCs w:val="21"/>
              </w:rPr>
            </w:pPr>
          </w:p>
        </w:tc>
        <w:tc>
          <w:tcPr>
            <w:tcW w:w="896" w:type="pct"/>
          </w:tcPr>
          <w:p w14:paraId="3CEF178A">
            <w:pPr>
              <w:rPr>
                <w:rFonts w:hint="eastAsia" w:ascii="宋体" w:hAnsi="宋体" w:eastAsia="宋体" w:cs="Times New Roman"/>
                <w:szCs w:val="21"/>
              </w:rPr>
            </w:pPr>
          </w:p>
        </w:tc>
        <w:tc>
          <w:tcPr>
            <w:tcW w:w="712" w:type="pct"/>
          </w:tcPr>
          <w:p w14:paraId="3B66EC57">
            <w:pPr>
              <w:rPr>
                <w:rFonts w:hint="eastAsia" w:ascii="宋体" w:hAnsi="宋体" w:eastAsia="宋体" w:cs="Times New Roman"/>
                <w:szCs w:val="21"/>
              </w:rPr>
            </w:pPr>
          </w:p>
        </w:tc>
        <w:tc>
          <w:tcPr>
            <w:tcW w:w="712" w:type="pct"/>
          </w:tcPr>
          <w:p w14:paraId="76858BF6">
            <w:pPr>
              <w:rPr>
                <w:rFonts w:hint="eastAsia" w:ascii="宋体" w:hAnsi="宋体" w:eastAsia="宋体" w:cs="Times New Roman"/>
                <w:szCs w:val="21"/>
              </w:rPr>
            </w:pPr>
          </w:p>
        </w:tc>
        <w:tc>
          <w:tcPr>
            <w:tcW w:w="712" w:type="pct"/>
          </w:tcPr>
          <w:p w14:paraId="7C574BB5">
            <w:pPr>
              <w:rPr>
                <w:rFonts w:hint="eastAsia"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ED281EA">
      <w:pPr>
        <w:pageBreakBefore/>
        <w:rPr>
          <w:rFonts w:ascii="Calibri" w:hAnsi="Calibri" w:eastAsia="宋体" w:cs="Times New Roman"/>
          <w:kern w:val="0"/>
          <w:sz w:val="20"/>
          <w:szCs w:val="20"/>
          <w:lang w:eastAsia="zh-Hans"/>
        </w:rPr>
      </w:pPr>
      <w:bookmarkStart w:id="56" w:name="_Toc169799802"/>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56"/>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57" w:name="_Toc16979980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57"/>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58" w:name="_Toc169799804"/>
      <w:r>
        <w:rPr>
          <w:rFonts w:ascii="宋体" w:hAnsi="宋体" w:eastAsia="宋体"/>
          <w:b/>
          <w:bCs/>
          <w:sz w:val="24"/>
          <w:szCs w:val="28"/>
        </w:rPr>
        <w:t>格式二十：</w:t>
      </w:r>
      <w:bookmarkEnd w:id="58"/>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hint="eastAsia" w:ascii="宋体" w:hAnsi="宋体" w:eastAsia="宋体" w:cs="Times New Roman"/>
          <w:kern w:val="0"/>
          <w:szCs w:val="21"/>
          <w:lang w:eastAsia="zh-Hans"/>
        </w:rPr>
      </w:pPr>
      <w:bookmarkStart w:id="59" w:name="_Hlk170136144"/>
      <w:r>
        <w:rPr>
          <w:rFonts w:ascii="宋体" w:hAnsi="宋体" w:eastAsia="宋体" w:cs="Times New Roman"/>
          <w:kern w:val="0"/>
          <w:szCs w:val="21"/>
          <w:lang w:eastAsia="zh-Hans"/>
        </w:rPr>
        <w:t>一、投诉相关主体基本情况</w:t>
      </w:r>
    </w:p>
    <w:p w14:paraId="63A946CA">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9"/>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60" w:name="_Toc169799806"/>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60"/>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19"/>
        <w:rPr>
          <w:rFonts w:hint="default" w:ascii="Calibri" w:hAnsi="Calibri" w:eastAsia="宋体" w:cs="Times New Roman"/>
        </w:rPr>
      </w:pPr>
      <w:r>
        <w:rPr>
          <w:rFonts w:ascii="Calibri" w:hAnsi="Calibri" w:eastAsia="宋体" w:cs="Times New Roman"/>
        </w:rPr>
        <w:t>项目实施方案、质量保证及售后服务承诺等内容和格式自拟。</w:t>
      </w:r>
    </w:p>
    <w:p w14:paraId="718F3F21">
      <w:pPr>
        <w:rPr>
          <w:rFonts w:hint="eastAsia"/>
        </w:rPr>
      </w:pPr>
    </w:p>
    <w:p w14:paraId="0524BA46">
      <w:pPr>
        <w:rPr>
          <w:rFonts w:ascii="Calibri" w:hAnsi="Calibri" w:eastAsia="宋体" w:cs="Times New Roman"/>
          <w:kern w:val="0"/>
          <w:sz w:val="20"/>
          <w:szCs w:val="20"/>
          <w:lang w:eastAsia="zh-Hans"/>
        </w:rPr>
      </w:pPr>
    </w:p>
    <w:p w14:paraId="7380E788">
      <w:pPr>
        <w:pageBreakBefore/>
        <w:rPr>
          <w:rFonts w:hint="eastAsia"/>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70"/>
          <w:szCs w:val="70"/>
        </w:rPr>
      </w:pPr>
      <w:r>
        <w:rPr>
          <w:rFonts w:hint="eastAsia" w:ascii="宋体" w:hAnsi="宋体" w:eastAsia="宋体"/>
          <w:b/>
          <w:bCs/>
          <w:sz w:val="70"/>
          <w:szCs w:val="70"/>
        </w:rPr>
        <w:t>东莞市石龙镇社区卫生服务中心食堂食材配送服务项目</w:t>
      </w:r>
    </w:p>
    <w:p w14:paraId="1C45C70C">
      <w:pPr>
        <w:spacing w:before="652" w:beforeLines="150"/>
        <w:jc w:val="center"/>
        <w:rPr>
          <w:rFonts w:hint="eastAsia" w:ascii="宋体" w:hAnsi="宋体" w:eastAsia="宋体"/>
          <w:b/>
          <w:bCs/>
          <w:sz w:val="70"/>
          <w:szCs w:val="70"/>
        </w:rPr>
      </w:pPr>
      <w:r>
        <w:rPr>
          <w:rFonts w:hint="eastAsia" w:ascii="宋体" w:hAnsi="宋体" w:eastAsia="宋体"/>
          <w:b/>
          <w:bCs/>
          <w:sz w:val="70"/>
          <w:szCs w:val="70"/>
        </w:rPr>
        <w:t>唱标信封</w:t>
      </w:r>
    </w:p>
    <w:p w14:paraId="3BF1DE3E">
      <w:pPr>
        <w:jc w:val="center"/>
        <w:rPr>
          <w:rFonts w:hint="eastAsia" w:ascii="宋体" w:hAnsi="宋体" w:eastAsia="宋体"/>
          <w:b/>
          <w:bCs/>
        </w:rPr>
      </w:pPr>
      <w:r>
        <w:rPr>
          <w:rFonts w:ascii="宋体" w:hAnsi="宋体" w:eastAsia="宋体"/>
          <w:b/>
          <w:bCs/>
        </w:rPr>
        <w:br w:type="textWrapping"/>
      </w:r>
    </w:p>
    <w:p w14:paraId="48E7C3EB">
      <w:pPr>
        <w:widowControl/>
        <w:spacing w:before="4567" w:beforeLines="1050" w:line="360" w:lineRule="auto"/>
        <w:ind w:firstLine="1558" w:firstLineChars="485"/>
        <w:jc w:val="left"/>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lang w:eastAsia="zh-Hans"/>
        </w:rPr>
        <w:t>ZHDGZC2025081</w:t>
      </w:r>
    </w:p>
    <w:p w14:paraId="7E53EE93">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hint="eastAsia" w:ascii="黑体" w:hAnsi="黑体" w:eastAsia="黑体"/>
          <w:bCs/>
          <w:color w:val="000000" w:themeColor="text1"/>
          <w:sz w:val="50"/>
          <w:szCs w:val="50"/>
          <w14:textFill>
            <w14:solidFill>
              <w14:schemeClr w14:val="tx1"/>
            </w14:solidFill>
          </w14:textFill>
        </w:rPr>
      </w:pPr>
    </w:p>
    <w:p w14:paraId="601675D5">
      <w:pPr>
        <w:pStyle w:val="25"/>
        <w:numPr>
          <w:ilvl w:val="0"/>
          <w:numId w:val="122"/>
        </w:numPr>
        <w:spacing w:line="360" w:lineRule="auto"/>
        <w:ind w:firstLineChars="0"/>
        <w:rPr>
          <w:rFonts w:hint="eastAsia" w:ascii="宋体" w:hAnsi="宋体" w:eastAsia="宋体"/>
          <w:szCs w:val="21"/>
        </w:rPr>
      </w:pPr>
      <w:r>
        <w:rPr>
          <w:rFonts w:hint="eastAsia" w:ascii="宋体" w:hAnsi="宋体" w:eastAsia="宋体"/>
          <w:szCs w:val="21"/>
        </w:rPr>
        <w:t>开标一览表加盖投标人公章；</w:t>
      </w:r>
    </w:p>
    <w:p w14:paraId="58B368E9">
      <w:pPr>
        <w:pStyle w:val="25"/>
        <w:numPr>
          <w:ilvl w:val="0"/>
          <w:numId w:val="122"/>
        </w:numPr>
        <w:spacing w:line="360" w:lineRule="auto"/>
        <w:ind w:firstLineChars="0"/>
        <w:rPr>
          <w:rFonts w:hint="eastAsia" w:ascii="宋体" w:hAnsi="宋体" w:eastAsia="宋体"/>
          <w:szCs w:val="21"/>
        </w:rPr>
      </w:pPr>
      <w:r>
        <w:rPr>
          <w:rFonts w:hint="eastAsia" w:ascii="宋体" w:hAnsi="宋体" w:eastAsia="宋体"/>
          <w:szCs w:val="21"/>
        </w:rPr>
        <w:t>分项报价表加盖投标人公章</w:t>
      </w:r>
      <w:r>
        <w:rPr>
          <w:rFonts w:hint="eastAsia" w:ascii="宋体" w:hAnsi="宋体" w:eastAsia="宋体"/>
          <w:bCs/>
          <w:szCs w:val="21"/>
        </w:rPr>
        <w:t>（如适用）</w:t>
      </w:r>
      <w:r>
        <w:rPr>
          <w:rFonts w:hint="eastAsia" w:ascii="宋体" w:hAnsi="宋体" w:eastAsia="宋体"/>
          <w:szCs w:val="21"/>
        </w:rPr>
        <w:t>；</w:t>
      </w:r>
    </w:p>
    <w:p w14:paraId="75CC8822">
      <w:pPr>
        <w:pStyle w:val="25"/>
        <w:numPr>
          <w:ilvl w:val="0"/>
          <w:numId w:val="122"/>
        </w:numPr>
        <w:spacing w:line="360" w:lineRule="auto"/>
        <w:ind w:firstLineChars="0"/>
        <w:rPr>
          <w:rFonts w:hint="eastAsia" w:ascii="宋体" w:hAnsi="宋体" w:eastAsia="宋体"/>
          <w:szCs w:val="21"/>
        </w:rPr>
      </w:pPr>
      <w:r>
        <w:rPr>
          <w:rFonts w:hint="eastAsia" w:ascii="宋体" w:hAnsi="宋体" w:eastAsia="宋体"/>
          <w:szCs w:val="21"/>
        </w:rPr>
        <w:t>法定代表人证明书或法定代表人授权委托书加盖投标人公章；</w:t>
      </w:r>
    </w:p>
    <w:p w14:paraId="52E698CE">
      <w:pPr>
        <w:rPr>
          <w:rFonts w:hint="eastAsia"/>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244189"/>
    <w:multiLevelType w:val="multilevel"/>
    <w:tmpl w:val="8424418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8D4957FD"/>
    <w:multiLevelType w:val="multilevel"/>
    <w:tmpl w:val="8D4957F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00FBA0A"/>
    <w:multiLevelType w:val="singleLevel"/>
    <w:tmpl w:val="900FBA0A"/>
    <w:lvl w:ilvl="0" w:tentative="0">
      <w:start w:val="1"/>
      <w:numFmt w:val="decimal"/>
      <w:lvlText w:val="%1)"/>
      <w:lvlJc w:val="left"/>
      <w:pPr>
        <w:ind w:left="425" w:hanging="425"/>
      </w:pPr>
      <w:rPr>
        <w:rFonts w:hint="default"/>
      </w:rPr>
    </w:lvl>
  </w:abstractNum>
  <w:abstractNum w:abstractNumId="3">
    <w:nsid w:val="9CF7B013"/>
    <w:multiLevelType w:val="multilevel"/>
    <w:tmpl w:val="9CF7B01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A7A2E1D7"/>
    <w:multiLevelType w:val="singleLevel"/>
    <w:tmpl w:val="A7A2E1D7"/>
    <w:lvl w:ilvl="0" w:tentative="0">
      <w:start w:val="1"/>
      <w:numFmt w:val="decimal"/>
      <w:lvlText w:val="%1."/>
      <w:lvlJc w:val="left"/>
      <w:pPr>
        <w:ind w:left="425" w:hanging="425"/>
      </w:pPr>
      <w:rPr>
        <w:rFonts w:hint="default"/>
      </w:rPr>
    </w:lvl>
  </w:abstractNum>
  <w:abstractNum w:abstractNumId="5">
    <w:nsid w:val="AA3DFF3C"/>
    <w:multiLevelType w:val="multilevel"/>
    <w:tmpl w:val="AA3DFF3C"/>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B99ABFCF"/>
    <w:multiLevelType w:val="singleLevel"/>
    <w:tmpl w:val="B99ABFCF"/>
    <w:lvl w:ilvl="0" w:tentative="0">
      <w:start w:val="1"/>
      <w:numFmt w:val="decimal"/>
      <w:lvlText w:val="%1)"/>
      <w:lvlJc w:val="left"/>
      <w:pPr>
        <w:ind w:left="425" w:hanging="425"/>
      </w:pPr>
      <w:rPr>
        <w:rFonts w:hint="default"/>
      </w:rPr>
    </w:lvl>
  </w:abstractNum>
  <w:abstractNum w:abstractNumId="7">
    <w:nsid w:val="C9F22A24"/>
    <w:multiLevelType w:val="multilevel"/>
    <w:tmpl w:val="C9F22A24"/>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CF6CD8D3"/>
    <w:multiLevelType w:val="singleLevel"/>
    <w:tmpl w:val="CF6CD8D3"/>
    <w:lvl w:ilvl="0" w:tentative="0">
      <w:start w:val="1"/>
      <w:numFmt w:val="decimal"/>
      <w:suff w:val="nothing"/>
      <w:lvlText w:val="%1、"/>
      <w:lvlJc w:val="left"/>
    </w:lvl>
  </w:abstractNum>
  <w:abstractNum w:abstractNumId="9">
    <w:nsid w:val="D0A96074"/>
    <w:multiLevelType w:val="multilevel"/>
    <w:tmpl w:val="D0A96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D0B9B446"/>
    <w:multiLevelType w:val="multilevel"/>
    <w:tmpl w:val="D0B9B44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D12CE0A3"/>
    <w:multiLevelType w:val="singleLevel"/>
    <w:tmpl w:val="D12CE0A3"/>
    <w:lvl w:ilvl="0" w:tentative="0">
      <w:start w:val="1"/>
      <w:numFmt w:val="decimal"/>
      <w:lvlText w:val="%1)"/>
      <w:lvlJc w:val="left"/>
      <w:pPr>
        <w:ind w:left="425" w:hanging="425"/>
      </w:pPr>
      <w:rPr>
        <w:rFonts w:hint="default"/>
      </w:rPr>
    </w:lvl>
  </w:abstractNum>
  <w:abstractNum w:abstractNumId="12">
    <w:nsid w:val="DA0A4B7D"/>
    <w:multiLevelType w:val="multilevel"/>
    <w:tmpl w:val="DA0A4B7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DAB75168"/>
    <w:multiLevelType w:val="multilevel"/>
    <w:tmpl w:val="DAB75168"/>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DBD47330"/>
    <w:multiLevelType w:val="multilevel"/>
    <w:tmpl w:val="DBD4733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DE29D3BD"/>
    <w:multiLevelType w:val="multilevel"/>
    <w:tmpl w:val="DE29D3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F539D856"/>
    <w:multiLevelType w:val="multilevel"/>
    <w:tmpl w:val="F539D85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F932FAC6"/>
    <w:multiLevelType w:val="multilevel"/>
    <w:tmpl w:val="F932FAC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FE121348"/>
    <w:multiLevelType w:val="singleLevel"/>
    <w:tmpl w:val="FE121348"/>
    <w:lvl w:ilvl="0" w:tentative="0">
      <w:start w:val="1"/>
      <w:numFmt w:val="decimal"/>
      <w:lvlText w:val="%1)"/>
      <w:lvlJc w:val="left"/>
      <w:pPr>
        <w:ind w:left="425" w:hanging="425"/>
      </w:pPr>
      <w:rPr>
        <w:rFonts w:hint="default"/>
      </w:rPr>
    </w:lvl>
  </w:abstractNum>
  <w:abstractNum w:abstractNumId="19">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0000021"/>
    <w:multiLevelType w:val="multilevel"/>
    <w:tmpl w:val="00000021"/>
    <w:lvl w:ilvl="0" w:tentative="0">
      <w:start w:val="1"/>
      <w:numFmt w:val="decimal"/>
      <w:lvlText w:val="%1"/>
      <w:lvlJc w:val="left"/>
      <w:pPr>
        <w:ind w:left="420" w:hanging="420"/>
      </w:pPr>
      <w:rPr>
        <w:rFonts w:hint="default"/>
        <w:highlight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07115BA"/>
    <w:multiLevelType w:val="multilevel"/>
    <w:tmpl w:val="007115B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05272C95"/>
    <w:multiLevelType w:val="multilevel"/>
    <w:tmpl w:val="05272C9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056A0615"/>
    <w:multiLevelType w:val="multilevel"/>
    <w:tmpl w:val="056A0615"/>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5">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2A984CA0"/>
    <w:multiLevelType w:val="multilevel"/>
    <w:tmpl w:val="2A984CA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2AACCDF8"/>
    <w:multiLevelType w:val="multilevel"/>
    <w:tmpl w:val="2AACCDF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36B62B8"/>
    <w:multiLevelType w:val="multilevel"/>
    <w:tmpl w:val="336B62B8"/>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5760121"/>
    <w:multiLevelType w:val="multilevel"/>
    <w:tmpl w:val="3576012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3A8F4617"/>
    <w:multiLevelType w:val="multilevel"/>
    <w:tmpl w:val="3A8F4617"/>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0">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4AD6B780"/>
    <w:multiLevelType w:val="multilevel"/>
    <w:tmpl w:val="4AD6B780"/>
    <w:lvl w:ilvl="0" w:tentative="0">
      <w:start w:val="1"/>
      <w:numFmt w:val="decimal"/>
      <w:lvlText w:val="%1"/>
      <w:lvlJc w:val="left"/>
      <w:pPr>
        <w:ind w:left="420" w:hanging="420"/>
      </w:pPr>
      <w:rPr>
        <w:rFonts w:hint="default"/>
        <w:highlight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4B2C3C38"/>
    <w:multiLevelType w:val="singleLevel"/>
    <w:tmpl w:val="4B2C3C38"/>
    <w:lvl w:ilvl="0" w:tentative="0">
      <w:start w:val="1"/>
      <w:numFmt w:val="decimal"/>
      <w:suff w:val="nothing"/>
      <w:lvlText w:val="%1、"/>
      <w:lvlJc w:val="left"/>
    </w:lvl>
  </w:abstractNum>
  <w:abstractNum w:abstractNumId="75">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4F43F897"/>
    <w:multiLevelType w:val="singleLevel"/>
    <w:tmpl w:val="4F43F897"/>
    <w:lvl w:ilvl="0" w:tentative="0">
      <w:start w:val="1"/>
      <w:numFmt w:val="decimal"/>
      <w:lvlText w:val="%1)"/>
      <w:lvlJc w:val="left"/>
      <w:pPr>
        <w:ind w:left="425" w:hanging="425"/>
      </w:pPr>
      <w:rPr>
        <w:rFonts w:hint="default"/>
      </w:rPr>
    </w:lvl>
  </w:abstractNum>
  <w:abstractNum w:abstractNumId="82">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50AB9EF2"/>
    <w:multiLevelType w:val="multilevel"/>
    <w:tmpl w:val="50AB9EF2"/>
    <w:lvl w:ilvl="0" w:tentative="0">
      <w:start w:val="1"/>
      <w:numFmt w:val="decimal"/>
      <w:lvlText w:val="%1"/>
      <w:lvlJc w:val="left"/>
      <w:pPr>
        <w:ind w:left="420" w:hanging="420"/>
      </w:pPr>
      <w:rPr>
        <w:rFonts w:hint="default"/>
        <w:highlight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54B28D68"/>
    <w:multiLevelType w:val="multilevel"/>
    <w:tmpl w:val="54B28D6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697994C0"/>
    <w:multiLevelType w:val="multilevel"/>
    <w:tmpl w:val="697994C0"/>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4">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6">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7CE5C6E3"/>
    <w:multiLevelType w:val="multilevel"/>
    <w:tmpl w:val="7CE5C6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8">
    <w:nsid w:val="7D9769B5"/>
    <w:multiLevelType w:val="multilevel"/>
    <w:tmpl w:val="7D9769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5"/>
  </w:num>
  <w:num w:numId="2">
    <w:abstractNumId w:val="47"/>
  </w:num>
  <w:num w:numId="3">
    <w:abstractNumId w:val="68"/>
  </w:num>
  <w:num w:numId="4">
    <w:abstractNumId w:val="53"/>
  </w:num>
  <w:num w:numId="5">
    <w:abstractNumId w:val="78"/>
  </w:num>
  <w:num w:numId="6">
    <w:abstractNumId w:val="111"/>
  </w:num>
  <w:num w:numId="7">
    <w:abstractNumId w:val="112"/>
  </w:num>
  <w:num w:numId="8">
    <w:abstractNumId w:val="88"/>
  </w:num>
  <w:num w:numId="9">
    <w:abstractNumId w:val="116"/>
  </w:num>
  <w:num w:numId="10">
    <w:abstractNumId w:val="50"/>
  </w:num>
  <w:num w:numId="11">
    <w:abstractNumId w:val="30"/>
  </w:num>
  <w:num w:numId="12">
    <w:abstractNumId w:val="118"/>
  </w:num>
  <w:num w:numId="13">
    <w:abstractNumId w:val="43"/>
  </w:num>
  <w:num w:numId="14">
    <w:abstractNumId w:val="33"/>
  </w:num>
  <w:num w:numId="15">
    <w:abstractNumId w:val="0"/>
  </w:num>
  <w:num w:numId="16">
    <w:abstractNumId w:val="11"/>
  </w:num>
  <w:num w:numId="17">
    <w:abstractNumId w:val="2"/>
  </w:num>
  <w:num w:numId="18">
    <w:abstractNumId w:val="81"/>
  </w:num>
  <w:num w:numId="19">
    <w:abstractNumId w:val="18"/>
  </w:num>
  <w:num w:numId="20">
    <w:abstractNumId w:val="56"/>
  </w:num>
  <w:num w:numId="21">
    <w:abstractNumId w:val="16"/>
  </w:num>
  <w:num w:numId="22">
    <w:abstractNumId w:val="15"/>
  </w:num>
  <w:num w:numId="23">
    <w:abstractNumId w:val="117"/>
  </w:num>
  <w:num w:numId="24">
    <w:abstractNumId w:val="6"/>
  </w:num>
  <w:num w:numId="25">
    <w:abstractNumId w:val="51"/>
  </w:num>
  <w:num w:numId="26">
    <w:abstractNumId w:val="12"/>
  </w:num>
  <w:num w:numId="27">
    <w:abstractNumId w:val="1"/>
  </w:num>
  <w:num w:numId="28">
    <w:abstractNumId w:val="66"/>
  </w:num>
  <w:num w:numId="29">
    <w:abstractNumId w:val="110"/>
  </w:num>
  <w:num w:numId="30">
    <w:abstractNumId w:val="96"/>
  </w:num>
  <w:num w:numId="31">
    <w:abstractNumId w:val="64"/>
  </w:num>
  <w:num w:numId="32">
    <w:abstractNumId w:val="41"/>
  </w:num>
  <w:num w:numId="33">
    <w:abstractNumId w:val="119"/>
  </w:num>
  <w:num w:numId="34">
    <w:abstractNumId w:val="92"/>
  </w:num>
  <w:num w:numId="35">
    <w:abstractNumId w:val="52"/>
  </w:num>
  <w:num w:numId="36">
    <w:abstractNumId w:val="99"/>
  </w:num>
  <w:num w:numId="37">
    <w:abstractNumId w:val="57"/>
  </w:num>
  <w:num w:numId="38">
    <w:abstractNumId w:val="100"/>
  </w:num>
  <w:num w:numId="39">
    <w:abstractNumId w:val="97"/>
  </w:num>
  <w:num w:numId="40">
    <w:abstractNumId w:val="109"/>
  </w:num>
  <w:num w:numId="41">
    <w:abstractNumId w:val="107"/>
  </w:num>
  <w:num w:numId="42">
    <w:abstractNumId w:val="42"/>
  </w:num>
  <w:num w:numId="43">
    <w:abstractNumId w:val="36"/>
  </w:num>
  <w:num w:numId="44">
    <w:abstractNumId w:val="35"/>
  </w:num>
  <w:num w:numId="45">
    <w:abstractNumId w:val="77"/>
  </w:num>
  <w:num w:numId="46">
    <w:abstractNumId w:val="67"/>
  </w:num>
  <w:num w:numId="47">
    <w:abstractNumId w:val="95"/>
  </w:num>
  <w:num w:numId="48">
    <w:abstractNumId w:val="113"/>
  </w:num>
  <w:num w:numId="49">
    <w:abstractNumId w:val="72"/>
  </w:num>
  <w:num w:numId="50">
    <w:abstractNumId w:val="62"/>
  </w:num>
  <w:num w:numId="51">
    <w:abstractNumId w:val="60"/>
  </w:num>
  <w:num w:numId="52">
    <w:abstractNumId w:val="76"/>
  </w:num>
  <w:num w:numId="53">
    <w:abstractNumId w:val="29"/>
  </w:num>
  <w:num w:numId="54">
    <w:abstractNumId w:val="93"/>
  </w:num>
  <w:num w:numId="55">
    <w:abstractNumId w:val="106"/>
  </w:num>
  <w:num w:numId="56">
    <w:abstractNumId w:val="108"/>
  </w:num>
  <w:num w:numId="57">
    <w:abstractNumId w:val="39"/>
  </w:num>
  <w:num w:numId="58">
    <w:abstractNumId w:val="48"/>
  </w:num>
  <w:num w:numId="59">
    <w:abstractNumId w:val="94"/>
  </w:num>
  <w:num w:numId="60">
    <w:abstractNumId w:val="38"/>
  </w:num>
  <w:num w:numId="61">
    <w:abstractNumId w:val="40"/>
  </w:num>
  <w:num w:numId="62">
    <w:abstractNumId w:val="34"/>
  </w:num>
  <w:num w:numId="63">
    <w:abstractNumId w:val="70"/>
  </w:num>
  <w:num w:numId="64">
    <w:abstractNumId w:val="86"/>
  </w:num>
  <w:num w:numId="65">
    <w:abstractNumId w:val="98"/>
  </w:num>
  <w:num w:numId="66">
    <w:abstractNumId w:val="63"/>
  </w:num>
  <w:num w:numId="67">
    <w:abstractNumId w:val="65"/>
  </w:num>
  <w:num w:numId="68">
    <w:abstractNumId w:val="89"/>
  </w:num>
  <w:num w:numId="69">
    <w:abstractNumId w:val="101"/>
  </w:num>
  <w:num w:numId="70">
    <w:abstractNumId w:val="105"/>
  </w:num>
  <w:num w:numId="71">
    <w:abstractNumId w:val="79"/>
  </w:num>
  <w:num w:numId="72">
    <w:abstractNumId w:val="80"/>
  </w:num>
  <w:num w:numId="73">
    <w:abstractNumId w:val="121"/>
  </w:num>
  <w:num w:numId="74">
    <w:abstractNumId w:val="45"/>
  </w:num>
  <w:num w:numId="75">
    <w:abstractNumId w:val="84"/>
  </w:num>
  <w:num w:numId="76">
    <w:abstractNumId w:val="75"/>
  </w:num>
  <w:num w:numId="77">
    <w:abstractNumId w:val="120"/>
  </w:num>
  <w:num w:numId="78">
    <w:abstractNumId w:val="44"/>
  </w:num>
  <w:num w:numId="79">
    <w:abstractNumId w:val="69"/>
  </w:num>
  <w:num w:numId="80">
    <w:abstractNumId w:val="115"/>
  </w:num>
  <w:num w:numId="81">
    <w:abstractNumId w:val="31"/>
  </w:num>
  <w:num w:numId="82">
    <w:abstractNumId w:val="46"/>
  </w:num>
  <w:num w:numId="83">
    <w:abstractNumId w:val="87"/>
  </w:num>
  <w:num w:numId="84">
    <w:abstractNumId w:val="85"/>
  </w:num>
  <w:num w:numId="85">
    <w:abstractNumId w:val="37"/>
  </w:num>
  <w:num w:numId="86">
    <w:abstractNumId w:val="8"/>
  </w:num>
  <w:num w:numId="87">
    <w:abstractNumId w:val="74"/>
  </w:num>
  <w:num w:numId="88">
    <w:abstractNumId w:val="28"/>
  </w:num>
  <w:num w:numId="89">
    <w:abstractNumId w:val="114"/>
  </w:num>
  <w:num w:numId="90">
    <w:abstractNumId w:val="22"/>
  </w:num>
  <w:num w:numId="91">
    <w:abstractNumId w:val="20"/>
  </w:num>
  <w:num w:numId="92">
    <w:abstractNumId w:val="26"/>
  </w:num>
  <w:num w:numId="93">
    <w:abstractNumId w:val="71"/>
  </w:num>
  <w:num w:numId="94">
    <w:abstractNumId w:val="104"/>
  </w:num>
  <w:num w:numId="95">
    <w:abstractNumId w:val="82"/>
  </w:num>
  <w:num w:numId="96">
    <w:abstractNumId w:val="19"/>
  </w:num>
  <w:num w:numId="97">
    <w:abstractNumId w:val="102"/>
  </w:num>
  <w:num w:numId="98">
    <w:abstractNumId w:val="3"/>
  </w:num>
  <w:num w:numId="99">
    <w:abstractNumId w:val="9"/>
  </w:num>
  <w:num w:numId="100">
    <w:abstractNumId w:val="90"/>
  </w:num>
  <w:num w:numId="101">
    <w:abstractNumId w:val="10"/>
  </w:num>
  <w:num w:numId="102">
    <w:abstractNumId w:val="5"/>
  </w:num>
  <w:num w:numId="103">
    <w:abstractNumId w:val="7"/>
  </w:num>
  <w:num w:numId="104">
    <w:abstractNumId w:val="59"/>
  </w:num>
  <w:num w:numId="105">
    <w:abstractNumId w:val="13"/>
  </w:num>
  <w:num w:numId="106">
    <w:abstractNumId w:val="17"/>
  </w:num>
  <w:num w:numId="107">
    <w:abstractNumId w:val="54"/>
  </w:num>
  <w:num w:numId="108">
    <w:abstractNumId w:val="14"/>
  </w:num>
  <w:num w:numId="109">
    <w:abstractNumId w:val="32"/>
  </w:num>
  <w:num w:numId="110">
    <w:abstractNumId w:val="21"/>
  </w:num>
  <w:num w:numId="111">
    <w:abstractNumId w:val="83"/>
  </w:num>
  <w:num w:numId="112">
    <w:abstractNumId w:val="73"/>
  </w:num>
  <w:num w:numId="113">
    <w:abstractNumId w:val="27"/>
  </w:num>
  <w:num w:numId="114">
    <w:abstractNumId w:val="25"/>
  </w:num>
  <w:num w:numId="115">
    <w:abstractNumId w:val="49"/>
  </w:num>
  <w:num w:numId="116">
    <w:abstractNumId w:val="61"/>
  </w:num>
  <w:num w:numId="117">
    <w:abstractNumId w:val="103"/>
  </w:num>
  <w:num w:numId="118">
    <w:abstractNumId w:val="23"/>
  </w:num>
  <w:num w:numId="119">
    <w:abstractNumId w:val="24"/>
  </w:num>
  <w:num w:numId="120">
    <w:abstractNumId w:val="4"/>
  </w:num>
  <w:num w:numId="121">
    <w:abstractNumId w:val="58"/>
  </w:num>
  <w:num w:numId="122">
    <w:abstractNumId w:val="9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2805AC3"/>
    <w:rsid w:val="032F22E3"/>
    <w:rsid w:val="03A8134F"/>
    <w:rsid w:val="03D746CC"/>
    <w:rsid w:val="04277401"/>
    <w:rsid w:val="061E6958"/>
    <w:rsid w:val="07EA70C4"/>
    <w:rsid w:val="095216F5"/>
    <w:rsid w:val="0C7565A8"/>
    <w:rsid w:val="0EAC0C2F"/>
    <w:rsid w:val="0F5A4B2F"/>
    <w:rsid w:val="0F9A4F2B"/>
    <w:rsid w:val="1065378B"/>
    <w:rsid w:val="111927C8"/>
    <w:rsid w:val="126B7053"/>
    <w:rsid w:val="12CD5618"/>
    <w:rsid w:val="12D60970"/>
    <w:rsid w:val="179761F4"/>
    <w:rsid w:val="196A6DEA"/>
    <w:rsid w:val="19F85670"/>
    <w:rsid w:val="1AA04930"/>
    <w:rsid w:val="1AA202F4"/>
    <w:rsid w:val="1D0F306C"/>
    <w:rsid w:val="204C531E"/>
    <w:rsid w:val="206F41B2"/>
    <w:rsid w:val="21115269"/>
    <w:rsid w:val="21FA5DBF"/>
    <w:rsid w:val="24747FE9"/>
    <w:rsid w:val="24EE1801"/>
    <w:rsid w:val="25A62424"/>
    <w:rsid w:val="2A3F69A3"/>
    <w:rsid w:val="2A810D6A"/>
    <w:rsid w:val="2B0D4CF3"/>
    <w:rsid w:val="2B5D17D7"/>
    <w:rsid w:val="2C786F65"/>
    <w:rsid w:val="31A422AE"/>
    <w:rsid w:val="359758E5"/>
    <w:rsid w:val="37321D6A"/>
    <w:rsid w:val="37715484"/>
    <w:rsid w:val="37755BAF"/>
    <w:rsid w:val="384A10CB"/>
    <w:rsid w:val="3A0612FD"/>
    <w:rsid w:val="3A6366DE"/>
    <w:rsid w:val="3AC86541"/>
    <w:rsid w:val="3B497F58"/>
    <w:rsid w:val="3BB32D4D"/>
    <w:rsid w:val="3C3138E7"/>
    <w:rsid w:val="3C6978B0"/>
    <w:rsid w:val="3E8409D1"/>
    <w:rsid w:val="3EF67B21"/>
    <w:rsid w:val="40C477AB"/>
    <w:rsid w:val="43DD4ECA"/>
    <w:rsid w:val="47C25DC0"/>
    <w:rsid w:val="4C226976"/>
    <w:rsid w:val="4C6C1571"/>
    <w:rsid w:val="4CD13297"/>
    <w:rsid w:val="4D662315"/>
    <w:rsid w:val="4D797CF1"/>
    <w:rsid w:val="4DB07082"/>
    <w:rsid w:val="4DCF7F8A"/>
    <w:rsid w:val="4E8174ED"/>
    <w:rsid w:val="4E8F31A6"/>
    <w:rsid w:val="52F97788"/>
    <w:rsid w:val="53043E75"/>
    <w:rsid w:val="53DF697E"/>
    <w:rsid w:val="55E42029"/>
    <w:rsid w:val="55F61D5C"/>
    <w:rsid w:val="58870E5D"/>
    <w:rsid w:val="5CD77EDD"/>
    <w:rsid w:val="5EA3339F"/>
    <w:rsid w:val="5FC84D9D"/>
    <w:rsid w:val="61BE5E24"/>
    <w:rsid w:val="62156AF8"/>
    <w:rsid w:val="62B743AF"/>
    <w:rsid w:val="657874A5"/>
    <w:rsid w:val="68BF2460"/>
    <w:rsid w:val="6B2E27BC"/>
    <w:rsid w:val="6B43343B"/>
    <w:rsid w:val="6BDB2726"/>
    <w:rsid w:val="6E8374AD"/>
    <w:rsid w:val="6F062BB9"/>
    <w:rsid w:val="713D73C8"/>
    <w:rsid w:val="72C13498"/>
    <w:rsid w:val="73A840F5"/>
    <w:rsid w:val="75680129"/>
    <w:rsid w:val="75EE2E8E"/>
    <w:rsid w:val="788039DC"/>
    <w:rsid w:val="78934753"/>
    <w:rsid w:val="78AE5112"/>
    <w:rsid w:val="7A574C10"/>
    <w:rsid w:val="7A5A7D7A"/>
    <w:rsid w:val="7B7548E5"/>
    <w:rsid w:val="7C050398"/>
    <w:rsid w:val="7CC95D41"/>
    <w:rsid w:val="7CE16562"/>
    <w:rsid w:val="7E1C7D03"/>
    <w:rsid w:val="7E955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w:basedOn w:val="1"/>
    <w:link w:val="31"/>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3"/>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styleId="16">
    <w:name w:val="Emphasis"/>
    <w:basedOn w:val="14"/>
    <w:qFormat/>
    <w:uiPriority w:val="20"/>
    <w:rPr>
      <w:i/>
      <w:iCs/>
    </w:rPr>
  </w:style>
  <w:style w:type="character" w:styleId="17">
    <w:name w:val="Hyperlink"/>
    <w:basedOn w:val="14"/>
    <w:unhideWhenUsed/>
    <w:qFormat/>
    <w:uiPriority w:val="99"/>
    <w:rPr>
      <w:color w:val="0563C1" w:themeColor="hyperlink"/>
      <w:u w:val="single"/>
      <w14:textFill>
        <w14:solidFill>
          <w14:schemeClr w14:val="hlink"/>
        </w14:solidFill>
      </w14:textFill>
    </w:rPr>
  </w:style>
  <w:style w:type="character" w:styleId="18">
    <w:name w:val="annotation reference"/>
    <w:basedOn w:val="14"/>
    <w:unhideWhenUsed/>
    <w:qFormat/>
    <w:uiPriority w:val="99"/>
    <w:rPr>
      <w:sz w:val="21"/>
      <w:szCs w:val="21"/>
    </w:rPr>
  </w:style>
  <w:style w:type="paragraph" w:customStyle="1" w:styleId="19">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0">
    <w:name w:val="页眉 字符"/>
    <w:basedOn w:val="14"/>
    <w:link w:val="8"/>
    <w:qFormat/>
    <w:uiPriority w:val="0"/>
    <w:rPr>
      <w:sz w:val="18"/>
      <w:szCs w:val="18"/>
    </w:rPr>
  </w:style>
  <w:style w:type="character" w:customStyle="1" w:styleId="21">
    <w:name w:val="页脚 字符"/>
    <w:basedOn w:val="14"/>
    <w:link w:val="7"/>
    <w:qFormat/>
    <w:uiPriority w:val="99"/>
    <w:rPr>
      <w:sz w:val="18"/>
      <w:szCs w:val="18"/>
    </w:rPr>
  </w:style>
  <w:style w:type="character" w:customStyle="1" w:styleId="22">
    <w:name w:val="批注文字 字符"/>
    <w:basedOn w:val="14"/>
    <w:link w:val="4"/>
    <w:qFormat/>
    <w:uiPriority w:val="99"/>
  </w:style>
  <w:style w:type="character" w:customStyle="1" w:styleId="23">
    <w:name w:val="批注主题 字符"/>
    <w:basedOn w:val="22"/>
    <w:link w:val="11"/>
    <w:semiHidden/>
    <w:qFormat/>
    <w:uiPriority w:val="99"/>
    <w:rPr>
      <w:b/>
      <w:bCs/>
    </w:rPr>
  </w:style>
  <w:style w:type="character" w:customStyle="1" w:styleId="24">
    <w:name w:val="Unresolved Mention"/>
    <w:basedOn w:val="14"/>
    <w:semiHidden/>
    <w:unhideWhenUsed/>
    <w:qFormat/>
    <w:uiPriority w:val="99"/>
    <w:rPr>
      <w:color w:val="605E5C"/>
      <w:shd w:val="clear" w:color="auto" w:fill="E1DFDD"/>
    </w:rPr>
  </w:style>
  <w:style w:type="paragraph" w:styleId="25">
    <w:name w:val="List Paragraph"/>
    <w:basedOn w:val="1"/>
    <w:link w:val="26"/>
    <w:qFormat/>
    <w:uiPriority w:val="34"/>
    <w:pPr>
      <w:ind w:firstLine="420" w:firstLineChars="200"/>
    </w:pPr>
  </w:style>
  <w:style w:type="character" w:customStyle="1" w:styleId="26">
    <w:name w:val="列表段落 字符"/>
    <w:link w:val="25"/>
    <w:qFormat/>
    <w:uiPriority w:val="34"/>
  </w:style>
  <w:style w:type="character" w:customStyle="1" w:styleId="27">
    <w:name w:val="标题 2 字符"/>
    <w:basedOn w:val="14"/>
    <w:link w:val="3"/>
    <w:qFormat/>
    <w:uiPriority w:val="9"/>
    <w:rPr>
      <w:rFonts w:asciiTheme="majorHAnsi" w:hAnsiTheme="majorHAnsi" w:eastAsiaTheme="majorEastAsia" w:cstheme="majorBidi"/>
      <w:b/>
      <w:bCs/>
      <w:sz w:val="32"/>
      <w:szCs w:val="32"/>
    </w:rPr>
  </w:style>
  <w:style w:type="paragraph" w:customStyle="1" w:styleId="28">
    <w:name w:val="正文缩进2格"/>
    <w:basedOn w:val="1"/>
    <w:link w:val="29"/>
    <w:qFormat/>
    <w:uiPriority w:val="0"/>
    <w:pPr>
      <w:spacing w:line="600" w:lineRule="exact"/>
      <w:ind w:firstLine="639" w:firstLineChars="206"/>
    </w:pPr>
    <w:rPr>
      <w:rFonts w:ascii="仿宋_GB2312" w:hAnsi="宋体" w:eastAsia="仿宋_GB2312" w:cs="Times New Roman"/>
      <w:sz w:val="31"/>
      <w:szCs w:val="28"/>
    </w:rPr>
  </w:style>
  <w:style w:type="character" w:customStyle="1" w:styleId="29">
    <w:name w:val="正文缩进2格 Char"/>
    <w:link w:val="28"/>
    <w:qFormat/>
    <w:uiPriority w:val="0"/>
    <w:rPr>
      <w:rFonts w:ascii="仿宋_GB2312" w:hAnsi="宋体" w:eastAsia="仿宋_GB2312" w:cs="Times New Roman"/>
      <w:sz w:val="31"/>
      <w:szCs w:val="28"/>
    </w:rPr>
  </w:style>
  <w:style w:type="paragraph" w:customStyle="1" w:styleId="30">
    <w:name w:val="列出段落1"/>
    <w:basedOn w:val="1"/>
    <w:qFormat/>
    <w:uiPriority w:val="34"/>
    <w:pPr>
      <w:ind w:firstLine="420" w:firstLineChars="200"/>
    </w:pPr>
    <w:rPr>
      <w:rFonts w:ascii="Calibri" w:hAnsi="Calibri" w:eastAsia="宋体" w:cs="黑体"/>
    </w:rPr>
  </w:style>
  <w:style w:type="character" w:customStyle="1" w:styleId="31">
    <w:name w:val="正文文本 字符"/>
    <w:basedOn w:val="14"/>
    <w:link w:val="5"/>
    <w:qFormat/>
    <w:uiPriority w:val="0"/>
    <w:rPr>
      <w:rFonts w:ascii="Times New Roman" w:hAnsi="Times New Roman" w:eastAsia="宋体" w:cs="Times New Roman"/>
      <w:szCs w:val="24"/>
    </w:rPr>
  </w:style>
  <w:style w:type="character" w:customStyle="1" w:styleId="32">
    <w:name w:val="标题 1 字符"/>
    <w:basedOn w:val="14"/>
    <w:link w:val="2"/>
    <w:qFormat/>
    <w:uiPriority w:val="9"/>
    <w:rPr>
      <w:b/>
      <w:bCs/>
      <w:kern w:val="44"/>
      <w:sz w:val="44"/>
      <w:szCs w:val="44"/>
    </w:rPr>
  </w:style>
  <w:style w:type="paragraph" w:customStyle="1" w:styleId="3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table" w:customStyle="1" w:styleId="35">
    <w:name w:val="网格型2"/>
    <w:basedOn w:val="1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77</Pages>
  <Words>8004</Words>
  <Characters>8453</Characters>
  <Lines>304</Lines>
  <Paragraphs>85</Paragraphs>
  <TotalTime>62</TotalTime>
  <ScaleCrop>false</ScaleCrop>
  <LinksUpToDate>false</LinksUpToDate>
  <CharactersWithSpaces>8570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HUANG</cp:lastModifiedBy>
  <cp:lastPrinted>2025-10-11T08:23:56Z</cp:lastPrinted>
  <dcterms:modified xsi:type="dcterms:W3CDTF">2025-10-11T08:25:09Z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eyJoZGlkIjoiN2Y0YzdjYjQxYjRmYzc2Mzk0MzEyZWZkODJiYjdjMzciLCJ1c2VySWQiOiI0MDIxMTY5OTEifQ==</vt:lpwstr>
  </property>
  <property fmtid="{D5CDD505-2E9C-101B-9397-08002B2CF9AE}" pid="3" name="KSOProductBuildVer">
    <vt:lpwstr>2052-12.1.0.22529</vt:lpwstr>
  </property>
  <property fmtid="{D5CDD505-2E9C-101B-9397-08002B2CF9AE}" pid="4" name="ICV">
    <vt:lpwstr>96EB8B2DCDE345FAB7CBE5FF6B9EF8C6_13</vt:lpwstr>
  </property>
</Properties>
</file>