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D7D0E">
      <w:pPr>
        <w:spacing w:before="870" w:beforeLines="200" w:after="652" w:afterLines="150" w:line="360" w:lineRule="auto"/>
        <w:jc w:val="center"/>
        <w:rPr>
          <w:rFonts w:hint="eastAsia"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2EA0685A">
      <w:pPr>
        <w:spacing w:before="652" w:beforeLines="150" w:after="870" w:afterLines="200" w:line="360" w:lineRule="auto"/>
        <w:jc w:val="center"/>
        <w:rPr>
          <w:rFonts w:hint="eastAsia"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20D95E96">
      <w:pPr>
        <w:pStyle w:val="20"/>
        <w:tabs>
          <w:tab w:val="left" w:pos="9072"/>
        </w:tabs>
        <w:spacing w:line="640" w:lineRule="exact"/>
        <w:ind w:firstLine="826" w:firstLineChars="235"/>
        <w:outlineLvl w:val="3"/>
        <w:rPr>
          <w:rFonts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项目编号：ZHDGZC2025078</w:t>
      </w:r>
    </w:p>
    <w:p w14:paraId="17946F3F">
      <w:pPr>
        <w:pStyle w:val="20"/>
        <w:spacing w:line="640" w:lineRule="exact"/>
        <w:ind w:left="2527" w:leftChars="400" w:hanging="1687" w:hangingChars="480"/>
        <w:outlineLvl w:val="3"/>
        <w:rPr>
          <w:rFonts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2025年东莞航道所外场业务感知终端运维项目</w:t>
      </w:r>
    </w:p>
    <w:p w14:paraId="79A559C3">
      <w:pPr>
        <w:pStyle w:val="20"/>
        <w:spacing w:line="640" w:lineRule="exact"/>
        <w:ind w:firstLine="826" w:firstLineChars="235"/>
        <w:outlineLvl w:val="3"/>
        <w:rPr>
          <w:rFonts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广东省珠江东航道事务中心东莞航道所</w:t>
      </w:r>
    </w:p>
    <w:p w14:paraId="0935A113">
      <w:pPr>
        <w:pStyle w:val="20"/>
        <w:spacing w:line="640" w:lineRule="exact"/>
        <w:ind w:firstLine="826" w:firstLineChars="235"/>
        <w:outlineLvl w:val="3"/>
        <w:rPr>
          <w:rFonts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0590BF4C">
          <w:pPr>
            <w:pStyle w:val="34"/>
            <w:keepNext w:val="0"/>
            <w:keepLines w:val="0"/>
            <w:pageBreakBefore/>
            <w:widowControl w:val="0"/>
            <w:jc w:val="center"/>
            <w:rPr>
              <w:rFonts w:hint="eastAsia"/>
              <w:color w:val="auto"/>
              <w:highlight w:val="none"/>
            </w:rPr>
          </w:pPr>
          <w:r>
            <w:rPr>
              <w:rFonts w:ascii="宋体" w:hAnsi="宋体" w:eastAsia="宋体"/>
              <w:b/>
              <w:bCs/>
              <w:color w:val="auto"/>
              <w:sz w:val="36"/>
              <w:szCs w:val="36"/>
              <w:highlight w:val="none"/>
              <w:lang w:val="zh-CN"/>
            </w:rPr>
            <w:t>目录</w:t>
          </w:r>
        </w:p>
        <w:p w14:paraId="5853ECA6">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TOC \o "1-3" \h \z \u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_Toc15750 </w:instrText>
          </w:r>
          <w:r>
            <w:rPr>
              <w:rFonts w:hint="eastAsia" w:ascii="宋体" w:hAnsi="宋体" w:eastAsia="宋体" w:cs="宋体"/>
              <w:sz w:val="28"/>
              <w:szCs w:val="28"/>
              <w:highlight w:val="none"/>
            </w:rPr>
            <w:fldChar w:fldCharType="separate"/>
          </w:r>
          <w:r>
            <w:rPr>
              <w:rFonts w:hint="eastAsia" w:ascii="宋体" w:hAnsi="宋体" w:eastAsia="宋体" w:cs="宋体"/>
              <w:kern w:val="0"/>
              <w:sz w:val="28"/>
              <w:szCs w:val="28"/>
              <w:highlight w:val="none"/>
              <w:lang w:eastAsia="zh-Hans"/>
            </w:rPr>
            <w:t>第一章</w:t>
          </w:r>
          <w:r>
            <w:rPr>
              <w:rFonts w:hint="eastAsia" w:ascii="宋体" w:hAnsi="宋体" w:eastAsia="宋体" w:cs="宋体"/>
              <w:kern w:val="0"/>
              <w:sz w:val="28"/>
              <w:szCs w:val="28"/>
              <w:highlight w:val="none"/>
            </w:rPr>
            <w:t xml:space="preserve"> </w:t>
          </w:r>
          <w:r>
            <w:rPr>
              <w:rFonts w:hint="eastAsia" w:ascii="宋体" w:hAnsi="宋体" w:eastAsia="宋体" w:cs="宋体"/>
              <w:kern w:val="0"/>
              <w:sz w:val="28"/>
              <w:szCs w:val="28"/>
              <w:highlight w:val="none"/>
              <w:lang w:eastAsia="zh-Hans"/>
            </w:rPr>
            <w:t>投标邀请</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_Toc15750 \h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w:t>
          </w:r>
          <w:r>
            <w:rPr>
              <w:rFonts w:hint="eastAsia" w:ascii="宋体" w:hAnsi="宋体" w:eastAsia="宋体" w:cs="宋体"/>
              <w:sz w:val="28"/>
              <w:szCs w:val="28"/>
              <w:highlight w:val="none"/>
            </w:rPr>
            <w:fldChar w:fldCharType="end"/>
          </w:r>
          <w:r>
            <w:rPr>
              <w:rFonts w:hint="eastAsia" w:ascii="宋体" w:hAnsi="宋体" w:eastAsia="宋体" w:cs="宋体"/>
              <w:color w:val="auto"/>
              <w:sz w:val="28"/>
              <w:szCs w:val="28"/>
              <w:highlight w:val="none"/>
            </w:rPr>
            <w:fldChar w:fldCharType="end"/>
          </w:r>
        </w:p>
        <w:p w14:paraId="454BF64B">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lang w:val="zh-CN"/>
            </w:rPr>
            <w:fldChar w:fldCharType="begin"/>
          </w:r>
          <w:r>
            <w:rPr>
              <w:rFonts w:hint="eastAsia" w:ascii="宋体" w:hAnsi="宋体" w:eastAsia="宋体" w:cs="宋体"/>
              <w:sz w:val="28"/>
              <w:szCs w:val="28"/>
              <w:highlight w:val="none"/>
              <w:lang w:val="zh-CN"/>
            </w:rPr>
            <w:instrText xml:space="preserve"> HYPERLINK \l _Toc15835 </w:instrText>
          </w:r>
          <w:r>
            <w:rPr>
              <w:rFonts w:hint="eastAsia" w:ascii="宋体" w:hAnsi="宋体" w:eastAsia="宋体" w:cs="宋体"/>
              <w:sz w:val="28"/>
              <w:szCs w:val="28"/>
              <w:highlight w:val="none"/>
              <w:lang w:val="zh-CN"/>
            </w:rPr>
            <w:fldChar w:fldCharType="separate"/>
          </w:r>
          <w:r>
            <w:rPr>
              <w:rFonts w:hint="eastAsia" w:ascii="宋体" w:hAnsi="宋体" w:eastAsia="宋体" w:cs="宋体"/>
              <w:kern w:val="0"/>
              <w:sz w:val="28"/>
              <w:szCs w:val="28"/>
              <w:highlight w:val="none"/>
              <w:lang w:eastAsia="zh-Hans"/>
            </w:rPr>
            <w:t>第二章 采购需求</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_Toc15835 \h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5</w:t>
          </w:r>
          <w:r>
            <w:rPr>
              <w:rFonts w:hint="eastAsia" w:ascii="宋体" w:hAnsi="宋体" w:eastAsia="宋体" w:cs="宋体"/>
              <w:sz w:val="28"/>
              <w:szCs w:val="28"/>
              <w:highlight w:val="none"/>
            </w:rPr>
            <w:fldChar w:fldCharType="end"/>
          </w:r>
          <w:r>
            <w:rPr>
              <w:rFonts w:hint="eastAsia" w:ascii="宋体" w:hAnsi="宋体" w:eastAsia="宋体" w:cs="宋体"/>
              <w:color w:val="auto"/>
              <w:sz w:val="28"/>
              <w:szCs w:val="28"/>
              <w:highlight w:val="none"/>
              <w:lang w:val="zh-CN"/>
            </w:rPr>
            <w:fldChar w:fldCharType="end"/>
          </w:r>
        </w:p>
        <w:p w14:paraId="2EC1B789">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lang w:val="zh-CN"/>
            </w:rPr>
            <w:fldChar w:fldCharType="begin"/>
          </w:r>
          <w:r>
            <w:rPr>
              <w:rFonts w:hint="eastAsia" w:ascii="宋体" w:hAnsi="宋体" w:eastAsia="宋体" w:cs="宋体"/>
              <w:sz w:val="28"/>
              <w:szCs w:val="28"/>
              <w:highlight w:val="none"/>
              <w:lang w:val="zh-CN"/>
            </w:rPr>
            <w:instrText xml:space="preserve"> HYPERLINK \l _Toc3394 </w:instrText>
          </w:r>
          <w:r>
            <w:rPr>
              <w:rFonts w:hint="eastAsia" w:ascii="宋体" w:hAnsi="宋体" w:eastAsia="宋体" w:cs="宋体"/>
              <w:sz w:val="28"/>
              <w:szCs w:val="28"/>
              <w:highlight w:val="none"/>
              <w:lang w:val="zh-CN"/>
            </w:rPr>
            <w:fldChar w:fldCharType="separate"/>
          </w:r>
          <w:r>
            <w:rPr>
              <w:rFonts w:hint="eastAsia" w:ascii="宋体" w:hAnsi="宋体" w:eastAsia="宋体" w:cs="宋体"/>
              <w:kern w:val="0"/>
              <w:sz w:val="28"/>
              <w:szCs w:val="28"/>
              <w:highlight w:val="none"/>
              <w:lang w:eastAsia="zh-Hans"/>
            </w:rPr>
            <w:t>第三章 投标人须知</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_Toc3394 \h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17</w:t>
          </w:r>
          <w:r>
            <w:rPr>
              <w:rFonts w:hint="eastAsia" w:ascii="宋体" w:hAnsi="宋体" w:eastAsia="宋体" w:cs="宋体"/>
              <w:sz w:val="28"/>
              <w:szCs w:val="28"/>
              <w:highlight w:val="none"/>
            </w:rPr>
            <w:fldChar w:fldCharType="end"/>
          </w:r>
          <w:r>
            <w:rPr>
              <w:rFonts w:hint="eastAsia" w:ascii="宋体" w:hAnsi="宋体" w:eastAsia="宋体" w:cs="宋体"/>
              <w:color w:val="auto"/>
              <w:sz w:val="28"/>
              <w:szCs w:val="28"/>
              <w:highlight w:val="none"/>
              <w:lang w:val="zh-CN"/>
            </w:rPr>
            <w:fldChar w:fldCharType="end"/>
          </w:r>
        </w:p>
        <w:p w14:paraId="5F702803">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lang w:val="zh-CN"/>
            </w:rPr>
            <w:fldChar w:fldCharType="begin"/>
          </w:r>
          <w:r>
            <w:rPr>
              <w:rFonts w:hint="eastAsia" w:ascii="宋体" w:hAnsi="宋体" w:eastAsia="宋体" w:cs="宋体"/>
              <w:sz w:val="28"/>
              <w:szCs w:val="28"/>
              <w:highlight w:val="none"/>
              <w:lang w:val="zh-CN"/>
            </w:rPr>
            <w:instrText xml:space="preserve"> HYPERLINK \l _Toc11208 </w:instrText>
          </w:r>
          <w:r>
            <w:rPr>
              <w:rFonts w:hint="eastAsia" w:ascii="宋体" w:hAnsi="宋体" w:eastAsia="宋体" w:cs="宋体"/>
              <w:sz w:val="28"/>
              <w:szCs w:val="28"/>
              <w:highlight w:val="none"/>
              <w:lang w:val="zh-CN"/>
            </w:rPr>
            <w:fldChar w:fldCharType="separate"/>
          </w:r>
          <w:r>
            <w:rPr>
              <w:rFonts w:hint="eastAsia" w:ascii="宋体" w:hAnsi="宋体" w:eastAsia="宋体" w:cs="宋体"/>
              <w:kern w:val="0"/>
              <w:sz w:val="28"/>
              <w:szCs w:val="28"/>
              <w:highlight w:val="none"/>
              <w:lang w:eastAsia="zh-Hans"/>
            </w:rPr>
            <w:t>第四章 评标</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_Toc11208 \h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28</w:t>
          </w:r>
          <w:r>
            <w:rPr>
              <w:rFonts w:hint="eastAsia" w:ascii="宋体" w:hAnsi="宋体" w:eastAsia="宋体" w:cs="宋体"/>
              <w:sz w:val="28"/>
              <w:szCs w:val="28"/>
              <w:highlight w:val="none"/>
            </w:rPr>
            <w:fldChar w:fldCharType="end"/>
          </w:r>
          <w:r>
            <w:rPr>
              <w:rFonts w:hint="eastAsia" w:ascii="宋体" w:hAnsi="宋体" w:eastAsia="宋体" w:cs="宋体"/>
              <w:color w:val="auto"/>
              <w:sz w:val="28"/>
              <w:szCs w:val="28"/>
              <w:highlight w:val="none"/>
              <w:lang w:val="zh-CN"/>
            </w:rPr>
            <w:fldChar w:fldCharType="end"/>
          </w:r>
        </w:p>
        <w:p w14:paraId="6903A16D">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lang w:val="zh-CN"/>
            </w:rPr>
            <w:fldChar w:fldCharType="begin"/>
          </w:r>
          <w:r>
            <w:rPr>
              <w:rFonts w:hint="eastAsia" w:ascii="宋体" w:hAnsi="宋体" w:eastAsia="宋体" w:cs="宋体"/>
              <w:sz w:val="28"/>
              <w:szCs w:val="28"/>
              <w:highlight w:val="none"/>
              <w:lang w:val="zh-CN"/>
            </w:rPr>
            <w:instrText xml:space="preserve"> HYPERLINK \l _Toc28724 </w:instrText>
          </w:r>
          <w:r>
            <w:rPr>
              <w:rFonts w:hint="eastAsia" w:ascii="宋体" w:hAnsi="宋体" w:eastAsia="宋体" w:cs="宋体"/>
              <w:sz w:val="28"/>
              <w:szCs w:val="28"/>
              <w:highlight w:val="none"/>
              <w:lang w:val="zh-CN"/>
            </w:rPr>
            <w:fldChar w:fldCharType="separate"/>
          </w:r>
          <w:r>
            <w:rPr>
              <w:rFonts w:hint="eastAsia" w:ascii="宋体" w:hAnsi="宋体" w:eastAsia="宋体" w:cs="宋体"/>
              <w:kern w:val="0"/>
              <w:sz w:val="28"/>
              <w:szCs w:val="28"/>
              <w:highlight w:val="none"/>
              <w:lang w:eastAsia="zh-Hans"/>
            </w:rPr>
            <w:t>第五章 合同文本</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_Toc28724 \h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38</w:t>
          </w:r>
          <w:r>
            <w:rPr>
              <w:rFonts w:hint="eastAsia" w:ascii="宋体" w:hAnsi="宋体" w:eastAsia="宋体" w:cs="宋体"/>
              <w:sz w:val="28"/>
              <w:szCs w:val="28"/>
              <w:highlight w:val="none"/>
            </w:rPr>
            <w:fldChar w:fldCharType="end"/>
          </w:r>
          <w:r>
            <w:rPr>
              <w:rFonts w:hint="eastAsia" w:ascii="宋体" w:hAnsi="宋体" w:eastAsia="宋体" w:cs="宋体"/>
              <w:color w:val="auto"/>
              <w:sz w:val="28"/>
              <w:szCs w:val="28"/>
              <w:highlight w:val="none"/>
              <w:lang w:val="zh-CN"/>
            </w:rPr>
            <w:fldChar w:fldCharType="end"/>
          </w:r>
        </w:p>
        <w:p w14:paraId="2DE50487">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color w:val="auto"/>
              <w:sz w:val="28"/>
              <w:szCs w:val="28"/>
              <w:highlight w:val="none"/>
              <w:lang w:val="zh-CN"/>
            </w:rPr>
            <w:fldChar w:fldCharType="begin"/>
          </w:r>
          <w:r>
            <w:rPr>
              <w:rFonts w:hint="eastAsia" w:ascii="宋体" w:hAnsi="宋体" w:eastAsia="宋体" w:cs="宋体"/>
              <w:sz w:val="28"/>
              <w:szCs w:val="28"/>
              <w:highlight w:val="none"/>
              <w:lang w:val="zh-CN"/>
            </w:rPr>
            <w:instrText xml:space="preserve"> HYPERLINK \l _Toc12392 </w:instrText>
          </w:r>
          <w:r>
            <w:rPr>
              <w:rFonts w:hint="eastAsia" w:ascii="宋体" w:hAnsi="宋体" w:eastAsia="宋体" w:cs="宋体"/>
              <w:sz w:val="28"/>
              <w:szCs w:val="28"/>
              <w:highlight w:val="none"/>
              <w:lang w:val="zh-CN"/>
            </w:rPr>
            <w:fldChar w:fldCharType="separate"/>
          </w:r>
          <w:r>
            <w:rPr>
              <w:rFonts w:hint="eastAsia" w:ascii="宋体" w:hAnsi="宋体" w:eastAsia="宋体" w:cs="宋体"/>
              <w:kern w:val="0"/>
              <w:sz w:val="28"/>
              <w:szCs w:val="28"/>
              <w:highlight w:val="none"/>
              <w:lang w:eastAsia="zh-Hans"/>
            </w:rPr>
            <w:t>第六章 投标文件格式</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_Toc12392 \h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56</w:t>
          </w:r>
          <w:r>
            <w:rPr>
              <w:rFonts w:hint="eastAsia" w:ascii="宋体" w:hAnsi="宋体" w:eastAsia="宋体" w:cs="宋体"/>
              <w:sz w:val="28"/>
              <w:szCs w:val="28"/>
              <w:highlight w:val="none"/>
            </w:rPr>
            <w:fldChar w:fldCharType="end"/>
          </w:r>
          <w:r>
            <w:rPr>
              <w:rFonts w:hint="eastAsia" w:ascii="宋体" w:hAnsi="宋体" w:eastAsia="宋体" w:cs="宋体"/>
              <w:color w:val="auto"/>
              <w:sz w:val="28"/>
              <w:szCs w:val="28"/>
              <w:highlight w:val="none"/>
              <w:lang w:val="zh-CN"/>
            </w:rPr>
            <w:fldChar w:fldCharType="end"/>
          </w:r>
        </w:p>
        <w:p w14:paraId="5E56DB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szCs w:val="24"/>
              <w:highlight w:val="none"/>
            </w:rPr>
          </w:pPr>
          <w:r>
            <w:rPr>
              <w:rFonts w:hint="eastAsia" w:ascii="宋体" w:hAnsi="宋体" w:eastAsia="宋体" w:cs="宋体"/>
              <w:color w:val="auto"/>
              <w:sz w:val="28"/>
              <w:szCs w:val="28"/>
              <w:highlight w:val="none"/>
              <w:lang w:val="zh-CN"/>
            </w:rPr>
            <w:fldChar w:fldCharType="end"/>
          </w:r>
        </w:p>
      </w:sdtContent>
    </w:sdt>
    <w:p w14:paraId="795BB062">
      <w:pPr>
        <w:pStyle w:val="20"/>
        <w:outlineLvl w:val="3"/>
        <w:rPr>
          <w:rFonts w:ascii="宋体" w:hAnsi="宋体" w:eastAsia="宋体"/>
          <w:color w:val="auto"/>
          <w:sz w:val="24"/>
          <w:szCs w:val="24"/>
          <w:highlight w:val="none"/>
          <w:lang w:eastAsia="zh-CN"/>
        </w:rPr>
      </w:pPr>
    </w:p>
    <w:p w14:paraId="54A0960D">
      <w:pPr>
        <w:pStyle w:val="20"/>
        <w:rPr>
          <w:rFonts w:ascii="宋体" w:hAnsi="宋体" w:eastAsia="宋体"/>
          <w:color w:val="auto"/>
          <w:highlight w:val="none"/>
          <w:lang w:eastAsia="zh-CN"/>
        </w:rPr>
      </w:pPr>
    </w:p>
    <w:p w14:paraId="4CF31239">
      <w:pPr>
        <w:pageBreakBefore/>
        <w:jc w:val="center"/>
        <w:outlineLvl w:val="1"/>
        <w:rPr>
          <w:rFonts w:ascii="Calibri" w:hAnsi="Calibri" w:eastAsia="宋体" w:cs="Times New Roman"/>
          <w:color w:val="auto"/>
          <w:kern w:val="0"/>
          <w:sz w:val="20"/>
          <w:szCs w:val="20"/>
          <w:highlight w:val="none"/>
          <w:lang w:eastAsia="zh-Hans"/>
        </w:rPr>
      </w:pPr>
      <w:bookmarkStart w:id="0" w:name="_Toc15750"/>
      <w:bookmarkStart w:id="1" w:name="_Toc16979977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0AF311B">
      <w:pPr>
        <w:widowControl/>
        <w:ind w:firstLine="420" w:firstLineChars="20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（2025年东莞航道所外场业务感知终端运维项目）</w:t>
      </w:r>
      <w:r>
        <w:rPr>
          <w:rFonts w:ascii="宋体" w:hAnsi="宋体" w:eastAsia="宋体" w:cs="Times New Roman"/>
          <w:color w:val="auto"/>
          <w:kern w:val="0"/>
          <w:szCs w:val="21"/>
          <w:highlight w:val="none"/>
          <w:lang w:eastAsia="zh-Hans"/>
        </w:rPr>
        <w:t>招标项目的潜在投标人应在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进行获取或微信搜索公众号“广东智汇城市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lang w:val="en-US" w:eastAsia="zh-CN"/>
        </w:rPr>
        <w:t>10</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lang w:val="en-US" w:eastAsia="zh-CN"/>
        </w:rPr>
        <w:t>21</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lang w:val="en-US" w:eastAsia="zh-CN"/>
        </w:rPr>
        <w:t>15</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lang w:val="en-US" w:eastAsia="zh-CN"/>
        </w:rPr>
        <w:t>00</w:t>
      </w:r>
      <w:r>
        <w:rPr>
          <w:rFonts w:ascii="宋体" w:hAnsi="宋体" w:eastAsia="宋体" w:cs="Times New Roman"/>
          <w:color w:val="auto"/>
          <w:kern w:val="0"/>
          <w:szCs w:val="21"/>
          <w:highlight w:val="none"/>
          <w:lang w:eastAsia="zh-Hans"/>
        </w:rPr>
        <w:t>分（北京时间）前递交投标文件。</w:t>
      </w:r>
    </w:p>
    <w:p w14:paraId="7EBCD6D6">
      <w:pPr>
        <w:spacing w:before="217" w:beforeLines="50"/>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3C0DBDC4">
      <w:pPr>
        <w:pStyle w:val="26"/>
        <w:widowControl/>
        <w:numPr>
          <w:ilvl w:val="0"/>
          <w:numId w:val="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295B3E2B">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项目编号：ZHDGZC2025078</w:t>
      </w:r>
    </w:p>
    <w:p w14:paraId="26D5746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Hans"/>
        </w:rPr>
        <w:t>2025年东莞航道所外场业务感知终端运维项目</w:t>
      </w:r>
    </w:p>
    <w:p w14:paraId="55627F6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0A3A3408">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867,453.13</w:t>
      </w:r>
      <w:r>
        <w:rPr>
          <w:rFonts w:ascii="宋体" w:hAnsi="宋体" w:eastAsia="宋体" w:cs="Times New Roman"/>
          <w:color w:val="auto"/>
          <w:kern w:val="0"/>
          <w:szCs w:val="21"/>
          <w:highlight w:val="none"/>
          <w:lang w:eastAsia="zh-Hans"/>
        </w:rPr>
        <w:t>元</w:t>
      </w:r>
    </w:p>
    <w:p w14:paraId="2FB650D3">
      <w:pPr>
        <w:pStyle w:val="26"/>
        <w:widowControl/>
        <w:numPr>
          <w:ilvl w:val="0"/>
          <w:numId w:val="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ascii="宋体" w:hAnsi="宋体" w:eastAsia="宋体" w:cs="Times New Roman"/>
          <w:color w:val="auto"/>
          <w:kern w:val="0"/>
          <w:szCs w:val="21"/>
          <w:highlight w:val="none"/>
          <w:lang w:eastAsia="zh-Hans"/>
        </w:rPr>
        <w:t xml:space="preserve">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3510"/>
        <w:gridCol w:w="1620"/>
        <w:gridCol w:w="1360"/>
        <w:gridCol w:w="2194"/>
      </w:tblGrid>
      <w:tr w14:paraId="0033C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2" w:hRule="atLeast"/>
        </w:trPr>
        <w:tc>
          <w:tcPr>
            <w:tcW w:w="0" w:type="auto"/>
            <w:vAlign w:val="center"/>
          </w:tcPr>
          <w:p w14:paraId="346E0E20">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序号</w:t>
            </w:r>
          </w:p>
        </w:tc>
        <w:tc>
          <w:tcPr>
            <w:tcW w:w="0" w:type="auto"/>
            <w:vAlign w:val="center"/>
          </w:tcPr>
          <w:p w14:paraId="32C4479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标的名称</w:t>
            </w:r>
          </w:p>
        </w:tc>
        <w:tc>
          <w:tcPr>
            <w:tcW w:w="0" w:type="auto"/>
            <w:vAlign w:val="center"/>
          </w:tcPr>
          <w:p w14:paraId="0553A6CA">
            <w:pPr>
              <w:widowControl/>
              <w:jc w:val="center"/>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rPr>
              <w:t>预算金额（元）</w:t>
            </w:r>
          </w:p>
        </w:tc>
        <w:tc>
          <w:tcPr>
            <w:tcW w:w="0" w:type="auto"/>
            <w:vAlign w:val="center"/>
          </w:tcPr>
          <w:p w14:paraId="571B5E48">
            <w:pPr>
              <w:widowControl/>
              <w:jc w:val="center"/>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数量（单位）</w:t>
            </w:r>
          </w:p>
        </w:tc>
        <w:tc>
          <w:tcPr>
            <w:tcW w:w="0" w:type="auto"/>
            <w:vAlign w:val="center"/>
          </w:tcPr>
          <w:p w14:paraId="0BE1A4C8">
            <w:pPr>
              <w:widowControl/>
              <w:jc w:val="center"/>
              <w:rPr>
                <w:rFonts w:ascii="Calibri" w:hAnsi="Calibri" w:eastAsia="宋体" w:cs="Times New Roman"/>
                <w:color w:val="auto"/>
                <w:kern w:val="0"/>
                <w:sz w:val="21"/>
                <w:szCs w:val="21"/>
                <w:highlight w:val="none"/>
                <w:lang w:eastAsia="zh-Hans"/>
              </w:rPr>
            </w:pPr>
            <w:r>
              <w:rPr>
                <w:rFonts w:hint="eastAsia" w:ascii="Calibri" w:hAnsi="Calibri" w:eastAsia="宋体" w:cs="Times New Roman"/>
                <w:color w:val="auto"/>
                <w:kern w:val="0"/>
                <w:sz w:val="21"/>
                <w:szCs w:val="21"/>
                <w:highlight w:val="none"/>
                <w:lang w:eastAsia="zh-Hans"/>
              </w:rPr>
              <w:t>简要技术需求或服务要求</w:t>
            </w:r>
          </w:p>
        </w:tc>
      </w:tr>
      <w:tr w14:paraId="09A6C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7EC0F4D4">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0" w:type="auto"/>
            <w:vAlign w:val="center"/>
          </w:tcPr>
          <w:p w14:paraId="6F2B4833">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2025年东莞航道所外场业务感知终端运维</w:t>
            </w:r>
          </w:p>
        </w:tc>
        <w:tc>
          <w:tcPr>
            <w:tcW w:w="0" w:type="auto"/>
            <w:vAlign w:val="center"/>
          </w:tcPr>
          <w:p w14:paraId="5E11BD9F">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lang w:val="en-US" w:eastAsia="zh-CN"/>
              </w:rPr>
              <w:t>867,453.13</w:t>
            </w:r>
          </w:p>
        </w:tc>
        <w:tc>
          <w:tcPr>
            <w:tcW w:w="0" w:type="auto"/>
            <w:vAlign w:val="center"/>
          </w:tcPr>
          <w:p w14:paraId="1277BC13">
            <w:pPr>
              <w:widowControl/>
              <w:jc w:val="center"/>
              <w:rPr>
                <w:rFonts w:hint="eastAsia"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1(项)</w:t>
            </w:r>
          </w:p>
        </w:tc>
        <w:tc>
          <w:tcPr>
            <w:tcW w:w="0" w:type="auto"/>
            <w:vAlign w:val="center"/>
          </w:tcPr>
          <w:p w14:paraId="1006E21A">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030B0C4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val="en-US" w:eastAsia="zh-Hans"/>
        </w:rPr>
        <w:t>1年</w:t>
      </w:r>
      <w:r>
        <w:rPr>
          <w:rFonts w:hint="eastAsia" w:ascii="宋体" w:hAnsi="宋体" w:eastAsia="宋体" w:cs="Times New Roman"/>
          <w:color w:val="auto"/>
          <w:kern w:val="0"/>
          <w:szCs w:val="21"/>
          <w:highlight w:val="none"/>
          <w:lang w:val="en-GB" w:eastAsia="zh-Hans"/>
        </w:rPr>
        <w:t>，具体运行维护期以合同签订</w:t>
      </w:r>
      <w:r>
        <w:rPr>
          <w:rFonts w:hint="eastAsia" w:ascii="宋体" w:hAnsi="宋体" w:eastAsia="宋体" w:cs="Times New Roman"/>
          <w:color w:val="auto"/>
          <w:kern w:val="0"/>
          <w:szCs w:val="21"/>
          <w:highlight w:val="none"/>
          <w:lang w:val="en-US" w:eastAsia="zh-Hans"/>
        </w:rPr>
        <w:t>起止</w:t>
      </w:r>
      <w:r>
        <w:rPr>
          <w:rFonts w:hint="eastAsia" w:ascii="宋体" w:hAnsi="宋体" w:eastAsia="宋体" w:cs="Times New Roman"/>
          <w:color w:val="auto"/>
          <w:kern w:val="0"/>
          <w:szCs w:val="21"/>
          <w:highlight w:val="none"/>
          <w:lang w:val="en-GB" w:eastAsia="zh-Hans"/>
        </w:rPr>
        <w:t>日期为准。</w:t>
      </w:r>
    </w:p>
    <w:p w14:paraId="242EA76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本项目不接受联合体投标。</w:t>
      </w:r>
    </w:p>
    <w:p w14:paraId="592758A0">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4F787628">
      <w:pPr>
        <w:pStyle w:val="26"/>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B7DFD66">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7CD2B1">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rPr>
        <w:t>提供</w:t>
      </w:r>
      <w:r>
        <w:rPr>
          <w:rFonts w:hint="eastAsia" w:ascii="宋体" w:hAnsi="宋体" w:eastAsia="宋体" w:cs="Times New Roman"/>
          <w:bCs/>
          <w:color w:val="auto"/>
          <w:kern w:val="0"/>
          <w:szCs w:val="21"/>
          <w:highlight w:val="none"/>
        </w:rPr>
        <w:t>2024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0FC8C4BE">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rPr>
        <w:t>，在投标文件中填报设备及专业技术能力情况或提供资格条件承诺函（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35F096DE">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A2CAA96">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0A2A38B0">
      <w:pPr>
        <w:pStyle w:val="26"/>
        <w:widowControl/>
        <w:numPr>
          <w:ilvl w:val="0"/>
          <w:numId w:val="2"/>
        </w:numPr>
        <w:ind w:firstLineChars="0"/>
        <w:jc w:val="left"/>
        <w:outlineLvl w:val="3"/>
        <w:rPr>
          <w:rFonts w:ascii="Calibri" w:hAnsi="Calibri" w:eastAsia="宋体" w:cs="Times New Roman"/>
          <w:b/>
          <w:color w:val="auto"/>
          <w:kern w:val="0"/>
          <w:szCs w:val="21"/>
          <w:highlight w:val="none"/>
        </w:rPr>
      </w:pPr>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无</w:t>
      </w:r>
    </w:p>
    <w:p w14:paraId="68BD2A24">
      <w:pPr>
        <w:pStyle w:val="26"/>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E107416">
      <w:pPr>
        <w:pStyle w:val="26"/>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675C307">
      <w:pPr>
        <w:pStyle w:val="26"/>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29AF70F1">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729B4D6A">
      <w:pPr>
        <w:pStyle w:val="20"/>
        <w:ind w:firstLine="420" w:firstLineChars="20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09</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30</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10</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14</w:t>
      </w:r>
      <w:r>
        <w:rPr>
          <w:rFonts w:ascii="宋体" w:hAnsi="宋体" w:eastAsia="宋体" w:cs="Times New Roman"/>
          <w:color w:val="auto"/>
          <w:sz w:val="21"/>
          <w:szCs w:val="21"/>
          <w:highlight w:val="none"/>
          <w:lang w:eastAsia="zh-CN"/>
        </w:rPr>
        <w:t>日，每天上午9:00至12:00，下午14:30至17:30。（北京时间，法定节假日除外）</w:t>
      </w:r>
    </w:p>
    <w:p w14:paraId="065C4ED3">
      <w:pPr>
        <w:pStyle w:val="20"/>
        <w:ind w:firstLine="420" w:firstLine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地点：东莞市南城街道雅园产业园区路5号1栋1楼或微信搜索公众号“广东智汇城市招标采购有限公司”。</w:t>
      </w:r>
    </w:p>
    <w:p w14:paraId="106EB8FC">
      <w:pPr>
        <w:pStyle w:val="20"/>
        <w:ind w:firstLine="420" w:firstLineChars="20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74BEEED8">
      <w:pPr>
        <w:pStyle w:val="20"/>
        <w:ind w:firstLine="420" w:firstLine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w:t>
      </w:r>
      <w:r>
        <w:rPr>
          <w:rFonts w:hint="eastAsia" w:ascii="宋体" w:hAnsi="宋体" w:eastAsia="宋体" w:cs="Times New Roman"/>
          <w:color w:val="auto"/>
          <w:sz w:val="21"/>
          <w:szCs w:val="21"/>
          <w:highlight w:val="none"/>
          <w:lang w:val="en-US" w:eastAsia="zh-CN"/>
        </w:rPr>
        <w:t>0.00</w:t>
      </w:r>
      <w:r>
        <w:rPr>
          <w:rFonts w:ascii="宋体" w:hAnsi="宋体" w:eastAsia="宋体" w:cs="Times New Roman"/>
          <w:color w:val="auto"/>
          <w:sz w:val="21"/>
          <w:szCs w:val="21"/>
          <w:highlight w:val="none"/>
        </w:rPr>
        <w:t>元</w:t>
      </w:r>
    </w:p>
    <w:p w14:paraId="2E8C3176">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58C6A05B">
      <w:pPr>
        <w:pStyle w:val="20"/>
        <w:ind w:firstLine="420" w:firstLineChars="200"/>
        <w:rPr>
          <w:rFonts w:ascii="宋体" w:hAnsi="宋体" w:eastAsia="宋体" w:cs="Times New Roman"/>
          <w:color w:val="auto"/>
          <w:sz w:val="21"/>
          <w:szCs w:val="21"/>
          <w:highlight w:val="none"/>
        </w:rPr>
      </w:pPr>
      <w:r>
        <w:rPr>
          <w:rFonts w:hint="eastAsia" w:ascii="宋体" w:hAnsi="宋体" w:eastAsia="宋体" w:cs="Times New Roman"/>
          <w:color w:val="auto"/>
          <w:kern w:val="0"/>
          <w:sz w:val="21"/>
          <w:szCs w:val="21"/>
          <w:highlight w:val="none"/>
          <w:lang w:val="en-US" w:eastAsia="zh-CN"/>
        </w:rPr>
        <w:t>开标时间：2025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lang w:val="en-US" w:eastAsia="zh-CN"/>
        </w:rPr>
        <w:t>10</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lang w:val="en-US" w:eastAsia="zh-CN"/>
        </w:rPr>
        <w:t>21</w:t>
      </w:r>
      <w:r>
        <w:rPr>
          <w:rFonts w:ascii="宋体" w:hAnsi="宋体" w:eastAsia="宋体" w:cs="Times New Roman"/>
          <w:color w:val="auto"/>
          <w:kern w:val="0"/>
          <w:sz w:val="21"/>
          <w:szCs w:val="21"/>
          <w:highlight w:val="none"/>
          <w:lang w:eastAsia="zh-Hans"/>
        </w:rPr>
        <w:t>日</w:t>
      </w:r>
      <w:r>
        <w:rPr>
          <w:rFonts w:hint="eastAsia" w:ascii="宋体" w:hAnsi="宋体" w:eastAsia="宋体" w:cs="Times New Roman"/>
          <w:color w:val="auto"/>
          <w:kern w:val="0"/>
          <w:sz w:val="21"/>
          <w:szCs w:val="21"/>
          <w:highlight w:val="none"/>
          <w:lang w:val="en-US" w:eastAsia="zh-CN"/>
        </w:rPr>
        <w:t>15</w:t>
      </w:r>
      <w:r>
        <w:rPr>
          <w:rFonts w:ascii="宋体" w:hAnsi="宋体" w:eastAsia="宋体" w:cs="Times New Roman"/>
          <w:color w:val="auto"/>
          <w:kern w:val="0"/>
          <w:sz w:val="21"/>
          <w:szCs w:val="21"/>
          <w:highlight w:val="none"/>
          <w:lang w:eastAsia="zh-Hans"/>
        </w:rPr>
        <w:t>点</w:t>
      </w:r>
      <w:r>
        <w:rPr>
          <w:rFonts w:hint="eastAsia" w:ascii="宋体" w:hAnsi="宋体" w:eastAsia="宋体" w:cs="Times New Roman"/>
          <w:color w:val="auto"/>
          <w:kern w:val="0"/>
          <w:sz w:val="21"/>
          <w:szCs w:val="21"/>
          <w:highlight w:val="none"/>
          <w:lang w:val="en-US" w:eastAsia="zh-CN"/>
        </w:rPr>
        <w:t>00</w:t>
      </w:r>
      <w:r>
        <w:rPr>
          <w:rFonts w:ascii="宋体" w:hAnsi="宋体" w:eastAsia="宋体" w:cs="Times New Roman"/>
          <w:color w:val="auto"/>
          <w:kern w:val="0"/>
          <w:sz w:val="21"/>
          <w:szCs w:val="21"/>
          <w:highlight w:val="none"/>
          <w:lang w:eastAsia="zh-Hans"/>
        </w:rPr>
        <w:t>分</w:t>
      </w:r>
      <w:r>
        <w:rPr>
          <w:rFonts w:ascii="宋体" w:hAnsi="宋体" w:eastAsia="宋体" w:cs="Times New Roman"/>
          <w:color w:val="auto"/>
          <w:sz w:val="21"/>
          <w:szCs w:val="21"/>
          <w:highlight w:val="none"/>
        </w:rPr>
        <w:t>（北京时间）（自招标文件开始发出之日起至投标人提交投标文件截止之日止，不得少于20日）</w:t>
      </w:r>
    </w:p>
    <w:p w14:paraId="40B77F4D">
      <w:pPr>
        <w:pStyle w:val="20"/>
        <w:ind w:firstLine="420" w:firstLine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地点：东莞市南城街道雅园产业园区路5号1栋1楼</w:t>
      </w:r>
    </w:p>
    <w:p w14:paraId="68E97A55">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50850D66">
      <w:pPr>
        <w:pStyle w:val="20"/>
        <w:ind w:firstLine="420" w:firstLine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10CCD17E">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46F6AC2B">
      <w:pPr>
        <w:pStyle w:val="20"/>
        <w:numPr>
          <w:ilvl w:val="0"/>
          <w:numId w:val="5"/>
        </w:numPr>
        <w:ind w:left="440" w:hanging="44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3260CDF2">
      <w:pPr>
        <w:pStyle w:val="20"/>
        <w:numPr>
          <w:ilvl w:val="0"/>
          <w:numId w:val="5"/>
        </w:numPr>
        <w:ind w:left="440" w:hanging="44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软件和信息技术服务业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7F3BE3D7">
      <w:pPr>
        <w:pStyle w:val="20"/>
        <w:numPr>
          <w:ilvl w:val="0"/>
          <w:numId w:val="5"/>
        </w:numPr>
        <w:ind w:left="440" w:hanging="44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35FDB03F">
      <w:pPr>
        <w:pStyle w:val="20"/>
        <w:ind w:left="420" w:leftChars="200" w:firstLine="0" w:firstLineChars="0"/>
        <w:rPr>
          <w:rFonts w:ascii="宋体" w:hAnsi="宋体" w:eastAsia="宋体" w:cs="Times New Roman"/>
          <w:color w:val="auto"/>
          <w:spacing w:val="-10"/>
          <w:sz w:val="21"/>
          <w:szCs w:val="21"/>
          <w:highlight w:val="none"/>
          <w:lang w:eastAsia="zh-CN"/>
        </w:rPr>
      </w:pPr>
      <w:r>
        <w:rPr>
          <w:rFonts w:ascii="宋体" w:hAnsi="宋体" w:eastAsia="宋体" w:cs="Times New Roman"/>
          <w:color w:val="auto"/>
          <w:sz w:val="21"/>
          <w:szCs w:val="21"/>
          <w:highlight w:val="none"/>
        </w:rPr>
        <w:t>中国采购与招标网（https://zbdt.chinabidding.cn/）、广东智汇城市招标采购有限公司网站(http://www.gdzhcity.com/)</w:t>
      </w:r>
    </w:p>
    <w:p w14:paraId="1B1B7207">
      <w:pPr>
        <w:pStyle w:val="20"/>
        <w:numPr>
          <w:ilvl w:val="0"/>
          <w:numId w:val="5"/>
        </w:numPr>
        <w:ind w:left="440" w:hanging="44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53E3CFC0">
      <w:pPr>
        <w:pStyle w:val="20"/>
        <w:numPr>
          <w:ilvl w:val="0"/>
          <w:numId w:val="5"/>
        </w:numPr>
        <w:ind w:left="440" w:hanging="44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获取招标文件联系人及联系方式：黄小姐（0769）22367009 邮箱：zhcity_gd@163.com</w:t>
      </w:r>
    </w:p>
    <w:p w14:paraId="58A1CF2E">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348A961C">
      <w:pPr>
        <w:pStyle w:val="20"/>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采购人信息</w:t>
      </w:r>
    </w:p>
    <w:p w14:paraId="3C3F1D03">
      <w:pPr>
        <w:pStyle w:val="20"/>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名称：</w:t>
      </w:r>
      <w:r>
        <w:rPr>
          <w:rFonts w:hint="eastAsia" w:ascii="宋体" w:hAnsi="宋体" w:eastAsia="宋体" w:cs="Times New Roman"/>
          <w:color w:val="auto"/>
          <w:sz w:val="21"/>
          <w:szCs w:val="21"/>
          <w:highlight w:val="none"/>
        </w:rPr>
        <w:t>广东省珠江东航道事务中心东莞航道所</w:t>
      </w:r>
    </w:p>
    <w:p w14:paraId="1AF16D56">
      <w:pPr>
        <w:pStyle w:val="20"/>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地址：</w:t>
      </w:r>
      <w:r>
        <w:rPr>
          <w:rFonts w:hint="eastAsia" w:ascii="宋体" w:hAnsi="宋体" w:eastAsia="宋体" w:cs="Times New Roman"/>
          <w:color w:val="auto"/>
          <w:sz w:val="21"/>
          <w:szCs w:val="21"/>
          <w:highlight w:val="none"/>
        </w:rPr>
        <w:t>东莞市东城街道樟村运河路2号</w:t>
      </w:r>
    </w:p>
    <w:p w14:paraId="021E66B2">
      <w:pPr>
        <w:pStyle w:val="20"/>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lang w:val="en-US" w:eastAsia="zh-CN"/>
        </w:rPr>
        <w:t>刘先生</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22606162</w:t>
      </w:r>
    </w:p>
    <w:p w14:paraId="528D3A95">
      <w:pPr>
        <w:pStyle w:val="20"/>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6509778C">
      <w:pPr>
        <w:pStyle w:val="20"/>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名称：广东智汇城市招标采购有限公司</w:t>
      </w:r>
    </w:p>
    <w:p w14:paraId="31E783BD">
      <w:pPr>
        <w:pStyle w:val="20"/>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地址：东莞市南城街道雅园产业园区路5号1栋1楼</w:t>
      </w:r>
    </w:p>
    <w:p w14:paraId="416D1594">
      <w:pPr>
        <w:pStyle w:val="20"/>
        <w:ind w:firstLine="283" w:firstLineChars="135"/>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联系方式：（0769）</w:t>
      </w:r>
      <w:r>
        <w:rPr>
          <w:rFonts w:hint="eastAsia" w:ascii="宋体" w:hAnsi="宋体" w:eastAsia="宋体" w:cs="Times New Roman"/>
          <w:color w:val="auto"/>
          <w:sz w:val="21"/>
          <w:szCs w:val="21"/>
          <w:highlight w:val="none"/>
          <w:lang w:eastAsia="zh-CN"/>
        </w:rPr>
        <w:t>22367009</w:t>
      </w:r>
    </w:p>
    <w:p w14:paraId="43FD8B5D">
      <w:pPr>
        <w:pStyle w:val="20"/>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4B211914">
      <w:pPr>
        <w:pStyle w:val="20"/>
        <w:ind w:firstLine="283" w:firstLineChars="135"/>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何舜禹</w:t>
      </w:r>
    </w:p>
    <w:p w14:paraId="186DA7E6">
      <w:pPr>
        <w:pStyle w:val="20"/>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电话：（0769）</w:t>
      </w:r>
      <w:r>
        <w:rPr>
          <w:rFonts w:hint="eastAsia" w:ascii="宋体" w:hAnsi="宋体" w:eastAsia="宋体" w:cs="Times New Roman"/>
          <w:color w:val="auto"/>
          <w:sz w:val="21"/>
          <w:szCs w:val="21"/>
          <w:highlight w:val="none"/>
          <w:lang w:eastAsia="zh-CN"/>
        </w:rPr>
        <w:t>22367009</w:t>
      </w:r>
    </w:p>
    <w:p w14:paraId="1E3295CE">
      <w:pPr>
        <w:pStyle w:val="20"/>
        <w:jc w:val="center"/>
        <w:rPr>
          <w:rFonts w:ascii="宋体" w:hAnsi="宋体" w:eastAsia="宋体" w:cs="Times New Roman"/>
          <w:b/>
          <w:bCs/>
          <w:color w:val="auto"/>
          <w:sz w:val="21"/>
          <w:szCs w:val="21"/>
          <w:highlight w:val="none"/>
        </w:rPr>
      </w:pPr>
      <w:r>
        <w:rPr>
          <w:rFonts w:ascii="宋体" w:hAnsi="宋体" w:eastAsia="宋体" w:cs="Times New Roman"/>
          <w:color w:val="auto"/>
          <w:sz w:val="21"/>
          <w:szCs w:val="21"/>
          <w:highlight w:val="none"/>
          <w:lang w:eastAsia="zh-CN"/>
        </w:rPr>
        <w:t xml:space="preserve">                                         </w:t>
      </w: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发布人：广东智汇城市招标采购有限公司</w:t>
      </w:r>
    </w:p>
    <w:p w14:paraId="25B732E0">
      <w:pPr>
        <w:pStyle w:val="20"/>
        <w:jc w:val="center"/>
        <w:rPr>
          <w:rFonts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09</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30</w:t>
      </w:r>
      <w:r>
        <w:rPr>
          <w:rFonts w:ascii="宋体" w:hAnsi="宋体" w:eastAsia="宋体" w:cs="Times New Roman"/>
          <w:b/>
          <w:bCs/>
          <w:color w:val="auto"/>
          <w:sz w:val="21"/>
          <w:szCs w:val="21"/>
          <w:highlight w:val="none"/>
        </w:rPr>
        <w:t>日</w:t>
      </w:r>
    </w:p>
    <w:p w14:paraId="67FE9B9C">
      <w:pPr>
        <w:pStyle w:val="26"/>
        <w:widowControl/>
        <w:numPr>
          <w:ilvl w:val="-1"/>
          <w:numId w:val="0"/>
        </w:numPr>
        <w:ind w:left="0" w:firstLine="0" w:firstLineChars="0"/>
        <w:jc w:val="left"/>
        <w:outlineLvl w:val="3"/>
        <w:rPr>
          <w:rFonts w:ascii="Calibri" w:hAnsi="Calibri" w:eastAsia="宋体" w:cs="Times New Roman"/>
          <w:bCs/>
          <w:color w:val="auto"/>
          <w:kern w:val="0"/>
          <w:szCs w:val="21"/>
          <w:highlight w:val="none"/>
        </w:rPr>
      </w:pPr>
    </w:p>
    <w:p w14:paraId="6EFD6563">
      <w:pPr>
        <w:pageBreakBefore/>
        <w:jc w:val="center"/>
        <w:outlineLvl w:val="1"/>
        <w:rPr>
          <w:rFonts w:hint="eastAsia" w:ascii="宋体" w:hAnsi="宋体" w:eastAsia="宋体" w:cs="Times New Roman"/>
          <w:color w:val="auto"/>
          <w:kern w:val="0"/>
          <w:sz w:val="20"/>
          <w:szCs w:val="20"/>
          <w:highlight w:val="none"/>
        </w:rPr>
      </w:pPr>
      <w:bookmarkStart w:id="4" w:name="_Toc15835"/>
      <w:bookmarkStart w:id="5" w:name="_Toc169799779"/>
      <w:bookmarkStart w:id="6" w:name="_Hlk169874618"/>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4"/>
      <w:bookmarkEnd w:id="5"/>
    </w:p>
    <w:p w14:paraId="0D19EC01">
      <w:pPr>
        <w:snapToGrid w:val="0"/>
        <w:spacing w:line="360" w:lineRule="auto"/>
        <w:contextualSpacing/>
        <w:rPr>
          <w:rFonts w:hint="eastAsia" w:ascii="宋体" w:hAnsi="宋体" w:eastAsia="宋体"/>
          <w:b/>
          <w:color w:val="auto"/>
          <w:szCs w:val="21"/>
          <w:highlight w:val="none"/>
        </w:rPr>
      </w:pPr>
      <w:bookmarkStart w:id="7" w:name="_Hlk90919605"/>
      <w:r>
        <w:rPr>
          <w:rFonts w:hint="eastAsia" w:ascii="宋体" w:hAnsi="宋体" w:eastAsia="宋体"/>
          <w:b/>
          <w:color w:val="auto"/>
          <w:szCs w:val="21"/>
          <w:highlight w:val="none"/>
        </w:rPr>
        <w:t>说明：</w:t>
      </w:r>
    </w:p>
    <w:p w14:paraId="3F6BDFF1">
      <w:pPr>
        <w:pStyle w:val="26"/>
        <w:numPr>
          <w:ilvl w:val="0"/>
          <w:numId w:val="7"/>
        </w:numPr>
        <w:tabs>
          <w:tab w:val="left" w:pos="284"/>
        </w:tabs>
        <w:snapToGrid w:val="0"/>
        <w:spacing w:line="360" w:lineRule="auto"/>
        <w:ind w:left="284" w:hanging="284"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7F731678">
      <w:pPr>
        <w:pStyle w:val="26"/>
        <w:numPr>
          <w:ilvl w:val="0"/>
          <w:numId w:val="7"/>
        </w:numPr>
        <w:tabs>
          <w:tab w:val="left" w:pos="284"/>
        </w:tabs>
        <w:snapToGrid w:val="0"/>
        <w:spacing w:line="360" w:lineRule="auto"/>
        <w:ind w:left="284" w:hanging="284"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标有“▲”符号的内容为采购需求重点技术参数，若未能响应，则在评标过程中根据评审内容作扣分处理。</w:t>
      </w:r>
    </w:p>
    <w:p w14:paraId="3B8545D6">
      <w:pPr>
        <w:pStyle w:val="26"/>
        <w:numPr>
          <w:ilvl w:val="0"/>
          <w:numId w:val="7"/>
        </w:numPr>
        <w:tabs>
          <w:tab w:val="left" w:pos="284"/>
        </w:tabs>
        <w:snapToGrid w:val="0"/>
        <w:spacing w:line="360" w:lineRule="auto"/>
        <w:ind w:left="284" w:hanging="284"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2C4316D1">
      <w:pPr>
        <w:snapToGrid w:val="0"/>
        <w:spacing w:line="360" w:lineRule="auto"/>
        <w:contextualSpacing/>
        <w:rPr>
          <w:rFonts w:hint="eastAsia"/>
          <w:color w:val="auto"/>
          <w:highlight w:val="none"/>
        </w:rPr>
      </w:pPr>
    </w:p>
    <w:p w14:paraId="55BC13DA">
      <w:pPr>
        <w:pStyle w:val="26"/>
        <w:numPr>
          <w:ilvl w:val="0"/>
          <w:numId w:val="8"/>
        </w:numPr>
        <w:snapToGrid w:val="0"/>
        <w:spacing w:line="360" w:lineRule="auto"/>
        <w:ind w:left="442" w:hanging="442" w:firstLineChars="0"/>
        <w:contextualSpacing/>
        <w:rPr>
          <w:rFonts w:hint="eastAsia"/>
          <w:color w:val="auto"/>
          <w:highlight w:val="none"/>
        </w:rPr>
      </w:pPr>
      <w:r>
        <w:rPr>
          <w:rFonts w:ascii="宋体" w:hAnsi="宋体" w:eastAsia="宋体"/>
          <w:b/>
          <w:bCs/>
          <w:color w:val="auto"/>
          <w:highlight w:val="none"/>
        </w:rPr>
        <w:t>项目概况</w:t>
      </w:r>
    </w:p>
    <w:p w14:paraId="1164098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rPr>
      </w:pPr>
      <w:r>
        <w:rPr>
          <w:rFonts w:hint="eastAsia" w:ascii="宋体" w:hAnsi="宋体" w:eastAsia="宋体"/>
          <w:b w:val="0"/>
          <w:bCs/>
          <w:color w:val="auto"/>
          <w:szCs w:val="21"/>
          <w:highlight w:val="none"/>
          <w:lang w:val="en-US" w:eastAsia="zh-CN"/>
        </w:rPr>
        <w:t>运维服务内容</w:t>
      </w:r>
      <w:r>
        <w:rPr>
          <w:rFonts w:hint="eastAsia" w:ascii="宋体" w:hAnsi="宋体" w:eastAsia="宋体"/>
          <w:b w:val="0"/>
          <w:bCs/>
          <w:color w:val="auto"/>
          <w:szCs w:val="21"/>
          <w:highlight w:val="none"/>
        </w:rPr>
        <w:t>包含</w:t>
      </w:r>
      <w:r>
        <w:rPr>
          <w:rFonts w:hint="eastAsia" w:ascii="宋体" w:hAnsi="宋体" w:eastAsia="宋体"/>
          <w:b w:val="0"/>
          <w:bCs/>
          <w:color w:val="auto"/>
          <w:szCs w:val="21"/>
          <w:highlight w:val="none"/>
          <w:lang w:val="en-US" w:eastAsia="zh-CN"/>
        </w:rPr>
        <w:t>但不限于</w:t>
      </w:r>
      <w:r>
        <w:rPr>
          <w:rFonts w:hint="eastAsia" w:ascii="宋体" w:hAnsi="宋体" w:eastAsia="宋体"/>
          <w:b w:val="0"/>
          <w:bCs/>
          <w:color w:val="auto"/>
          <w:szCs w:val="21"/>
          <w:highlight w:val="none"/>
          <w:lang w:val="en-GB"/>
        </w:rPr>
        <w:t>船舶流量观测终端、桥梁净高显示终端、视频监控终端、水位监测终端、流速流向仪</w:t>
      </w:r>
      <w:r>
        <w:rPr>
          <w:rFonts w:hint="eastAsia" w:ascii="宋体" w:hAnsi="宋体" w:eastAsia="宋体"/>
          <w:b w:val="0"/>
          <w:bCs/>
          <w:color w:val="auto"/>
          <w:szCs w:val="21"/>
          <w:highlight w:val="none"/>
        </w:rPr>
        <w:t>等外场作业感知终端设备的</w:t>
      </w:r>
      <w:r>
        <w:rPr>
          <w:rFonts w:hint="eastAsia" w:ascii="宋体" w:hAnsi="宋体" w:eastAsia="宋体"/>
          <w:b w:val="0"/>
          <w:bCs/>
          <w:color w:val="auto"/>
          <w:szCs w:val="21"/>
          <w:highlight w:val="none"/>
          <w:lang w:val="en-GB"/>
        </w:rPr>
        <w:t>日常</w:t>
      </w:r>
      <w:r>
        <w:rPr>
          <w:rFonts w:hint="eastAsia" w:ascii="宋体" w:hAnsi="宋体" w:eastAsia="宋体"/>
          <w:b w:val="0"/>
          <w:bCs/>
          <w:color w:val="auto"/>
          <w:szCs w:val="21"/>
          <w:highlight w:val="none"/>
        </w:rPr>
        <w:t>巡查和维护</w:t>
      </w:r>
      <w:r>
        <w:rPr>
          <w:rFonts w:hint="eastAsia" w:ascii="宋体" w:hAnsi="宋体" w:eastAsia="宋体"/>
          <w:b w:val="0"/>
          <w:bCs/>
          <w:color w:val="auto"/>
          <w:szCs w:val="21"/>
          <w:highlight w:val="none"/>
          <w:lang w:val="en-GB"/>
        </w:rPr>
        <w:t>、</w:t>
      </w:r>
      <w:r>
        <w:rPr>
          <w:rFonts w:hint="eastAsia" w:ascii="宋体" w:hAnsi="宋体" w:eastAsia="宋体"/>
          <w:b w:val="0"/>
          <w:bCs/>
          <w:color w:val="auto"/>
          <w:szCs w:val="21"/>
          <w:highlight w:val="none"/>
        </w:rPr>
        <w:t>设备维修和恢复（含损坏设备备品备件的采购、更换和恢复</w:t>
      </w:r>
      <w:r>
        <w:rPr>
          <w:rFonts w:hint="eastAsia" w:ascii="宋体" w:hAnsi="宋体" w:eastAsia="宋体"/>
          <w:b w:val="0"/>
          <w:bCs/>
          <w:color w:val="auto"/>
          <w:szCs w:val="21"/>
          <w:highlight w:val="none"/>
          <w:lang w:eastAsia="zh-CN"/>
        </w:rPr>
        <w:t>，终端软件系统调试服务</w:t>
      </w:r>
      <w:r>
        <w:rPr>
          <w:rFonts w:hint="eastAsia" w:ascii="宋体" w:hAnsi="宋体" w:eastAsia="宋体"/>
          <w:b w:val="0"/>
          <w:bCs/>
          <w:color w:val="auto"/>
          <w:szCs w:val="21"/>
          <w:highlight w:val="none"/>
        </w:rPr>
        <w:t>）以及配套基础设施的日常养护</w:t>
      </w:r>
      <w:r>
        <w:rPr>
          <w:rFonts w:hint="eastAsia" w:ascii="宋体" w:hAnsi="宋体" w:eastAsia="宋体"/>
          <w:b w:val="0"/>
          <w:bCs/>
          <w:color w:val="auto"/>
          <w:szCs w:val="21"/>
          <w:highlight w:val="none"/>
          <w:lang w:eastAsia="zh-CN"/>
        </w:rPr>
        <w:t>（损坏修复、清洁卫生、</w:t>
      </w:r>
      <w:r>
        <w:rPr>
          <w:rFonts w:hint="eastAsia" w:ascii="宋体" w:hAnsi="宋体" w:eastAsia="宋体"/>
          <w:b w:val="0"/>
          <w:bCs/>
          <w:color w:val="auto"/>
          <w:szCs w:val="21"/>
          <w:highlight w:val="none"/>
        </w:rPr>
        <w:t>除锈和刷漆</w:t>
      </w:r>
      <w:r>
        <w:rPr>
          <w:rFonts w:hint="eastAsia" w:ascii="宋体" w:hAnsi="宋体" w:eastAsia="宋体"/>
          <w:b w:val="0"/>
          <w:bCs/>
          <w:color w:val="auto"/>
          <w:szCs w:val="21"/>
          <w:highlight w:val="none"/>
          <w:lang w:val="en-US" w:eastAsia="zh-CN"/>
        </w:rPr>
        <w:t>等</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rPr>
        <w:t>。</w:t>
      </w:r>
    </w:p>
    <w:p w14:paraId="5EDD46D7">
      <w:pPr>
        <w:pStyle w:val="26"/>
        <w:numPr>
          <w:ilvl w:val="0"/>
          <w:numId w:val="8"/>
        </w:numPr>
        <w:snapToGrid w:val="0"/>
        <w:spacing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采购标的</w:t>
      </w:r>
    </w:p>
    <w:p w14:paraId="39471920">
      <w:pPr>
        <w:pStyle w:val="26"/>
        <w:numPr>
          <w:ilvl w:val="0"/>
          <w:numId w:val="9"/>
        </w:numPr>
        <w:snapToGrid w:val="0"/>
        <w:spacing w:line="360" w:lineRule="auto"/>
        <w:ind w:firstLineChars="0"/>
        <w:contextualSpacing/>
        <w:rPr>
          <w:rFonts w:hint="eastAsia" w:ascii="宋体" w:hAnsi="宋体" w:eastAsia="宋体"/>
          <w:bCs/>
          <w:color w:val="auto"/>
          <w:szCs w:val="21"/>
          <w:highlight w:val="none"/>
        </w:rPr>
      </w:pPr>
      <w:r>
        <w:rPr>
          <w:rFonts w:ascii="宋体" w:hAnsi="宋体" w:eastAsia="宋体"/>
          <w:bCs/>
          <w:color w:val="auto"/>
          <w:szCs w:val="21"/>
          <w:highlight w:val="none"/>
        </w:rPr>
        <w:t>采购标的</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4220"/>
        <w:gridCol w:w="886"/>
        <w:gridCol w:w="961"/>
        <w:gridCol w:w="2390"/>
      </w:tblGrid>
      <w:tr w14:paraId="5A7D8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6" w:type="pct"/>
          </w:tcPr>
          <w:p w14:paraId="4F31C55B">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序号</w:t>
            </w:r>
          </w:p>
        </w:tc>
        <w:tc>
          <w:tcPr>
            <w:tcW w:w="2271" w:type="pct"/>
          </w:tcPr>
          <w:p w14:paraId="4024B31F">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477" w:type="pct"/>
          </w:tcPr>
          <w:p w14:paraId="4D3F5EC0">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单位</w:t>
            </w:r>
          </w:p>
        </w:tc>
        <w:tc>
          <w:tcPr>
            <w:tcW w:w="517" w:type="pct"/>
          </w:tcPr>
          <w:p w14:paraId="03C507E3">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数量</w:t>
            </w:r>
          </w:p>
        </w:tc>
        <w:tc>
          <w:tcPr>
            <w:tcW w:w="1286" w:type="pct"/>
          </w:tcPr>
          <w:p w14:paraId="5825B4B3">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采购标的所属行业</w:t>
            </w:r>
          </w:p>
        </w:tc>
      </w:tr>
      <w:tr w14:paraId="35CE7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6" w:type="pct"/>
          </w:tcPr>
          <w:p w14:paraId="7684A509">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2271" w:type="pct"/>
          </w:tcPr>
          <w:p w14:paraId="0F0C356C">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eastAsia="zh-Hans"/>
              </w:rPr>
              <w:t>2025年东莞航道所外场业务感知终端运维</w:t>
            </w:r>
          </w:p>
        </w:tc>
        <w:tc>
          <w:tcPr>
            <w:tcW w:w="477" w:type="pct"/>
          </w:tcPr>
          <w:p w14:paraId="283A7035">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517" w:type="pct"/>
          </w:tcPr>
          <w:p w14:paraId="5E789F79">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286" w:type="pct"/>
          </w:tcPr>
          <w:p w14:paraId="4FDFF621">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eastAsia="zh-CN"/>
              </w:rPr>
              <w:t>软件和信息技术服务业</w:t>
            </w:r>
          </w:p>
        </w:tc>
      </w:tr>
    </w:tbl>
    <w:p w14:paraId="397FA954">
      <w:pPr>
        <w:pStyle w:val="26"/>
        <w:numPr>
          <w:ilvl w:val="0"/>
          <w:numId w:val="8"/>
        </w:numPr>
        <w:snapToGrid w:val="0"/>
        <w:spacing w:before="217" w:beforeLines="50"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商务要求</w:t>
      </w:r>
    </w:p>
    <w:p w14:paraId="0C88F9E3">
      <w:pPr>
        <w:pStyle w:val="26"/>
        <w:numPr>
          <w:ilvl w:val="0"/>
          <w:numId w:val="10"/>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服务时间</w:t>
      </w:r>
    </w:p>
    <w:p w14:paraId="137402C9">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rPr>
      </w:pPr>
      <w:r>
        <w:rPr>
          <w:rFonts w:hint="eastAsia" w:ascii="宋体" w:hAnsi="宋体" w:eastAsia="宋体"/>
          <w:iCs/>
          <w:color w:val="auto"/>
          <w:szCs w:val="21"/>
          <w:highlight w:val="none"/>
          <w:lang w:val="en-US" w:eastAsia="zh-CN"/>
        </w:rPr>
        <w:t>1年</w:t>
      </w:r>
      <w:r>
        <w:rPr>
          <w:rFonts w:hint="eastAsia" w:ascii="宋体" w:hAnsi="宋体" w:eastAsia="宋体"/>
          <w:iCs/>
          <w:color w:val="auto"/>
          <w:szCs w:val="21"/>
          <w:highlight w:val="none"/>
          <w:lang w:val="en-GB" w:eastAsia="zh-CN"/>
        </w:rPr>
        <w:t>，具体运行维护期以合同签订</w:t>
      </w:r>
      <w:r>
        <w:rPr>
          <w:rFonts w:hint="eastAsia" w:ascii="宋体" w:hAnsi="宋体" w:eastAsia="宋体"/>
          <w:iCs/>
          <w:color w:val="auto"/>
          <w:szCs w:val="21"/>
          <w:highlight w:val="none"/>
          <w:lang w:val="en-US" w:eastAsia="zh-CN"/>
        </w:rPr>
        <w:t>起止</w:t>
      </w:r>
      <w:r>
        <w:rPr>
          <w:rFonts w:hint="eastAsia" w:ascii="宋体" w:hAnsi="宋体" w:eastAsia="宋体"/>
          <w:iCs/>
          <w:color w:val="auto"/>
          <w:szCs w:val="21"/>
          <w:highlight w:val="none"/>
          <w:lang w:val="en-GB" w:eastAsia="zh-CN"/>
        </w:rPr>
        <w:t>日期为准。</w:t>
      </w:r>
    </w:p>
    <w:p w14:paraId="3BF68D92">
      <w:pPr>
        <w:pStyle w:val="26"/>
        <w:numPr>
          <w:ilvl w:val="0"/>
          <w:numId w:val="10"/>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服务地点</w:t>
      </w:r>
    </w:p>
    <w:p w14:paraId="74340919">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rPr>
      </w:pPr>
      <w:r>
        <w:rPr>
          <w:rFonts w:hint="eastAsia" w:ascii="宋体" w:hAnsi="宋体" w:eastAsia="宋体"/>
          <w:iCs/>
          <w:color w:val="auto"/>
          <w:szCs w:val="21"/>
          <w:highlight w:val="none"/>
          <w:lang w:val="en-US" w:eastAsia="zh-CN"/>
        </w:rPr>
        <w:t>东莞市内或</w:t>
      </w:r>
      <w:r>
        <w:rPr>
          <w:rFonts w:hint="eastAsia" w:ascii="宋体" w:hAnsi="宋体" w:eastAsia="宋体"/>
          <w:iCs/>
          <w:color w:val="auto"/>
          <w:szCs w:val="21"/>
          <w:highlight w:val="none"/>
        </w:rPr>
        <w:t>采购人指定地点。</w:t>
      </w:r>
    </w:p>
    <w:p w14:paraId="0AF992BF">
      <w:pPr>
        <w:pStyle w:val="26"/>
        <w:numPr>
          <w:ilvl w:val="0"/>
          <w:numId w:val="10"/>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val="en-US" w:eastAsia="zh-CN"/>
        </w:rPr>
        <w:t>报价要求</w:t>
      </w:r>
    </w:p>
    <w:p w14:paraId="2A7256BA">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rPr>
      </w:pPr>
      <w:r>
        <w:rPr>
          <w:rFonts w:hint="eastAsia" w:ascii="宋体" w:hAnsi="宋体" w:eastAsia="宋体"/>
          <w:iCs/>
          <w:color w:val="auto"/>
          <w:szCs w:val="21"/>
          <w:highlight w:val="none"/>
        </w:rPr>
        <w:t>报价应包含完成本项目所有服务内容的费用，包括人</w:t>
      </w:r>
      <w:r>
        <w:rPr>
          <w:rFonts w:hint="eastAsia" w:ascii="宋体" w:hAnsi="宋体" w:eastAsia="宋体"/>
          <w:iCs/>
          <w:color w:val="auto"/>
          <w:szCs w:val="21"/>
          <w:highlight w:val="none"/>
          <w:lang w:val="en-US" w:eastAsia="zh-CN"/>
        </w:rPr>
        <w:t>员工资</w:t>
      </w:r>
      <w:r>
        <w:rPr>
          <w:rFonts w:hint="eastAsia" w:ascii="宋体" w:hAnsi="宋体" w:eastAsia="宋体"/>
          <w:iCs/>
          <w:color w:val="auto"/>
          <w:szCs w:val="21"/>
          <w:highlight w:val="none"/>
        </w:rPr>
        <w:t>、</w:t>
      </w:r>
      <w:r>
        <w:rPr>
          <w:rFonts w:hint="eastAsia" w:ascii="宋体" w:hAnsi="宋体" w:eastAsia="宋体"/>
          <w:iCs/>
          <w:color w:val="auto"/>
          <w:szCs w:val="21"/>
          <w:highlight w:val="none"/>
          <w:lang w:val="en-US" w:eastAsia="zh-CN"/>
        </w:rPr>
        <w:t>保险</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rPr>
        <w:t>材料费、</w:t>
      </w:r>
      <w:r>
        <w:rPr>
          <w:rFonts w:hint="eastAsia" w:ascii="宋体" w:hAnsi="宋体" w:eastAsia="宋体"/>
          <w:iCs/>
          <w:color w:val="auto"/>
          <w:szCs w:val="21"/>
          <w:highlight w:val="none"/>
          <w:lang w:val="en-US" w:eastAsia="zh-CN"/>
        </w:rPr>
        <w:t>备品备件</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rPr>
        <w:t>各种税务费、必须的辅助材料费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额外产生的终端软件系统运维及调试费用</w:t>
      </w:r>
      <w:r>
        <w:rPr>
          <w:rFonts w:hint="eastAsia" w:ascii="宋体" w:hAnsi="宋体" w:eastAsia="宋体"/>
          <w:iCs/>
          <w:color w:val="auto"/>
          <w:szCs w:val="21"/>
          <w:highlight w:val="none"/>
        </w:rPr>
        <w:t>及合同实施过程中不可预见费用等全部费用。</w:t>
      </w:r>
    </w:p>
    <w:p w14:paraId="3E43E1DF">
      <w:pPr>
        <w:pStyle w:val="26"/>
        <w:numPr>
          <w:ilvl w:val="0"/>
          <w:numId w:val="10"/>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付款条件（进度和方式）</w:t>
      </w:r>
    </w:p>
    <w:p w14:paraId="70F1E14F">
      <w:pPr>
        <w:pStyle w:val="26"/>
        <w:numPr>
          <w:ilvl w:val="0"/>
          <w:numId w:val="1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GB" w:eastAsia="zh-CN"/>
        </w:rPr>
        <w:t>签订合同后，</w:t>
      </w:r>
      <w:r>
        <w:rPr>
          <w:rFonts w:hint="eastAsia" w:ascii="宋体" w:hAnsi="宋体" w:eastAsia="宋体"/>
          <w:iCs/>
          <w:color w:val="auto"/>
          <w:szCs w:val="21"/>
          <w:highlight w:val="none"/>
          <w:lang w:val="en-US" w:eastAsia="zh-CN"/>
        </w:rPr>
        <w:t>中标人</w:t>
      </w:r>
      <w:r>
        <w:rPr>
          <w:rFonts w:hint="eastAsia" w:ascii="宋体" w:hAnsi="宋体" w:eastAsia="宋体"/>
          <w:iCs/>
          <w:color w:val="auto"/>
          <w:szCs w:val="21"/>
          <w:highlight w:val="none"/>
          <w:lang w:val="en-GB" w:eastAsia="zh-CN"/>
        </w:rPr>
        <w:t>书面提交</w:t>
      </w:r>
      <w:r>
        <w:rPr>
          <w:rFonts w:hint="eastAsia" w:ascii="宋体" w:hAnsi="宋体" w:eastAsia="宋体"/>
          <w:iCs/>
          <w:color w:val="auto"/>
          <w:szCs w:val="21"/>
          <w:highlight w:val="none"/>
          <w:lang w:val="en-US" w:eastAsia="zh-CN"/>
        </w:rPr>
        <w:t>请款资料</w:t>
      </w:r>
      <w:r>
        <w:rPr>
          <w:rFonts w:hint="eastAsia" w:ascii="宋体" w:hAnsi="宋体" w:eastAsia="宋体"/>
          <w:iCs/>
          <w:color w:val="auto"/>
          <w:szCs w:val="21"/>
          <w:highlight w:val="none"/>
          <w:lang w:val="en-GB" w:eastAsia="zh-CN"/>
        </w:rPr>
        <w:t>及</w:t>
      </w:r>
      <w:r>
        <w:rPr>
          <w:rFonts w:hint="eastAsia" w:ascii="宋体" w:hAnsi="宋体" w:eastAsia="宋体"/>
          <w:iCs/>
          <w:color w:val="auto"/>
          <w:szCs w:val="21"/>
          <w:highlight w:val="none"/>
          <w:lang w:val="en-US" w:eastAsia="zh-CN"/>
        </w:rPr>
        <w:t>等额有效</w:t>
      </w:r>
      <w:r>
        <w:rPr>
          <w:rFonts w:hint="eastAsia" w:ascii="宋体" w:hAnsi="宋体" w:eastAsia="宋体"/>
          <w:iCs/>
          <w:color w:val="auto"/>
          <w:szCs w:val="21"/>
          <w:highlight w:val="none"/>
          <w:lang w:val="en-GB" w:eastAsia="zh-CN"/>
        </w:rPr>
        <w:t>发票</w:t>
      </w:r>
      <w:r>
        <w:rPr>
          <w:rFonts w:hint="eastAsia" w:ascii="宋体" w:hAnsi="宋体" w:eastAsia="宋体"/>
          <w:iCs/>
          <w:color w:val="auto"/>
          <w:szCs w:val="21"/>
          <w:highlight w:val="none"/>
          <w:lang w:val="en-US" w:eastAsia="zh-CN"/>
        </w:rPr>
        <w:t>至采购人处</w:t>
      </w:r>
      <w:r>
        <w:rPr>
          <w:rFonts w:hint="eastAsia" w:ascii="宋体" w:hAnsi="宋体" w:eastAsia="宋体"/>
          <w:iCs/>
          <w:color w:val="auto"/>
          <w:szCs w:val="21"/>
          <w:highlight w:val="none"/>
          <w:lang w:val="en-GB" w:eastAsia="zh-CN"/>
        </w:rPr>
        <w:t>，经</w:t>
      </w:r>
      <w:r>
        <w:rPr>
          <w:rFonts w:hint="eastAsia" w:ascii="宋体" w:hAnsi="宋体" w:eastAsia="宋体"/>
          <w:iCs/>
          <w:color w:val="auto"/>
          <w:szCs w:val="21"/>
          <w:highlight w:val="none"/>
          <w:lang w:val="en-US" w:eastAsia="zh-CN"/>
        </w:rPr>
        <w:t>采购人确认无误后于10个工作日内支付合同金额的</w:t>
      </w:r>
      <w:r>
        <w:rPr>
          <w:rFonts w:hint="eastAsia" w:ascii="宋体" w:hAnsi="宋体" w:eastAsia="宋体"/>
          <w:iCs/>
          <w:color w:val="auto"/>
          <w:szCs w:val="21"/>
          <w:highlight w:val="none"/>
          <w:lang w:val="en-GB" w:eastAsia="zh-CN"/>
        </w:rPr>
        <w:t>30%</w:t>
      </w:r>
      <w:r>
        <w:rPr>
          <w:rFonts w:hint="eastAsia" w:ascii="宋体" w:hAnsi="宋体" w:eastAsia="宋体"/>
          <w:iCs/>
          <w:color w:val="auto"/>
          <w:szCs w:val="21"/>
          <w:highlight w:val="none"/>
          <w:lang w:val="en-US" w:eastAsia="zh-CN"/>
        </w:rPr>
        <w:t>作为预付款；</w:t>
      </w:r>
    </w:p>
    <w:p w14:paraId="71397372">
      <w:pPr>
        <w:pStyle w:val="26"/>
        <w:numPr>
          <w:ilvl w:val="0"/>
          <w:numId w:val="1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US" w:eastAsia="zh-CN"/>
        </w:rPr>
        <w:t>本项目服务周期满6个月后，中标人提交请款资料及等额有效发票至采购人处，经采购人确认无误后于10个工作日内支付合同金额的20%；</w:t>
      </w:r>
    </w:p>
    <w:p w14:paraId="398BC3C7">
      <w:pPr>
        <w:pStyle w:val="26"/>
        <w:numPr>
          <w:ilvl w:val="0"/>
          <w:numId w:val="1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US" w:eastAsia="zh-CN"/>
        </w:rPr>
        <w:t>本项目服务周期满9个月后，中标人提交请款资料及等额有效发票至采购人处，经采购人确认无误后于10个工作日内支付合同金额的20%；</w:t>
      </w:r>
    </w:p>
    <w:p w14:paraId="58154E56">
      <w:pPr>
        <w:pStyle w:val="26"/>
        <w:numPr>
          <w:ilvl w:val="0"/>
          <w:numId w:val="1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US" w:eastAsia="zh-CN"/>
        </w:rPr>
        <w:t>本项目服务周期满12个月并经采购人完成项目验收后，中标人书面提交请款资料及等额有效发票至采购人处，经采购人确认无误后于10个工作日内支付合同金额的30%</w:t>
      </w:r>
      <w:r>
        <w:rPr>
          <w:rFonts w:hint="eastAsia" w:ascii="宋体" w:hAnsi="宋体" w:eastAsia="宋体"/>
          <w:iCs/>
          <w:color w:val="auto"/>
          <w:szCs w:val="21"/>
          <w:highlight w:val="none"/>
          <w:lang w:val="en-GB" w:eastAsia="zh-CN"/>
        </w:rPr>
        <w:t>。</w:t>
      </w:r>
    </w:p>
    <w:p w14:paraId="29640A9B">
      <w:pPr>
        <w:pStyle w:val="26"/>
        <w:numPr>
          <w:ilvl w:val="0"/>
          <w:numId w:val="0"/>
        </w:numPr>
        <w:snapToGrid w:val="0"/>
        <w:spacing w:line="360" w:lineRule="auto"/>
        <w:ind w:left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注：</w:t>
      </w:r>
    </w:p>
    <w:p w14:paraId="286FF33F">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本项目根据《运维考核评分表》进行每期服务费结算，上文2</w:t>
      </w:r>
      <w:r>
        <w:rPr>
          <w:rFonts w:hint="eastAsia" w:ascii="宋体" w:hAnsi="宋体" w:eastAsia="宋体"/>
          <w:iCs/>
          <w:color w:val="auto"/>
          <w:szCs w:val="21"/>
          <w:highlight w:val="none"/>
          <w:lang w:val="en-GB" w:eastAsia="zh-CN"/>
        </w:rPr>
        <w:t>进度款</w:t>
      </w:r>
      <w:r>
        <w:rPr>
          <w:rFonts w:hint="eastAsia" w:ascii="宋体" w:hAnsi="宋体" w:eastAsia="宋体"/>
          <w:iCs/>
          <w:color w:val="auto"/>
          <w:szCs w:val="21"/>
          <w:highlight w:val="none"/>
          <w:lang w:val="en-US" w:eastAsia="zh-CN"/>
        </w:rPr>
        <w:t>需根据采购人对中标人第1-2期的《运维考核评分表》情况进行支付；上文3</w:t>
      </w:r>
      <w:r>
        <w:rPr>
          <w:rFonts w:hint="eastAsia" w:ascii="宋体" w:hAnsi="宋体" w:eastAsia="宋体"/>
          <w:iCs/>
          <w:color w:val="auto"/>
          <w:szCs w:val="21"/>
          <w:highlight w:val="none"/>
          <w:lang w:val="en-GB" w:eastAsia="zh-CN"/>
        </w:rPr>
        <w:t>进度款</w:t>
      </w:r>
      <w:r>
        <w:rPr>
          <w:rFonts w:hint="eastAsia" w:ascii="宋体" w:hAnsi="宋体" w:eastAsia="宋体"/>
          <w:iCs/>
          <w:color w:val="auto"/>
          <w:szCs w:val="21"/>
          <w:highlight w:val="none"/>
          <w:lang w:val="en-US" w:eastAsia="zh-CN"/>
        </w:rPr>
        <w:t>需根据采购人对第3期《运维考核评分表》情况进行支付；上文4尾款需根据采购人对第4期《运维考核评分表》情况进行支付（考核要求详见下文《运维考核评分表》）；</w:t>
      </w:r>
    </w:p>
    <w:p w14:paraId="6632F86B">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val="en-GB" w:eastAsia="zh-CN"/>
        </w:rPr>
        <w:t>因采购人使用的是财政资金，上述规定的付款时间为采购人向财政部门提出办理支付申请手续的时间（不含财政部门审核的时间）中标人不得以未收取合同款项为由拒绝或延期履行合同义务，因财政审核或中标人提供的请款资料不符合要求导致超出合同约定付款期限的，采购人不承担相应的责任。</w:t>
      </w:r>
    </w:p>
    <w:p w14:paraId="5C5420ED">
      <w:pPr>
        <w:pStyle w:val="26"/>
        <w:numPr>
          <w:ilvl w:val="0"/>
          <w:numId w:val="10"/>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验收要求</w:t>
      </w:r>
    </w:p>
    <w:p w14:paraId="6B6DD4FD">
      <w:pPr>
        <w:pStyle w:val="26"/>
        <w:numPr>
          <w:ilvl w:val="0"/>
          <w:numId w:val="13"/>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验收时间：每个月由采购人进行考核验收；</w:t>
      </w:r>
    </w:p>
    <w:p w14:paraId="27A53913">
      <w:pPr>
        <w:pStyle w:val="26"/>
        <w:numPr>
          <w:ilvl w:val="0"/>
          <w:numId w:val="13"/>
        </w:numPr>
        <w:snapToGrid w:val="0"/>
        <w:spacing w:line="360" w:lineRule="auto"/>
        <w:ind w:left="425" w:leftChars="0" w:hanging="425"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val="en-US" w:eastAsia="zh-CN"/>
        </w:rPr>
        <w:t>履约验收内容及标准：根据《运维考核评分表》内容进行验收。</w:t>
      </w:r>
    </w:p>
    <w:p w14:paraId="698777C1">
      <w:pPr>
        <w:pStyle w:val="26"/>
        <w:numPr>
          <w:ilvl w:val="0"/>
          <w:numId w:val="8"/>
        </w:numPr>
        <w:snapToGrid w:val="0"/>
        <w:spacing w:before="217" w:beforeLines="50"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技术要求</w:t>
      </w:r>
    </w:p>
    <w:p w14:paraId="2DEA8930">
      <w:pPr>
        <w:pStyle w:val="26"/>
        <w:numPr>
          <w:ilvl w:val="0"/>
          <w:numId w:val="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水位监测终端服务内容及要求</w:t>
      </w:r>
    </w:p>
    <w:p w14:paraId="372C5698">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本项目纳入日常维护的水位监测终端设备合计</w:t>
      </w:r>
      <w:r>
        <w:rPr>
          <w:rFonts w:hint="eastAsia" w:ascii="宋体" w:hAnsi="宋体" w:eastAsia="宋体"/>
          <w:color w:val="auto"/>
          <w:szCs w:val="21"/>
          <w:highlight w:val="none"/>
          <w:lang w:val="en-US" w:eastAsia="zh-CN"/>
        </w:rPr>
        <w:t>22套。</w:t>
      </w:r>
    </w:p>
    <w:p w14:paraId="1C1A87FE">
      <w:pPr>
        <w:pStyle w:val="26"/>
        <w:numPr>
          <w:ilvl w:val="0"/>
          <w:numId w:val="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GB" w:eastAsia="zh-CN"/>
        </w:rPr>
        <w:t>工程内容：</w:t>
      </w:r>
      <w:r>
        <w:rPr>
          <w:rFonts w:hint="eastAsia" w:ascii="宋体" w:hAnsi="宋体" w:eastAsia="宋体"/>
          <w:color w:val="auto"/>
          <w:szCs w:val="21"/>
          <w:highlight w:val="none"/>
          <w:lang w:val="en-US" w:eastAsia="zh-CN"/>
        </w:rPr>
        <w:t>终端设备定期维护、故障出检修复、零部件更换。</w:t>
      </w:r>
    </w:p>
    <w:p w14:paraId="5D63B7F4">
      <w:pPr>
        <w:pStyle w:val="26"/>
        <w:numPr>
          <w:ilvl w:val="0"/>
          <w:numId w:val="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终端设备定期维护：每月进行一次保养和每次汛期后进行一次检查养护，每个终端一年平均保养不少于15次。</w:t>
      </w:r>
      <w:r>
        <w:rPr>
          <w:rFonts w:hint="eastAsia" w:ascii="宋体" w:hAnsi="宋体" w:eastAsia="宋体"/>
          <w:color w:val="auto"/>
          <w:szCs w:val="21"/>
          <w:highlight w:val="none"/>
          <w:lang w:val="en-GB" w:eastAsia="zh-CN"/>
        </w:rPr>
        <w:t>每年对终端及配套设施进行除锈和刷漆</w:t>
      </w:r>
      <w:r>
        <w:rPr>
          <w:rFonts w:hint="eastAsia" w:ascii="宋体" w:hAnsi="宋体" w:eastAsia="宋体"/>
          <w:color w:val="auto"/>
          <w:szCs w:val="21"/>
          <w:highlight w:val="none"/>
          <w:lang w:val="en-US" w:eastAsia="zh-CN"/>
        </w:rPr>
        <w:t>1次。</w:t>
      </w:r>
      <w:r>
        <w:rPr>
          <w:rFonts w:hint="eastAsia" w:ascii="宋体" w:hAnsi="宋体" w:eastAsia="宋体"/>
          <w:color w:val="auto"/>
          <w:szCs w:val="21"/>
          <w:highlight w:val="none"/>
          <w:lang w:val="en-GB"/>
        </w:rPr>
        <w:t>使用</w:t>
      </w:r>
      <w:r>
        <w:rPr>
          <w:rFonts w:hint="eastAsia" w:ascii="宋体" w:hAnsi="宋体" w:eastAsia="宋体"/>
          <w:color w:val="auto"/>
          <w:szCs w:val="21"/>
          <w:highlight w:val="none"/>
        </w:rPr>
        <w:t>RTK及其他测量设备</w:t>
      </w:r>
      <w:r>
        <w:rPr>
          <w:rFonts w:hint="eastAsia" w:ascii="宋体" w:hAnsi="宋体" w:eastAsia="宋体"/>
          <w:color w:val="auto"/>
          <w:szCs w:val="21"/>
          <w:highlight w:val="none"/>
          <w:lang w:val="en-GB"/>
        </w:rPr>
        <w:t>每年对水位站监测数据进行至少1次校核比对。做好设备档案资料日常填报工作。</w:t>
      </w:r>
    </w:p>
    <w:p w14:paraId="7578F020">
      <w:pPr>
        <w:pStyle w:val="26"/>
        <w:numPr>
          <w:ilvl w:val="0"/>
          <w:numId w:val="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GB"/>
        </w:rPr>
        <w:t>检查养护内容</w:t>
      </w:r>
    </w:p>
    <w:p w14:paraId="474DDA08">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外观检查。主要检查水位站平台、爬梯等设施是否稳固、生锈或破损，物理水尺刻度是否清晰可见，站桩是否有缠绕物和防盗窗及锁具是否完好等。</w:t>
      </w:r>
    </w:p>
    <w:p w14:paraId="77D5F796">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零部件检查。主要检查太阳能电池和蓄电池是否正常，水位计、平衡锤、浮子、钢丝绳等是否完好。</w:t>
      </w:r>
    </w:p>
    <w:p w14:paraId="22735E9F">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采集终端检查。主要检查数采终端设备（RTU）、太阳能控制器、通信模块等是否运行正常；数据采集是否正常、显示是否正确、传输是否正常。</w:t>
      </w:r>
    </w:p>
    <w:p w14:paraId="6EC9D5C6">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水位数值验证。现场检验水位数值是否正确。</w:t>
      </w:r>
    </w:p>
    <w:p w14:paraId="7E2A51C5">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压力式水位计导气电缆线是否划伤、破损，导气管是否堵塞，探头是否有附着物需要清理。</w:t>
      </w:r>
    </w:p>
    <w:p w14:paraId="6F6CCA11">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日常养护更换、拆卸标志部件时，必须正确记录部件的编号和与之配套的通讯卡号码及技术参数，更换完成后应及时更新标志参数设置。</w:t>
      </w:r>
    </w:p>
    <w:p w14:paraId="29327FE7">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每次日常巡查需要进行拍照取证，对存在的问题及时现场整改，不能现场整改的进行说明备注，同时提供整改前后的对比相片。对需要更换配件的按要求在规定时间内完成修复。</w:t>
      </w:r>
    </w:p>
    <w:p w14:paraId="778A61F5">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eastAsia="zh-CN"/>
        </w:rPr>
        <w:t>故障出检修复、零部件更换：</w:t>
      </w:r>
      <w:r>
        <w:rPr>
          <w:rFonts w:hint="eastAsia" w:ascii="宋体" w:hAnsi="宋体" w:eastAsia="宋体"/>
          <w:color w:val="auto"/>
          <w:szCs w:val="21"/>
          <w:highlight w:val="none"/>
          <w:lang w:val="en-GB"/>
        </w:rPr>
        <w:t>在水位监测终端无法正常报送数据</w:t>
      </w:r>
      <w:r>
        <w:rPr>
          <w:rFonts w:hint="eastAsia" w:ascii="宋体" w:hAnsi="宋体" w:eastAsia="宋体"/>
          <w:color w:val="auto"/>
          <w:szCs w:val="21"/>
          <w:highlight w:val="none"/>
          <w:lang w:val="en-GB" w:eastAsia="zh-CN"/>
        </w:rPr>
        <w:t>或省平台监测状态异常时</w:t>
      </w:r>
      <w:r>
        <w:rPr>
          <w:rFonts w:hint="eastAsia" w:ascii="宋体" w:hAnsi="宋体" w:eastAsia="宋体"/>
          <w:color w:val="auto"/>
          <w:szCs w:val="21"/>
          <w:highlight w:val="none"/>
          <w:lang w:val="en-GB"/>
        </w:rPr>
        <w:t>，</w:t>
      </w:r>
      <w:r>
        <w:rPr>
          <w:rFonts w:hint="eastAsia" w:ascii="宋体" w:hAnsi="宋体" w:eastAsia="宋体"/>
          <w:color w:val="auto"/>
          <w:szCs w:val="21"/>
          <w:highlight w:val="none"/>
          <w:lang w:val="en-GB" w:eastAsia="zh-CN"/>
        </w:rPr>
        <w:t>组织确认故障问题点，</w:t>
      </w:r>
      <w:r>
        <w:rPr>
          <w:rFonts w:hint="eastAsia" w:ascii="宋体" w:hAnsi="宋体" w:eastAsia="宋体"/>
          <w:color w:val="auto"/>
          <w:szCs w:val="21"/>
          <w:highlight w:val="none"/>
          <w:lang w:val="en-GB"/>
        </w:rPr>
        <w:t>及时出航检查、更换备件修复终端（含与省平台的数据对接调试恢复至正常状态）。</w:t>
      </w:r>
    </w:p>
    <w:p w14:paraId="779665C5">
      <w:pPr>
        <w:pStyle w:val="26"/>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终端设备图示</w:t>
      </w:r>
    </w:p>
    <w:p w14:paraId="4439A4E0">
      <w:pPr>
        <w:pStyle w:val="26"/>
        <w:numPr>
          <w:ilvl w:val="0"/>
          <w:numId w:val="0"/>
        </w:numPr>
        <w:tabs>
          <w:tab w:val="left" w:pos="3844"/>
          <w:tab w:val="center" w:pos="4595"/>
        </w:tabs>
        <w:snapToGrid w:val="0"/>
        <w:spacing w:line="360" w:lineRule="auto"/>
        <w:ind w:leftChars="0"/>
        <w:contextualSpacing/>
        <w:jc w:val="left"/>
        <w:rPr>
          <w:rFonts w:hint="eastAsia" w:ascii="宋体" w:hAnsi="宋体" w:eastAsia="宋体"/>
          <w:color w:val="auto"/>
          <w:szCs w:val="21"/>
          <w:highlight w:val="none"/>
          <w:lang w:val="en-GB"/>
        </w:rPr>
      </w:pPr>
      <w:r>
        <w:rPr>
          <w:rFonts w:hint="eastAsia"/>
          <w:color w:val="auto"/>
          <w:highlight w:val="none"/>
          <w:lang w:eastAsia="zh-CN"/>
        </w:rPr>
        <w:tab/>
      </w:r>
      <w:r>
        <w:rPr>
          <w:rFonts w:hint="eastAsia"/>
          <w:color w:val="auto"/>
          <w:highlight w:val="none"/>
          <w:lang w:eastAsia="zh-CN"/>
        </w:rPr>
        <w:tab/>
      </w:r>
      <w:r>
        <w:rPr>
          <w:rFonts w:hint="eastAsia"/>
          <w:color w:val="auto"/>
          <w:highlight w:val="none"/>
        </w:rPr>
        <w:drawing>
          <wp:inline distT="0" distB="0" distL="114300" distR="114300">
            <wp:extent cx="1826260" cy="2607945"/>
            <wp:effectExtent l="0" t="0" r="2540" b="190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7"/>
                    <a:stretch>
                      <a:fillRect/>
                    </a:stretch>
                  </pic:blipFill>
                  <pic:spPr>
                    <a:xfrm>
                      <a:off x="0" y="0"/>
                      <a:ext cx="1826260" cy="2607945"/>
                    </a:xfrm>
                    <a:prstGeom prst="rect">
                      <a:avLst/>
                    </a:prstGeom>
                    <a:noFill/>
                    <a:ln>
                      <a:noFill/>
                    </a:ln>
                  </pic:spPr>
                </pic:pic>
              </a:graphicData>
            </a:graphic>
          </wp:inline>
        </w:drawing>
      </w:r>
    </w:p>
    <w:p w14:paraId="3AF477D3">
      <w:pPr>
        <w:pStyle w:val="26"/>
        <w:numPr>
          <w:ilvl w:val="0"/>
          <w:numId w:val="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船舶流量监测终端服务内容及要求</w:t>
      </w:r>
    </w:p>
    <w:p w14:paraId="122B3FCA">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本项目纳入日常维护的船舶流量监测终端设备合计11套。</w:t>
      </w:r>
    </w:p>
    <w:p w14:paraId="4C1C8081">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059E577E">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后进行一次检查养护，每个终端一年平均保养不少于15次。每年对终端及配套设施进行除锈和刷漆至少1次。为船舶流量观测终端提供用电服务。做好设备档案资料日常填报工作。</w:t>
      </w:r>
    </w:p>
    <w:p w14:paraId="6EFB1350">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检查养护内容</w:t>
      </w:r>
    </w:p>
    <w:p w14:paraId="01B49C95">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外观检查。主要检查设备安装是否固定，机箱和交接箱是否出现渗水或漏水；摄像机和激光扫描仪是否被遮挡；配套设施、摄像支架、机箱和防盗窗锁是否生锈需要除锈油漆。</w:t>
      </w:r>
    </w:p>
    <w:p w14:paraId="3A96F5E0">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零配件检查。主要检查设备是否完整，防雷设备是否完好，防雷天线连接及腐蚀情况；摄像机、工控机、激光扫描机、路由器和交换机等前端设备是否正常运行，线路供电、光纤线路是否正常。</w:t>
      </w:r>
    </w:p>
    <w:p w14:paraId="7064CC2C">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w:t>
      </w:r>
    </w:p>
    <w:p w14:paraId="732313B4">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故障出检修复，零部件更换：在船舶流量观测终端无法正常报送数据时，及时出航检查、更换备件恢复终端（含与省平台的数据对接调试恢复至正常状态）。</w:t>
      </w:r>
    </w:p>
    <w:p w14:paraId="28462CC0">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终端设备截图</w:t>
      </w:r>
    </w:p>
    <w:p w14:paraId="5518B208">
      <w:pPr>
        <w:keepNext w:val="0"/>
        <w:keepLines w:val="0"/>
        <w:pageBreakBefore w:val="0"/>
        <w:widowControl/>
        <w:numPr>
          <w:ilvl w:val="0"/>
          <w:numId w:val="0"/>
        </w:numPr>
        <w:tabs>
          <w:tab w:val="left" w:pos="3910"/>
          <w:tab w:val="center" w:pos="4595"/>
        </w:tabs>
        <w:kinsoku/>
        <w:wordWrap/>
        <w:overflowPunct/>
        <w:topLinePunct w:val="0"/>
        <w:autoSpaceDE/>
        <w:autoSpaceDN/>
        <w:bidi w:val="0"/>
        <w:adjustRightInd/>
        <w:snapToGrid w:val="0"/>
        <w:spacing w:line="360" w:lineRule="auto"/>
        <w:ind w:leftChars="0"/>
        <w:jc w:val="center"/>
        <w:textAlignment w:val="auto"/>
        <w:rPr>
          <w:rFonts w:hint="eastAsia" w:ascii="宋体" w:hAnsi="宋体" w:eastAsia="宋体" w:cs="宋体"/>
          <w:color w:val="auto"/>
          <w:sz w:val="21"/>
          <w:szCs w:val="21"/>
          <w:highlight w:val="none"/>
          <w:lang w:val="en-GB" w:eastAsia="zh-Hans"/>
        </w:rPr>
      </w:pPr>
      <w:r>
        <w:rPr>
          <w:rFonts w:hint="eastAsia"/>
          <w:color w:val="auto"/>
          <w:sz w:val="24"/>
          <w:szCs w:val="24"/>
          <w:highlight w:val="none"/>
        </w:rPr>
        <w:drawing>
          <wp:inline distT="0" distB="0" distL="0" distR="0">
            <wp:extent cx="5278755" cy="2286000"/>
            <wp:effectExtent l="0" t="0" r="17145" b="0"/>
            <wp:docPr id="1" name="图片 79"/>
            <wp:cNvGraphicFramePr/>
            <a:graphic xmlns:a="http://schemas.openxmlformats.org/drawingml/2006/main">
              <a:graphicData uri="http://schemas.openxmlformats.org/drawingml/2006/picture">
                <pic:pic xmlns:pic="http://schemas.openxmlformats.org/drawingml/2006/picture">
                  <pic:nvPicPr>
                    <pic:cNvPr id="1" name="图片 79"/>
                    <pic:cNvPicPr/>
                  </pic:nvPicPr>
                  <pic:blipFill>
                    <a:blip r:embed="rId8"/>
                    <a:srcRect/>
                    <a:stretch>
                      <a:fillRect/>
                    </a:stretch>
                  </pic:blipFill>
                  <pic:spPr>
                    <a:xfrm>
                      <a:off x="0" y="0"/>
                      <a:ext cx="5278755" cy="2286000"/>
                    </a:xfrm>
                    <a:prstGeom prst="rect">
                      <a:avLst/>
                    </a:prstGeom>
                    <a:noFill/>
                    <a:ln>
                      <a:noFill/>
                    </a:ln>
                  </pic:spPr>
                </pic:pic>
              </a:graphicData>
            </a:graphic>
          </wp:inline>
        </w:drawing>
      </w:r>
    </w:p>
    <w:p w14:paraId="2E6AEA6F">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桥梁净高监测终端服务内容及要求</w:t>
      </w:r>
    </w:p>
    <w:p w14:paraId="40445B99">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本项目纳入日常维护的桥梁净高监测终端设备合计34套。</w:t>
      </w:r>
    </w:p>
    <w:p w14:paraId="5C4F5D1D">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406EACBD">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后进行一次检查养护，每个终端一年平均保养不少于15次。每年对终端及配套设施进行除锈和刷漆至少1次。每年对净高监测数据进行至少1次测量校核比对。做好设备档案资料日常填报工作。</w:t>
      </w:r>
    </w:p>
    <w:p w14:paraId="0083F4D1">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检查养护内容</w:t>
      </w:r>
    </w:p>
    <w:p w14:paraId="7BD8AB17">
      <w:pPr>
        <w:keepNext w:val="0"/>
        <w:keepLines w:val="0"/>
        <w:pageBreakBefore w:val="0"/>
        <w:widowControl/>
        <w:numPr>
          <w:ilvl w:val="0"/>
          <w:numId w:val="2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外观检查。主要检查显示屏、太阳能电池、电池箱及显示、水位计探头等是否有杂物、漂浮物堆积；设备是否固定安装在机箱和交接箱内，LED 显示器是否牢固，固定卡扣是否卡紧，支架、机箱和防盗窗锁是否生锈。</w:t>
      </w:r>
    </w:p>
    <w:p w14:paraId="53521A24">
      <w:pPr>
        <w:keepNext w:val="0"/>
        <w:keepLines w:val="0"/>
        <w:pageBreakBefore w:val="0"/>
        <w:widowControl/>
        <w:numPr>
          <w:ilvl w:val="0"/>
          <w:numId w:val="2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零部件检查。主要检查系统设备是否完整，防雷设备是否完好，防雷天线连接及腐蚀情况；各单元连接线及防水接头是否腐蚀、污染、受损或松动；遥测遥控通讯部件是否完好，蓄电池电源、太阳能电池电压或市电连接等是否正常。</w:t>
      </w:r>
    </w:p>
    <w:p w14:paraId="21F1E089">
      <w:pPr>
        <w:keepNext w:val="0"/>
        <w:keepLines w:val="0"/>
        <w:pageBreakBefore w:val="0"/>
        <w:widowControl/>
        <w:numPr>
          <w:ilvl w:val="0"/>
          <w:numId w:val="2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有效性检查。主要检查显示屏、电源是否正常；净高显示模块显示是否正常；通讯模块和远程RTU模块是否运行正常等工作。</w:t>
      </w:r>
    </w:p>
    <w:p w14:paraId="22C85D37">
      <w:pPr>
        <w:keepNext w:val="0"/>
        <w:keepLines w:val="0"/>
        <w:pageBreakBefore w:val="0"/>
        <w:widowControl/>
        <w:numPr>
          <w:ilvl w:val="0"/>
          <w:numId w:val="2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w:t>
      </w:r>
    </w:p>
    <w:p w14:paraId="4B126256">
      <w:pPr>
        <w:keepNext w:val="0"/>
        <w:keepLines w:val="0"/>
        <w:pageBreakBefore w:val="0"/>
        <w:widowControl/>
        <w:numPr>
          <w:ilvl w:val="0"/>
          <w:numId w:val="2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故障出检修复，零部件更换：在桥梁净高显示终端无法正常报送数据时，及时出航检查修复、更换备件恢复终端（含与省平台的数据对接调试恢复至正常状态）。</w:t>
      </w:r>
    </w:p>
    <w:p w14:paraId="3799EF19">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流向流速监测终端服务内容及要求</w:t>
      </w:r>
    </w:p>
    <w:p w14:paraId="7355C953">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本项目纳入日常维护的流向流速监测终端设备合计1套。</w:t>
      </w:r>
    </w:p>
    <w:p w14:paraId="5CD4A0F9">
      <w:pPr>
        <w:keepNext w:val="0"/>
        <w:keepLines w:val="0"/>
        <w:pageBreakBefore w:val="0"/>
        <w:widowControl/>
        <w:numPr>
          <w:ilvl w:val="0"/>
          <w:numId w:val="2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483BC697">
      <w:pPr>
        <w:keepNext w:val="0"/>
        <w:keepLines w:val="0"/>
        <w:pageBreakBefore w:val="0"/>
        <w:widowControl/>
        <w:numPr>
          <w:ilvl w:val="0"/>
          <w:numId w:val="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后进行一次检查养护，终端一年平均保养不少于15次。每年对终端及配套设施进行除锈和刷漆至少1次。做好设备档案资料日常填报工作。</w:t>
      </w:r>
    </w:p>
    <w:p w14:paraId="297193BA">
      <w:pPr>
        <w:keepNext w:val="0"/>
        <w:keepLines w:val="0"/>
        <w:pageBreakBefore w:val="0"/>
        <w:widowControl/>
        <w:numPr>
          <w:ilvl w:val="0"/>
          <w:numId w:val="2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检查养护内容</w:t>
      </w:r>
    </w:p>
    <w:p w14:paraId="3687DBDC">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对多普勒流向流速仪定期检查、校测、率定、鉴定，如有问题维修或者更换；</w:t>
      </w:r>
    </w:p>
    <w:p w14:paraId="6837E335">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多普勒流向流速仪感知采集端、太阳能板各部件清洁；太阳能面板应完好正常，电压、通信保持正常，发现问题及时更换和处理；</w:t>
      </w:r>
    </w:p>
    <w:p w14:paraId="25430B88">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无线传输模块数据应定期读取、备份、摘录、分析；</w:t>
      </w:r>
    </w:p>
    <w:p w14:paraId="1DA5912B">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保障物联终端设备的通讯与数据传输等各模块正常工作；如故障及时恢复（含与省平台的数据对接调试恢复至正常状态）。</w:t>
      </w:r>
    </w:p>
    <w:p w14:paraId="21EF7E0F">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查看基础设施（基础、立杆、中控设备箱等)，控制设备等有无遭到损坏和人为破坏（被撬、砸、拆、偷）以及是否整洁。</w:t>
      </w:r>
    </w:p>
    <w:p w14:paraId="16A2E7AA">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做好设备档案资料日常填报工作。</w:t>
      </w:r>
    </w:p>
    <w:p w14:paraId="38EC6579">
      <w:pPr>
        <w:keepNext w:val="0"/>
        <w:keepLines w:val="0"/>
        <w:pageBreakBefore w:val="0"/>
        <w:widowControl/>
        <w:numPr>
          <w:ilvl w:val="0"/>
          <w:numId w:val="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终端设备图示</w:t>
      </w:r>
    </w:p>
    <w:p w14:paraId="4A63E06B">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jc w:val="center"/>
        <w:textAlignment w:val="auto"/>
        <w:rPr>
          <w:rFonts w:ascii="宋体" w:hAnsi="宋体" w:eastAsia="宋体" w:cs="宋体"/>
          <w:color w:val="auto"/>
          <w:sz w:val="21"/>
          <w:szCs w:val="21"/>
          <w:highlight w:val="none"/>
          <w:lang w:eastAsia="zh-CN"/>
        </w:rPr>
      </w:pPr>
      <w:r>
        <w:rPr>
          <w:rFonts w:ascii="宋体" w:hAnsi="宋体" w:eastAsia="宋体" w:cs="宋体"/>
          <w:color w:val="auto"/>
          <w:sz w:val="21"/>
          <w:szCs w:val="21"/>
          <w:highlight w:val="none"/>
          <w:lang w:eastAsia="zh-CN"/>
        </w:rPr>
        <w:drawing>
          <wp:inline distT="0" distB="0" distL="114300" distR="114300">
            <wp:extent cx="3515360" cy="1892300"/>
            <wp:effectExtent l="0" t="0" r="8890" b="1270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3515360" cy="1892300"/>
                    </a:xfrm>
                    <a:prstGeom prst="rect">
                      <a:avLst/>
                    </a:prstGeom>
                    <a:noFill/>
                    <a:ln w="9525">
                      <a:noFill/>
                    </a:ln>
                  </pic:spPr>
                </pic:pic>
              </a:graphicData>
            </a:graphic>
          </wp:inline>
        </w:drawing>
      </w:r>
    </w:p>
    <w:p w14:paraId="5EEB4D05">
      <w:pPr>
        <w:keepNext w:val="0"/>
        <w:keepLines w:val="0"/>
        <w:pageBreakBefore w:val="0"/>
        <w:widowControl/>
        <w:numPr>
          <w:ilvl w:val="0"/>
          <w:numId w:val="2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故障出检修复，零部件更换：终端无法正常报送数据时，及时出航检查修复、更换备件恢复终端（含与省平台的数据对接调试恢复至正常状态）。</w:t>
      </w:r>
    </w:p>
    <w:p w14:paraId="7A68D4DA">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航道外场视频监控终端服务内容及要求</w:t>
      </w:r>
    </w:p>
    <w:p w14:paraId="13DD0569">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本项目纳入日常维护的</w:t>
      </w:r>
      <w:r>
        <w:rPr>
          <w:rFonts w:hint="eastAsia" w:ascii="宋体" w:hAnsi="宋体" w:eastAsia="宋体" w:cs="宋体"/>
          <w:color w:val="auto"/>
          <w:sz w:val="21"/>
          <w:szCs w:val="21"/>
          <w:highlight w:val="none"/>
          <w:lang w:val="en-US" w:eastAsia="zh-CN"/>
        </w:rPr>
        <w:t>航道外场视频监控终端</w:t>
      </w:r>
      <w:r>
        <w:rPr>
          <w:rFonts w:hint="eastAsia" w:ascii="宋体" w:hAnsi="宋体" w:eastAsia="宋体" w:cs="宋体"/>
          <w:color w:val="auto"/>
          <w:sz w:val="21"/>
          <w:szCs w:val="21"/>
          <w:highlight w:val="none"/>
          <w:lang w:eastAsia="zh-CN"/>
        </w:rPr>
        <w:t>设备合计</w:t>
      </w:r>
      <w:r>
        <w:rPr>
          <w:rFonts w:hint="eastAsia" w:ascii="宋体" w:hAnsi="宋体" w:eastAsia="宋体" w:cs="宋体"/>
          <w:color w:val="auto"/>
          <w:sz w:val="21"/>
          <w:szCs w:val="21"/>
          <w:highlight w:val="none"/>
          <w:lang w:val="en-US" w:eastAsia="zh-CN"/>
        </w:rPr>
        <w:t>3套。</w:t>
      </w:r>
    </w:p>
    <w:p w14:paraId="2D76E319">
      <w:pPr>
        <w:keepNext w:val="0"/>
        <w:keepLines w:val="0"/>
        <w:pageBreakBefore w:val="0"/>
        <w:widowControl/>
        <w:numPr>
          <w:ilvl w:val="0"/>
          <w:numId w:val="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7505AC8B">
      <w:pPr>
        <w:keepNext w:val="0"/>
        <w:keepLines w:val="0"/>
        <w:pageBreakBefore w:val="0"/>
        <w:widowControl/>
        <w:numPr>
          <w:ilvl w:val="0"/>
          <w:numId w:val="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后进行一次检查养护，每个终端一年平均保养不少于 15 次。每年对终端及配套设施进行除锈和刷漆至少1次。做好设备档案资料日常填报工作。</w:t>
      </w:r>
    </w:p>
    <w:p w14:paraId="319CDC08">
      <w:pPr>
        <w:keepNext w:val="0"/>
        <w:keepLines w:val="0"/>
        <w:pageBreakBefore w:val="0"/>
        <w:widowControl/>
        <w:numPr>
          <w:ilvl w:val="0"/>
          <w:numId w:val="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日常巡查和养护内容</w:t>
      </w:r>
    </w:p>
    <w:p w14:paraId="297156EC">
      <w:pPr>
        <w:keepNext w:val="0"/>
        <w:keepLines w:val="0"/>
        <w:pageBreakBefore w:val="0"/>
        <w:widowControl/>
        <w:numPr>
          <w:ilvl w:val="0"/>
          <w:numId w:val="2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外观检查。主要检查设备及配套设施是否固定，通信设备是否安装在机箱和交接箱内；机箱和交接箱是否出现渗水或漏水；摄像机和激光扫描仪是否被遮挡；摄像支架、机箱和防盗窗锁是否生锈。</w:t>
      </w:r>
    </w:p>
    <w:p w14:paraId="668F1337">
      <w:pPr>
        <w:keepNext w:val="0"/>
        <w:keepLines w:val="0"/>
        <w:pageBreakBefore w:val="0"/>
        <w:widowControl/>
        <w:numPr>
          <w:ilvl w:val="0"/>
          <w:numId w:val="2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零配件检查。主要检查设备是否完整，防雷设备是否完好，防雷天线连接及腐蚀情况；摄像机、路由器和交换机等前端设备是否正常运行，线路供电、通讯模块是否正常以及存储设备是否正常。</w:t>
      </w:r>
    </w:p>
    <w:p w14:paraId="669D88AB">
      <w:pPr>
        <w:keepNext w:val="0"/>
        <w:keepLines w:val="0"/>
        <w:pageBreakBefore w:val="0"/>
        <w:widowControl/>
        <w:numPr>
          <w:ilvl w:val="0"/>
          <w:numId w:val="2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w:t>
      </w:r>
    </w:p>
    <w:p w14:paraId="484C699A">
      <w:pPr>
        <w:keepNext w:val="0"/>
        <w:keepLines w:val="0"/>
        <w:pageBreakBefore w:val="0"/>
        <w:widowControl/>
        <w:numPr>
          <w:ilvl w:val="0"/>
          <w:numId w:val="2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终端设备图示</w:t>
      </w:r>
    </w:p>
    <w:p w14:paraId="6AABAE59">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jc w:val="center"/>
        <w:textAlignment w:val="auto"/>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drawing>
          <wp:inline distT="0" distB="0" distL="114300" distR="114300">
            <wp:extent cx="2241550" cy="3370580"/>
            <wp:effectExtent l="0" t="0" r="6350" b="12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0"/>
                    <a:stretch>
                      <a:fillRect/>
                    </a:stretch>
                  </pic:blipFill>
                  <pic:spPr>
                    <a:xfrm>
                      <a:off x="0" y="0"/>
                      <a:ext cx="2241550" cy="3370580"/>
                    </a:xfrm>
                    <a:prstGeom prst="rect">
                      <a:avLst/>
                    </a:prstGeom>
                    <a:noFill/>
                    <a:ln>
                      <a:noFill/>
                    </a:ln>
                  </pic:spPr>
                </pic:pic>
              </a:graphicData>
            </a:graphic>
          </wp:inline>
        </w:drawing>
      </w:r>
    </w:p>
    <w:p w14:paraId="71093CBB">
      <w:pPr>
        <w:keepNext w:val="0"/>
        <w:keepLines w:val="0"/>
        <w:pageBreakBefore w:val="0"/>
        <w:widowControl/>
        <w:numPr>
          <w:ilvl w:val="0"/>
          <w:numId w:val="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故障出检修复，零部件更换：在视频监控终端无法正常报送数据时，及时出航检查、更换备件恢复终端（含与省平台的数据对接调试恢复至正常状态）。</w:t>
      </w:r>
    </w:p>
    <w:p w14:paraId="446DA140">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外场业务感知终端维护总体服务要求</w:t>
      </w:r>
    </w:p>
    <w:p w14:paraId="1CEC8234">
      <w:pPr>
        <w:pStyle w:val="26"/>
        <w:numPr>
          <w:ilvl w:val="0"/>
          <w:numId w:val="26"/>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外场业务感知终端数据是否能正常回传到省平台系统，并在平台系统上正常使用和查看，是作为设备维护正常的依据。</w:t>
      </w:r>
    </w:p>
    <w:p w14:paraId="077B77F4">
      <w:pPr>
        <w:pStyle w:val="26"/>
        <w:numPr>
          <w:ilvl w:val="0"/>
          <w:numId w:val="26"/>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每天定时在省平台系统上观测终端设备运行情况不少于2次并做好工作记录(详见附件:外场业务感知终端工作记录表)，对业务感知终端出现数据异常报警的，及时排查原因，进行相应的处置恢复正常。</w:t>
      </w:r>
    </w:p>
    <w:p w14:paraId="744A2CC0">
      <w:pPr>
        <w:pStyle w:val="26"/>
        <w:numPr>
          <w:ilvl w:val="0"/>
          <w:numId w:val="26"/>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按上级工作要求，中标人在开展外场业务感知终端维护工作时需储备相应的备品备件数量，以便及时安装和恢复（含与省平台的数据对接调试恢复至正常状态）故障终端。</w:t>
      </w:r>
    </w:p>
    <w:p w14:paraId="32693731">
      <w:pPr>
        <w:pStyle w:val="26"/>
        <w:numPr>
          <w:ilvl w:val="0"/>
          <w:numId w:val="26"/>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本项目外场工作感知终端运维服务具体数量如下：</w:t>
      </w:r>
    </w:p>
    <w:tbl>
      <w:tblPr>
        <w:tblStyle w:val="13"/>
        <w:tblW w:w="4998" w:type="pct"/>
        <w:jc w:val="center"/>
        <w:tblLayout w:type="autofit"/>
        <w:tblCellMar>
          <w:top w:w="0" w:type="dxa"/>
          <w:left w:w="108" w:type="dxa"/>
          <w:bottom w:w="0" w:type="dxa"/>
          <w:right w:w="108" w:type="dxa"/>
        </w:tblCellMar>
      </w:tblPr>
      <w:tblGrid>
        <w:gridCol w:w="1196"/>
        <w:gridCol w:w="3863"/>
        <w:gridCol w:w="1796"/>
        <w:gridCol w:w="2427"/>
      </w:tblGrid>
      <w:tr w14:paraId="71D392B2">
        <w:tblPrEx>
          <w:tblCellMar>
            <w:top w:w="0" w:type="dxa"/>
            <w:left w:w="108" w:type="dxa"/>
            <w:bottom w:w="0" w:type="dxa"/>
            <w:right w:w="108" w:type="dxa"/>
          </w:tblCellMar>
        </w:tblPrEx>
        <w:trPr>
          <w:trHeight w:val="609" w:hRule="atLeast"/>
          <w:jc w:val="center"/>
        </w:trPr>
        <w:tc>
          <w:tcPr>
            <w:tcW w:w="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35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序号</w:t>
            </w:r>
          </w:p>
        </w:tc>
        <w:tc>
          <w:tcPr>
            <w:tcW w:w="20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1A8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设备名称</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110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总数量</w:t>
            </w:r>
          </w:p>
        </w:tc>
        <w:tc>
          <w:tcPr>
            <w:tcW w:w="1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A23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备注</w:t>
            </w:r>
          </w:p>
        </w:tc>
      </w:tr>
      <w:tr w14:paraId="211CAF8F">
        <w:tblPrEx>
          <w:tblCellMar>
            <w:top w:w="0" w:type="dxa"/>
            <w:left w:w="108" w:type="dxa"/>
            <w:bottom w:w="0" w:type="dxa"/>
            <w:right w:w="108" w:type="dxa"/>
          </w:tblCellMar>
        </w:tblPrEx>
        <w:trPr>
          <w:trHeight w:val="609" w:hRule="atLeast"/>
          <w:jc w:val="center"/>
        </w:trPr>
        <w:tc>
          <w:tcPr>
            <w:tcW w:w="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BB3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20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8B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水位监测终端</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0BA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22</w:t>
            </w:r>
          </w:p>
        </w:tc>
        <w:tc>
          <w:tcPr>
            <w:tcW w:w="1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8F1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p>
        </w:tc>
      </w:tr>
      <w:tr w14:paraId="13E36081">
        <w:tblPrEx>
          <w:tblCellMar>
            <w:top w:w="0" w:type="dxa"/>
            <w:left w:w="108" w:type="dxa"/>
            <w:bottom w:w="0" w:type="dxa"/>
            <w:right w:w="108" w:type="dxa"/>
          </w:tblCellMar>
        </w:tblPrEx>
        <w:trPr>
          <w:trHeight w:val="609"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285BE3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CN"/>
              </w:rPr>
            </w:pPr>
            <w:r>
              <w:rPr>
                <w:rFonts w:hint="eastAsia" w:ascii="宋体" w:hAnsi="宋体" w:eastAsia="宋体" w:cs="宋体"/>
                <w:color w:val="auto"/>
                <w:sz w:val="21"/>
                <w:szCs w:val="21"/>
                <w:highlight w:val="none"/>
                <w:lang w:val="en-US" w:eastAsia="zh-CN"/>
              </w:rPr>
              <w:t>2</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04A649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船舶流量</w:t>
            </w:r>
            <w:r>
              <w:rPr>
                <w:rFonts w:hint="eastAsia" w:ascii="宋体" w:hAnsi="宋体" w:eastAsia="宋体" w:cs="宋体"/>
                <w:color w:val="auto"/>
                <w:sz w:val="21"/>
                <w:szCs w:val="21"/>
                <w:highlight w:val="none"/>
                <w:lang w:val="en-GB" w:eastAsia="zh-CN"/>
              </w:rPr>
              <w:t>监测</w:t>
            </w:r>
            <w:r>
              <w:rPr>
                <w:rFonts w:hint="eastAsia" w:ascii="宋体" w:hAnsi="宋体" w:eastAsia="宋体" w:cs="宋体"/>
                <w:color w:val="auto"/>
                <w:sz w:val="21"/>
                <w:szCs w:val="21"/>
                <w:highlight w:val="none"/>
                <w:lang w:val="en-GB" w:eastAsia="zh-Hans"/>
              </w:rPr>
              <w:t>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1AFA7B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11</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7D768D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5D21BD94">
        <w:tblPrEx>
          <w:tblCellMar>
            <w:top w:w="0" w:type="dxa"/>
            <w:left w:w="108" w:type="dxa"/>
            <w:bottom w:w="0" w:type="dxa"/>
            <w:right w:w="108" w:type="dxa"/>
          </w:tblCellMar>
        </w:tblPrEx>
        <w:trPr>
          <w:trHeight w:val="558"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58E49D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CN"/>
              </w:rPr>
            </w:pPr>
            <w:r>
              <w:rPr>
                <w:rFonts w:hint="eastAsia" w:ascii="宋体" w:hAnsi="宋体" w:eastAsia="宋体" w:cs="宋体"/>
                <w:color w:val="auto"/>
                <w:sz w:val="21"/>
                <w:szCs w:val="21"/>
                <w:highlight w:val="none"/>
                <w:lang w:val="en-US" w:eastAsia="zh-CN"/>
              </w:rPr>
              <w:t>3</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60E39A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桥梁净高</w:t>
            </w:r>
            <w:r>
              <w:rPr>
                <w:rFonts w:hint="eastAsia" w:ascii="宋体" w:hAnsi="宋体" w:eastAsia="宋体" w:cs="宋体"/>
                <w:color w:val="auto"/>
                <w:sz w:val="21"/>
                <w:szCs w:val="21"/>
                <w:highlight w:val="none"/>
                <w:lang w:val="en-GB" w:eastAsia="zh-CN"/>
              </w:rPr>
              <w:t>监测</w:t>
            </w:r>
            <w:r>
              <w:rPr>
                <w:rFonts w:hint="eastAsia" w:ascii="宋体" w:hAnsi="宋体" w:eastAsia="宋体" w:cs="宋体"/>
                <w:color w:val="auto"/>
                <w:sz w:val="21"/>
                <w:szCs w:val="21"/>
                <w:highlight w:val="none"/>
                <w:lang w:val="en-GB" w:eastAsia="zh-Hans"/>
              </w:rPr>
              <w:t>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24FB90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34</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267F22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67E6C05E">
        <w:tblPrEx>
          <w:tblCellMar>
            <w:top w:w="0" w:type="dxa"/>
            <w:left w:w="108" w:type="dxa"/>
            <w:bottom w:w="0" w:type="dxa"/>
            <w:right w:w="108" w:type="dxa"/>
          </w:tblCellMar>
        </w:tblPrEx>
        <w:trPr>
          <w:trHeight w:val="570"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2E61E6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CN"/>
              </w:rPr>
            </w:pPr>
            <w:r>
              <w:rPr>
                <w:rFonts w:hint="eastAsia" w:ascii="宋体" w:hAnsi="宋体" w:eastAsia="宋体" w:cs="宋体"/>
                <w:color w:val="auto"/>
                <w:sz w:val="21"/>
                <w:szCs w:val="21"/>
                <w:highlight w:val="none"/>
                <w:lang w:val="en-US" w:eastAsia="zh-CN"/>
              </w:rPr>
              <w:t>4</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7F6BE3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流向流速监测终端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3ED161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1</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66179A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086BD1F9">
        <w:tblPrEx>
          <w:tblCellMar>
            <w:top w:w="0" w:type="dxa"/>
            <w:left w:w="108" w:type="dxa"/>
            <w:bottom w:w="0" w:type="dxa"/>
            <w:right w:w="108" w:type="dxa"/>
          </w:tblCellMar>
        </w:tblPrEx>
        <w:trPr>
          <w:trHeight w:val="564"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17BCF0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US" w:eastAsia="zh-CN"/>
              </w:rPr>
              <w:t>5</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49D8F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CN"/>
              </w:rPr>
              <w:t>航道外场</w:t>
            </w:r>
            <w:r>
              <w:rPr>
                <w:rFonts w:hint="eastAsia" w:ascii="宋体" w:hAnsi="宋体" w:eastAsia="宋体" w:cs="宋体"/>
                <w:color w:val="auto"/>
                <w:sz w:val="21"/>
                <w:szCs w:val="21"/>
                <w:highlight w:val="none"/>
                <w:lang w:val="en-GB" w:eastAsia="zh-Hans"/>
              </w:rPr>
              <w:t>视频监控终端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634575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3</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0DA7FF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2C927959">
        <w:tblPrEx>
          <w:tblCellMar>
            <w:top w:w="0" w:type="dxa"/>
            <w:left w:w="108" w:type="dxa"/>
            <w:bottom w:w="0" w:type="dxa"/>
            <w:right w:w="108" w:type="dxa"/>
          </w:tblCellMar>
        </w:tblPrEx>
        <w:trPr>
          <w:trHeight w:val="527" w:hRule="atLeast"/>
          <w:jc w:val="center"/>
        </w:trPr>
        <w:tc>
          <w:tcPr>
            <w:tcW w:w="2724" w:type="pct"/>
            <w:gridSpan w:val="2"/>
            <w:tcBorders>
              <w:top w:val="single" w:color="000000" w:sz="4" w:space="0"/>
              <w:left w:val="single" w:color="000000" w:sz="4" w:space="0"/>
              <w:bottom w:val="single" w:color="000000" w:sz="4" w:space="0"/>
              <w:right w:val="single" w:color="000000" w:sz="4" w:space="0"/>
            </w:tcBorders>
            <w:noWrap/>
            <w:vAlign w:val="center"/>
          </w:tcPr>
          <w:p w14:paraId="2B9C8B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合计</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4B13B9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71</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774241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bl>
    <w:p w14:paraId="10869214">
      <w:pPr>
        <w:pStyle w:val="26"/>
        <w:numPr>
          <w:ilvl w:val="0"/>
          <w:numId w:val="0"/>
        </w:numPr>
        <w:snapToGrid w:val="0"/>
        <w:spacing w:line="360" w:lineRule="auto"/>
        <w:ind w:leftChars="0"/>
        <w:contextualSpacing/>
        <w:rPr>
          <w:rFonts w:hint="eastAsia" w:ascii="宋体" w:hAnsi="宋体" w:eastAsia="宋体" w:cs="宋体"/>
          <w:b/>
          <w:bCs/>
          <w:color w:val="auto"/>
          <w:sz w:val="21"/>
          <w:szCs w:val="21"/>
          <w:highlight w:val="none"/>
          <w:u w:val="single"/>
          <w:lang w:val="en-GB" w:eastAsia="zh-Hans"/>
        </w:rPr>
      </w:pPr>
      <w:r>
        <w:rPr>
          <w:rFonts w:hint="eastAsia" w:ascii="宋体" w:hAnsi="宋体" w:eastAsia="宋体" w:cs="宋体"/>
          <w:b/>
          <w:bCs/>
          <w:color w:val="auto"/>
          <w:sz w:val="21"/>
          <w:szCs w:val="21"/>
          <w:highlight w:val="none"/>
          <w:u w:val="single"/>
          <w:lang w:val="en-GB" w:eastAsia="zh-Hans"/>
        </w:rPr>
        <w:t>★注：运维期间内流向流速监测终端核心模块（多普勒流向流速仪）、船舶流量监测终端核心模块（前置激光测量机、数据采集与分析系统（工控机））在运维期间出现故障由中标人进行维修，如该设备无法进行维修的，需设备厂家出具无法维修的相关证明材料，待采购人审核后由</w:t>
      </w:r>
      <w:r>
        <w:rPr>
          <w:rFonts w:hint="eastAsia" w:ascii="宋体" w:hAnsi="宋体" w:eastAsia="宋体" w:cs="宋体"/>
          <w:b/>
          <w:bCs/>
          <w:color w:val="auto"/>
          <w:sz w:val="21"/>
          <w:szCs w:val="21"/>
          <w:highlight w:val="none"/>
          <w:u w:val="single"/>
          <w:lang w:val="en-GB" w:eastAsia="zh-CN"/>
        </w:rPr>
        <w:t>采购人负责提供备品备件</w:t>
      </w:r>
      <w:r>
        <w:rPr>
          <w:rFonts w:hint="eastAsia" w:ascii="宋体" w:hAnsi="宋体" w:eastAsia="宋体" w:cs="宋体"/>
          <w:b/>
          <w:bCs/>
          <w:color w:val="auto"/>
          <w:sz w:val="21"/>
          <w:szCs w:val="21"/>
          <w:highlight w:val="none"/>
          <w:u w:val="single"/>
          <w:lang w:val="en-GB" w:eastAsia="zh-Hans"/>
        </w:rPr>
        <w:t>供中标人进行更换</w:t>
      </w:r>
      <w:r>
        <w:rPr>
          <w:rFonts w:hint="eastAsia" w:ascii="宋体" w:hAnsi="宋体" w:eastAsia="宋体" w:cs="宋体"/>
          <w:b/>
          <w:bCs/>
          <w:color w:val="auto"/>
          <w:sz w:val="21"/>
          <w:szCs w:val="21"/>
          <w:highlight w:val="none"/>
          <w:u w:val="single"/>
          <w:lang w:val="en-GB" w:eastAsia="zh-CN"/>
        </w:rPr>
        <w:t>。</w:t>
      </w:r>
      <w:r>
        <w:rPr>
          <w:rFonts w:hint="eastAsia" w:ascii="宋体" w:hAnsi="宋体" w:eastAsia="宋体" w:cs="宋体"/>
          <w:b/>
          <w:bCs/>
          <w:color w:val="auto"/>
          <w:sz w:val="21"/>
          <w:szCs w:val="21"/>
          <w:highlight w:val="none"/>
          <w:u w:val="single"/>
          <w:lang w:val="en-GB" w:eastAsia="zh-Hans"/>
        </w:rPr>
        <w:t>其他设备出现故障由中标人进行维修及提供备品备件进行更换，所产生的费用由中标人提供；另外本项目运维时产生的终端软件与省平台系统调试费用均由中标人支出，采购人不再另行支付任何费用。</w:t>
      </w:r>
    </w:p>
    <w:p w14:paraId="63816494">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US" w:eastAsia="zh-CN"/>
        </w:rPr>
        <w:t>人员</w:t>
      </w:r>
      <w:r>
        <w:rPr>
          <w:rFonts w:hint="eastAsia" w:ascii="宋体" w:hAnsi="宋体" w:eastAsia="宋体" w:cs="宋体"/>
          <w:color w:val="auto"/>
          <w:sz w:val="21"/>
          <w:szCs w:val="21"/>
          <w:highlight w:val="none"/>
          <w:lang w:val="en-GB" w:eastAsia="zh-Hans"/>
        </w:rPr>
        <w:t>技术支持服务</w:t>
      </w:r>
    </w:p>
    <w:p w14:paraId="58CA6EB0">
      <w:pPr>
        <w:pStyle w:val="26"/>
        <w:numPr>
          <w:ilvl w:val="0"/>
          <w:numId w:val="2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组建专业专职维护服务队伍，提供7×24小时故障诊断、技术咨询等全方位的技术支持服务，以保障业务感知终端的正常运行。技术支持服务包括但不限于热线电话支持服务和现场技术支持服务，需要时可提供水上作业、高空作业和电工作业等服务。</w:t>
      </w:r>
      <w:r>
        <w:rPr>
          <w:rFonts w:hint="eastAsia" w:ascii="宋体" w:hAnsi="宋体" w:eastAsia="宋体" w:cs="宋体"/>
          <w:color w:val="auto"/>
          <w:sz w:val="21"/>
          <w:szCs w:val="21"/>
          <w:highlight w:val="none"/>
          <w:lang w:val="en-US" w:eastAsia="zh-CN"/>
        </w:rPr>
        <w:t>工作人员须持证上岗</w:t>
      </w:r>
      <w:r>
        <w:rPr>
          <w:rFonts w:hint="eastAsia" w:ascii="宋体" w:hAnsi="宋体" w:eastAsia="宋体" w:cs="宋体"/>
          <w:color w:val="auto"/>
          <w:sz w:val="21"/>
          <w:szCs w:val="21"/>
          <w:highlight w:val="none"/>
          <w:lang w:val="en-GB" w:eastAsia="zh-Hans"/>
        </w:rPr>
        <w:t>。</w:t>
      </w:r>
    </w:p>
    <w:p w14:paraId="2155CB7D">
      <w:pPr>
        <w:pStyle w:val="26"/>
        <w:numPr>
          <w:ilvl w:val="0"/>
          <w:numId w:val="2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US" w:eastAsia="zh-CN"/>
        </w:rPr>
        <w:t>投入本项目的人员需具备管理大型、复杂信息系统项目和多项目的经验和能力，能根据需求组织制订可行的项目管理计划；能够组织项目实施，对项目的人员、资金、设备、进度和质量等进行管理，并能根据实际情况及时做出调整。</w:t>
      </w:r>
    </w:p>
    <w:p w14:paraId="79150598">
      <w:pPr>
        <w:pStyle w:val="26"/>
        <w:numPr>
          <w:ilvl w:val="0"/>
          <w:numId w:val="2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b/>
          <w:bCs/>
          <w:color w:val="auto"/>
          <w:sz w:val="21"/>
          <w:szCs w:val="21"/>
          <w:highlight w:val="none"/>
          <w:u w:val="single"/>
          <w:lang w:val="en-GB" w:eastAsia="zh-Hans"/>
        </w:rPr>
        <w:t>★拟投入本项目的服务技术人员需与中标后服务期内的服务技术人员</w:t>
      </w:r>
      <w:r>
        <w:rPr>
          <w:rFonts w:hint="eastAsia" w:ascii="宋体" w:hAnsi="宋体" w:eastAsia="宋体" w:cs="宋体"/>
          <w:b/>
          <w:bCs/>
          <w:color w:val="auto"/>
          <w:sz w:val="21"/>
          <w:szCs w:val="21"/>
          <w:highlight w:val="none"/>
          <w:u w:val="single"/>
          <w:lang w:val="en-GB" w:eastAsia="zh-CN"/>
        </w:rPr>
        <w:t>保持</w:t>
      </w:r>
      <w:r>
        <w:rPr>
          <w:rFonts w:hint="eastAsia" w:ascii="宋体" w:hAnsi="宋体" w:eastAsia="宋体" w:cs="宋体"/>
          <w:b/>
          <w:bCs/>
          <w:color w:val="auto"/>
          <w:sz w:val="21"/>
          <w:szCs w:val="21"/>
          <w:highlight w:val="none"/>
          <w:u w:val="single"/>
          <w:lang w:val="en-GB" w:eastAsia="zh-Hans"/>
        </w:rPr>
        <w:t>一致，如因人员离职、调岗等特殊原因导致需要更换的，中标人须提前10个工作日向采购人提交书面申请，说明理由并提供接替人员的资格证明，经采购人书面同意后方可执行。</w:t>
      </w:r>
    </w:p>
    <w:p w14:paraId="08B7AD1E">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培训方案</w:t>
      </w:r>
    </w:p>
    <w:p w14:paraId="3E272AD4">
      <w:pPr>
        <w:pStyle w:val="26"/>
        <w:numPr>
          <w:ilvl w:val="0"/>
          <w:numId w:val="28"/>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为投入本项目的服务人员提供专业详细的培训方案，明确服务人员的职责划分，确保投入本项目的团队能高效运作、各司其职、实现本项目采购需求要求。</w:t>
      </w:r>
    </w:p>
    <w:p w14:paraId="79D0C354">
      <w:pPr>
        <w:pStyle w:val="26"/>
        <w:numPr>
          <w:ilvl w:val="0"/>
          <w:numId w:val="28"/>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由于本项目需要对终端设备进行维护以及对</w:t>
      </w:r>
      <w:r>
        <w:rPr>
          <w:rFonts w:hint="eastAsia" w:ascii="宋体" w:hAnsi="宋体" w:eastAsia="宋体" w:cs="宋体"/>
          <w:color w:val="auto"/>
          <w:sz w:val="21"/>
          <w:szCs w:val="21"/>
          <w:highlight w:val="none"/>
          <w:lang w:val="en-US" w:eastAsia="zh-Hans"/>
        </w:rPr>
        <w:t>配套基础设施的日常养护除锈和刷漆</w:t>
      </w:r>
      <w:r>
        <w:rPr>
          <w:rFonts w:hint="eastAsia" w:ascii="宋体" w:hAnsi="宋体" w:eastAsia="宋体" w:cs="宋体"/>
          <w:color w:val="auto"/>
          <w:sz w:val="21"/>
          <w:szCs w:val="21"/>
          <w:highlight w:val="none"/>
          <w:lang w:val="en-US" w:eastAsia="zh-CN"/>
        </w:rPr>
        <w:t>工作。具有一定的危险性。所以中标人需要对投入本项目的服务人员进行安全教育。确保服务人员具有相关的安全意识。</w:t>
      </w:r>
    </w:p>
    <w:p w14:paraId="71C97C20">
      <w:pPr>
        <w:pStyle w:val="26"/>
        <w:numPr>
          <w:ilvl w:val="0"/>
          <w:numId w:val="28"/>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中标人需要对对投入本项目的服务人员进行保密教育，如有出现</w:t>
      </w:r>
      <w:r>
        <w:rPr>
          <w:rFonts w:hint="eastAsia" w:ascii="宋体" w:hAnsi="宋体" w:eastAsia="宋体" w:cs="宋体"/>
          <w:color w:val="auto"/>
          <w:sz w:val="21"/>
          <w:szCs w:val="21"/>
          <w:highlight w:val="none"/>
          <w:lang w:val="en-GB" w:eastAsia="zh-Hans"/>
        </w:rPr>
        <w:t>终端数据</w:t>
      </w:r>
      <w:r>
        <w:rPr>
          <w:rFonts w:hint="eastAsia" w:ascii="宋体" w:hAnsi="宋体" w:eastAsia="宋体" w:cs="宋体"/>
          <w:color w:val="auto"/>
          <w:sz w:val="21"/>
          <w:szCs w:val="21"/>
          <w:highlight w:val="none"/>
          <w:lang w:val="en-US" w:eastAsia="zh-CN"/>
        </w:rPr>
        <w:t>泄漏的时间。一切责任由中标人承担。</w:t>
      </w:r>
    </w:p>
    <w:p w14:paraId="6ECD6A37">
      <w:pPr>
        <w:pStyle w:val="26"/>
        <w:numPr>
          <w:ilvl w:val="0"/>
          <w:numId w:val="14"/>
        </w:numPr>
        <w:snapToGrid w:val="0"/>
        <w:spacing w:line="360" w:lineRule="auto"/>
        <w:ind w:firstLineChars="0"/>
        <w:contextualSpacing/>
        <w:rPr>
          <w:rFonts w:hint="default" w:ascii="宋体" w:hAnsi="宋体" w:eastAsia="宋体" w:cs="宋体"/>
          <w:color w:val="auto"/>
          <w:sz w:val="21"/>
          <w:szCs w:val="21"/>
          <w:highlight w:val="none"/>
          <w:lang w:val="en-US" w:eastAsia="zh-CN"/>
        </w:rPr>
      </w:pPr>
      <w:r>
        <w:rPr>
          <w:rFonts w:hint="eastAsia" w:ascii="宋体" w:hAnsi="宋体" w:eastAsia="宋体"/>
          <w:bCs/>
          <w:color w:val="auto"/>
          <w:szCs w:val="21"/>
          <w:highlight w:val="none"/>
        </w:rPr>
        <w:t>质量</w:t>
      </w:r>
      <w:r>
        <w:rPr>
          <w:rFonts w:hint="eastAsia" w:ascii="宋体" w:hAnsi="宋体" w:eastAsia="宋体"/>
          <w:bCs/>
          <w:color w:val="auto"/>
          <w:szCs w:val="21"/>
          <w:highlight w:val="none"/>
          <w:lang w:val="en-US" w:eastAsia="zh-CN"/>
        </w:rPr>
        <w:t>及安全</w:t>
      </w:r>
      <w:r>
        <w:rPr>
          <w:rFonts w:hint="eastAsia" w:ascii="宋体" w:hAnsi="宋体" w:eastAsia="宋体"/>
          <w:bCs/>
          <w:color w:val="auto"/>
          <w:szCs w:val="21"/>
          <w:highlight w:val="none"/>
        </w:rPr>
        <w:t>保证措施</w:t>
      </w:r>
    </w:p>
    <w:p w14:paraId="700AD406">
      <w:pPr>
        <w:pStyle w:val="26"/>
        <w:numPr>
          <w:ilvl w:val="0"/>
          <w:numId w:val="29"/>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要明确质量目标，确保工作效率。在出现故障需要注意响应时间与修复时间。</w:t>
      </w:r>
    </w:p>
    <w:p w14:paraId="554377E1">
      <w:pPr>
        <w:pStyle w:val="26"/>
        <w:numPr>
          <w:ilvl w:val="0"/>
          <w:numId w:val="29"/>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中标人需要通过流程标准化来实现质量控制磋商措施。在进行运维工作时需要具有充足的人员跟技术工具。</w:t>
      </w:r>
      <w:r>
        <w:rPr>
          <w:rFonts w:hint="eastAsia" w:ascii="宋体" w:hAnsi="宋体" w:eastAsia="宋体" w:cs="宋体"/>
          <w:color w:val="auto"/>
          <w:sz w:val="21"/>
          <w:szCs w:val="21"/>
          <w:highlight w:val="none"/>
          <w:lang w:val="en-US" w:eastAsia="zh-CN"/>
        </w:rPr>
        <w:t>投入本项目的人员能对日常应用、相关资源、运营成本、安全等进行监控、管理与评估。</w:t>
      </w:r>
    </w:p>
    <w:p w14:paraId="7D24EF0B">
      <w:pPr>
        <w:pStyle w:val="26"/>
        <w:numPr>
          <w:ilvl w:val="0"/>
          <w:numId w:val="29"/>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中标人能提供如质量管理体系证书类似的</w:t>
      </w:r>
      <w:r>
        <w:rPr>
          <w:rFonts w:hint="eastAsia" w:ascii="宋体" w:hAnsi="宋体" w:eastAsia="宋体" w:cs="宋体"/>
          <w:color w:val="auto"/>
          <w:sz w:val="21"/>
          <w:szCs w:val="21"/>
          <w:highlight w:val="none"/>
          <w:lang w:val="en-US" w:eastAsia="zh-CN"/>
        </w:rPr>
        <w:t>证书。确保有一定的内控制度。可以证明组织对质量的承诺和能力。</w:t>
      </w:r>
    </w:p>
    <w:p w14:paraId="771E44F4">
      <w:pPr>
        <w:pStyle w:val="26"/>
        <w:numPr>
          <w:ilvl w:val="0"/>
          <w:numId w:val="29"/>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中标人在服务期间应严格遵守安全检查、安全生产教育、安全事故应急救援预案、环境保护等规定，建立规章制度和安全措施。若违反以上规定，由此造成的经济和法律责任，均由中标人负责。</w:t>
      </w:r>
    </w:p>
    <w:p w14:paraId="46178BC9">
      <w:pPr>
        <w:pStyle w:val="26"/>
        <w:numPr>
          <w:ilvl w:val="0"/>
          <w:numId w:val="29"/>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eastAsia="zh-CN"/>
        </w:rPr>
        <w:t>需按有关规定办理保险，</w:t>
      </w: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时注意安全、防止对人身造成伤害，安全工作由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eastAsia="zh-CN"/>
        </w:rPr>
        <w:t>自行负责。在</w:t>
      </w:r>
      <w:r>
        <w:rPr>
          <w:rFonts w:hint="eastAsia" w:ascii="宋体" w:hAnsi="宋体" w:eastAsia="宋体" w:cs="宋体"/>
          <w:color w:val="auto"/>
          <w:sz w:val="21"/>
          <w:szCs w:val="21"/>
          <w:highlight w:val="none"/>
          <w:lang w:val="en-US" w:eastAsia="zh-CN"/>
        </w:rPr>
        <w:t>本项目</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过程中，采购人对</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eastAsia="zh-CN"/>
        </w:rPr>
        <w:t>雇员的人身死亡或伤残，或财产(设备)的损失或损害不予赔偿。采购人也不承担</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eastAsia="zh-CN"/>
        </w:rPr>
        <w:t>与此有关的索赔、损害、赔偿及诉讼等费用和其他任何法律责任。</w:t>
      </w:r>
    </w:p>
    <w:p w14:paraId="63415320">
      <w:pPr>
        <w:pStyle w:val="26"/>
        <w:numPr>
          <w:ilvl w:val="0"/>
          <w:numId w:val="29"/>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应具有安全机构，能对服务人员的安全防护负责，同时应制定安全防护规程，定期召开安全会议进行安全教育。也应在服务范围内设置必要的标</w:t>
      </w:r>
      <w:r>
        <w:rPr>
          <w:rFonts w:hint="default" w:ascii="宋体" w:hAnsi="宋体" w:eastAsia="宋体" w:cs="宋体"/>
          <w:color w:val="auto"/>
          <w:sz w:val="21"/>
          <w:szCs w:val="21"/>
          <w:highlight w:val="none"/>
          <w:lang w:val="en-US" w:eastAsia="zh-CN"/>
        </w:rPr>
        <w:t>志和信号。</w:t>
      </w:r>
    </w:p>
    <w:p w14:paraId="1A085FCF">
      <w:pPr>
        <w:pStyle w:val="26"/>
        <w:numPr>
          <w:ilvl w:val="0"/>
          <w:numId w:val="14"/>
        </w:numPr>
        <w:snapToGrid w:val="0"/>
        <w:spacing w:line="360" w:lineRule="auto"/>
        <w:ind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巡检服务</w:t>
      </w:r>
    </w:p>
    <w:p w14:paraId="7FF5FA09">
      <w:pPr>
        <w:pStyle w:val="26"/>
        <w:numPr>
          <w:ilvl w:val="0"/>
          <w:numId w:val="3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对桥梁净高显示系统、船舶流量观测系统、视频监控系统和水位站等进行巡检维护。按维护要求和《养护手册》落实各项维护措施，确保终端及其配件的正常使用，电线或太阳能板（含电池）的正常使用。</w:t>
      </w:r>
    </w:p>
    <w:p w14:paraId="68BE2047">
      <w:pPr>
        <w:pStyle w:val="26"/>
        <w:numPr>
          <w:ilvl w:val="0"/>
          <w:numId w:val="3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中标人须制定运行维护计划和月度巡查养护计划，报</w:t>
      </w:r>
      <w:r>
        <w:rPr>
          <w:rFonts w:hint="eastAsia" w:ascii="宋体" w:hAnsi="宋体" w:eastAsia="宋体" w:cs="宋体"/>
          <w:color w:val="auto"/>
          <w:sz w:val="21"/>
          <w:szCs w:val="21"/>
          <w:highlight w:val="none"/>
          <w:lang w:val="en-US" w:eastAsia="zh-CN"/>
        </w:rPr>
        <w:t>采购人</w:t>
      </w:r>
      <w:r>
        <w:rPr>
          <w:rFonts w:hint="default" w:ascii="宋体" w:hAnsi="宋体" w:eastAsia="宋体" w:cs="宋体"/>
          <w:color w:val="auto"/>
          <w:sz w:val="21"/>
          <w:szCs w:val="21"/>
          <w:highlight w:val="none"/>
          <w:lang w:val="en-US" w:eastAsia="zh-CN"/>
        </w:rPr>
        <w:t>审查同意后方可实施；</w:t>
      </w:r>
    </w:p>
    <w:p w14:paraId="647D0FBC">
      <w:pPr>
        <w:pStyle w:val="26"/>
        <w:numPr>
          <w:ilvl w:val="0"/>
          <w:numId w:val="3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外场监测终端按照要求进行周期性系统巡检，日常巡查养护周期每月不少于一次，遇台风、洪水等季节性危险天气，当危险天气结束后，24小时内派员开展巡查。根据节假日和上级需求适当增加巡查次数，每次巡查检修后按相关制度和表格做好巡检记录。</w:t>
      </w:r>
    </w:p>
    <w:p w14:paraId="59A2FE38">
      <w:pPr>
        <w:pStyle w:val="26"/>
        <w:numPr>
          <w:ilvl w:val="0"/>
          <w:numId w:val="3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每月5日前提供上个月的巡检报告汇编以及故障和问题处理技术报告汇编。</w:t>
      </w:r>
    </w:p>
    <w:p w14:paraId="32F0EF70">
      <w:pPr>
        <w:pStyle w:val="26"/>
        <w:numPr>
          <w:ilvl w:val="0"/>
          <w:numId w:val="3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每半年提供一次技术服务总结及巡检以及故障问题处理报告。</w:t>
      </w:r>
    </w:p>
    <w:p w14:paraId="515EFBB4">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守密要求</w:t>
      </w:r>
    </w:p>
    <w:p w14:paraId="066A4101">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中标人及其服务人员必须与采购人签订协议，不得泄露系统数据、密码、用户手册资料等内容；如有故障，中标人需要临时聘请专家进行现场解决的，须书面通知并征得采购人同意，同时须签订协议，不得泄密系统数据、密码、用户手册资料等内容。</w:t>
      </w:r>
    </w:p>
    <w:p w14:paraId="601ACAFA">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中标人对履行本合同期间知悉的采购人信息负有守密责任，且中标人的守密责任不因本项目合同的终止而终止。</w:t>
      </w:r>
    </w:p>
    <w:p w14:paraId="3DBC16EF">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中标人不得向任何第三方透露采购人工作人员的信息。</w:t>
      </w:r>
    </w:p>
    <w:p w14:paraId="179C2564">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未经采购人同意，中标人服务人员不得擅自记录、复印、拍摄、摘抄、收藏采购人单位的任何文件资料和信息，不得随意翻阅与工作无关的文件和资料，严禁将采购人单位内部会议、谈话内容泄露给第三方。</w:t>
      </w:r>
    </w:p>
    <w:p w14:paraId="09231374">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严禁私自下载、拷贝采购人计算机内的信息资料，不得擅自携带采购人记载工作内容的硬盘、软盘和打印资料外出；严禁将工作中使用计算机储存的敏感内容、内部程序、口令、密码等泄露给无关人员。</w:t>
      </w:r>
    </w:p>
    <w:p w14:paraId="069065E0">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中标人不得带领无关人员进入办公场所。</w:t>
      </w:r>
    </w:p>
    <w:p w14:paraId="3DEB9ED3">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中标人不得利用项目实施期间获取的信息谋取不正当利益。</w:t>
      </w:r>
    </w:p>
    <w:p w14:paraId="50F69EBA">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如中标人违反本守密义务的，采购人有权单方解除合同，并要求中标人赔偿采购人因此遭受的全部损失（包括直接损失和间接损失）。</w:t>
      </w:r>
    </w:p>
    <w:p w14:paraId="4B0448A5">
      <w:pPr>
        <w:keepNext w:val="0"/>
        <w:keepLines w:val="0"/>
        <w:pageBreakBefore w:val="0"/>
        <w:widowControl/>
        <w:numPr>
          <w:ilvl w:val="0"/>
          <w:numId w:val="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color w:val="auto"/>
          <w:sz w:val="21"/>
          <w:szCs w:val="21"/>
          <w:highlight w:val="none"/>
        </w:rPr>
        <w:t>如果因中标人人为原因造成所维护范围内的重要敏感数据外泄，直接扣除合同金额的10%违约金</w:t>
      </w:r>
      <w:r>
        <w:rPr>
          <w:rFonts w:hint="eastAsia" w:ascii="宋体" w:hAnsi="宋体" w:eastAsia="宋体" w:cs="宋体"/>
          <w:color w:val="auto"/>
          <w:sz w:val="21"/>
          <w:szCs w:val="21"/>
          <w:highlight w:val="none"/>
          <w:lang w:eastAsia="zh-CN"/>
        </w:rPr>
        <w:t>并承担相应法律责任</w:t>
      </w:r>
      <w:r>
        <w:rPr>
          <w:rFonts w:hint="eastAsia" w:ascii="宋体" w:hAnsi="宋体" w:eastAsia="宋体" w:cs="宋体"/>
          <w:color w:val="auto"/>
          <w:sz w:val="21"/>
          <w:szCs w:val="21"/>
          <w:highlight w:val="none"/>
        </w:rPr>
        <w:t>。</w:t>
      </w:r>
    </w:p>
    <w:p w14:paraId="3A544083">
      <w:pPr>
        <w:pStyle w:val="26"/>
        <w:numPr>
          <w:ilvl w:val="0"/>
          <w:numId w:val="14"/>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故障处理及应急方案</w:t>
      </w:r>
    </w:p>
    <w:p w14:paraId="444F5724">
      <w:pPr>
        <w:keepNext w:val="0"/>
        <w:keepLines w:val="0"/>
        <w:pageBreakBefore w:val="0"/>
        <w:widowControl/>
        <w:numPr>
          <w:ilvl w:val="0"/>
          <w:numId w:val="3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故障应急响应</w:t>
      </w:r>
    </w:p>
    <w:p w14:paraId="7295EC02">
      <w:pPr>
        <w:keepNext w:val="0"/>
        <w:keepLines w:val="0"/>
        <w:pageBreakBefore w:val="0"/>
        <w:widowControl/>
        <w:numPr>
          <w:ilvl w:val="0"/>
          <w:numId w:val="3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提供故障处理手册、故障处理流程、排障方案、应急</w:t>
      </w:r>
      <w:r>
        <w:rPr>
          <w:rFonts w:hint="eastAsia" w:ascii="宋体" w:hAnsi="宋体" w:eastAsia="宋体" w:cs="宋体"/>
          <w:color w:val="auto"/>
          <w:sz w:val="21"/>
          <w:szCs w:val="21"/>
          <w:highlight w:val="none"/>
          <w:lang w:val="en-US" w:eastAsia="zh-CN"/>
        </w:rPr>
        <w:t>预</w:t>
      </w:r>
      <w:r>
        <w:rPr>
          <w:rFonts w:hint="eastAsia" w:ascii="宋体" w:hAnsi="宋体" w:eastAsia="宋体" w:cs="宋体"/>
          <w:color w:val="auto"/>
          <w:sz w:val="21"/>
          <w:szCs w:val="21"/>
          <w:highlight w:val="none"/>
          <w:lang w:val="en-GB" w:eastAsia="zh-Hans"/>
        </w:rPr>
        <w:t>案（包括应急流程、实现方式等）。对于系统一般问题，提供7×24小时本地电话技术热线支持，并可根据</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GB" w:eastAsia="zh-Hans"/>
        </w:rPr>
        <w:t>要求和实际情况到</w:t>
      </w:r>
      <w:r>
        <w:rPr>
          <w:rFonts w:hint="eastAsia" w:ascii="宋体" w:hAnsi="宋体" w:eastAsia="宋体" w:cs="宋体"/>
          <w:color w:val="auto"/>
          <w:sz w:val="21"/>
          <w:szCs w:val="21"/>
          <w:highlight w:val="none"/>
          <w:lang w:val="en-US" w:eastAsia="zh-CN"/>
        </w:rPr>
        <w:t>采购人指定</w:t>
      </w:r>
      <w:r>
        <w:rPr>
          <w:rFonts w:hint="eastAsia" w:ascii="宋体" w:hAnsi="宋体" w:eastAsia="宋体" w:cs="宋体"/>
          <w:color w:val="auto"/>
          <w:sz w:val="21"/>
          <w:szCs w:val="21"/>
          <w:highlight w:val="none"/>
          <w:lang w:val="en-GB" w:eastAsia="zh-Hans"/>
        </w:rPr>
        <w:t>现场提供服务。在故障发生时，根据</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GB" w:eastAsia="zh-Hans"/>
        </w:rPr>
        <w:t>要求，提供7×24小时现场服务，在规定时限内到达故障现场及时处理故障，并提供相关处理报告。对于系统重大问题（如硬件系统宕机、设备批量异常等）紧急情况，须</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val="en-GB" w:eastAsia="zh-Hans"/>
        </w:rPr>
        <w:t>人远程处理</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val="en-GB" w:eastAsia="zh-Hans"/>
        </w:rPr>
        <w:t>人赶到现场，并提出实现方式和承诺的故障响应时间、故障排除时间。</w:t>
      </w:r>
    </w:p>
    <w:p w14:paraId="5F933E03">
      <w:pPr>
        <w:keepNext w:val="0"/>
        <w:keepLines w:val="0"/>
        <w:pageBreakBefore w:val="0"/>
        <w:widowControl/>
        <w:numPr>
          <w:ilvl w:val="0"/>
          <w:numId w:val="3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故障应急响应时间</w:t>
      </w:r>
    </w:p>
    <w:p w14:paraId="1E9A16A5">
      <w:pPr>
        <w:keepNext w:val="0"/>
        <w:keepLines w:val="0"/>
        <w:pageBreakBefore w:val="0"/>
        <w:widowControl/>
        <w:numPr>
          <w:ilvl w:val="0"/>
          <w:numId w:val="3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终端设备发生硬件故障的，车辆可以抵达现场的，4小时内赶赴现场并确定故障类型。</w:t>
      </w:r>
    </w:p>
    <w:p w14:paraId="5FB48974">
      <w:pPr>
        <w:keepNext w:val="0"/>
        <w:keepLines w:val="0"/>
        <w:pageBreakBefore w:val="0"/>
        <w:widowControl/>
        <w:numPr>
          <w:ilvl w:val="0"/>
          <w:numId w:val="3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需通过船舶抵达现场的，1个工作日内赶赴现场并确定故障类型。对于现场可处理的故障须在1个工作日内修复完毕。</w:t>
      </w:r>
    </w:p>
    <w:p w14:paraId="1A6EDD62">
      <w:pPr>
        <w:keepNext w:val="0"/>
        <w:keepLines w:val="0"/>
        <w:pageBreakBefore w:val="0"/>
        <w:widowControl/>
        <w:numPr>
          <w:ilvl w:val="0"/>
          <w:numId w:val="3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设备损坏需更换设备的，由</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GB" w:eastAsia="zh-Hans"/>
        </w:rPr>
        <w:t>在2个工作日</w:t>
      </w:r>
      <w:r>
        <w:rPr>
          <w:rFonts w:hint="eastAsia" w:ascii="宋体" w:hAnsi="宋体" w:eastAsia="宋体" w:cs="宋体"/>
          <w:color w:val="auto"/>
          <w:sz w:val="21"/>
          <w:szCs w:val="21"/>
          <w:highlight w:val="none"/>
          <w:lang w:val="en-GB" w:eastAsia="zh-CN"/>
        </w:rPr>
        <w:t>内排查</w:t>
      </w:r>
      <w:r>
        <w:rPr>
          <w:rFonts w:hint="eastAsia" w:ascii="宋体" w:hAnsi="宋体" w:eastAsia="宋体" w:cs="宋体"/>
          <w:color w:val="auto"/>
          <w:sz w:val="21"/>
          <w:szCs w:val="21"/>
          <w:highlight w:val="none"/>
          <w:lang w:val="en-GB" w:eastAsia="zh-Hans"/>
        </w:rPr>
        <w:t>确定需要</w:t>
      </w:r>
      <w:r>
        <w:rPr>
          <w:rFonts w:hint="eastAsia" w:ascii="宋体" w:hAnsi="宋体" w:eastAsia="宋体" w:cs="宋体"/>
          <w:color w:val="auto"/>
          <w:sz w:val="21"/>
          <w:szCs w:val="21"/>
          <w:highlight w:val="none"/>
          <w:lang w:val="en-US" w:eastAsia="zh-CN"/>
        </w:rPr>
        <w:t>更换</w:t>
      </w:r>
      <w:r>
        <w:rPr>
          <w:rFonts w:hint="eastAsia" w:ascii="宋体" w:hAnsi="宋体" w:eastAsia="宋体" w:cs="宋体"/>
          <w:color w:val="auto"/>
          <w:sz w:val="21"/>
          <w:szCs w:val="21"/>
          <w:highlight w:val="none"/>
          <w:lang w:val="en-GB" w:eastAsia="zh-Hans"/>
        </w:rPr>
        <w:t>的备品备件，并在</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val="en-GB" w:eastAsia="zh-Hans"/>
        </w:rPr>
        <w:t>个工作日内完成安装并恢复设备正常，如有特殊情况需要延长时间的，书面向</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GB" w:eastAsia="zh-Hans"/>
        </w:rPr>
        <w:t>提出申请。</w:t>
      </w:r>
    </w:p>
    <w:p w14:paraId="34F90026">
      <w:pPr>
        <w:keepNext w:val="0"/>
        <w:keepLines w:val="0"/>
        <w:pageBreakBefore w:val="0"/>
        <w:widowControl/>
        <w:numPr>
          <w:ilvl w:val="0"/>
          <w:numId w:val="3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中标人须根据第四条要求准备数量充足的</w:t>
      </w:r>
      <w:r>
        <w:rPr>
          <w:rFonts w:hint="eastAsia" w:ascii="宋体" w:hAnsi="宋体" w:eastAsia="宋体" w:cs="宋体"/>
          <w:color w:val="auto"/>
          <w:sz w:val="21"/>
          <w:szCs w:val="21"/>
          <w:highlight w:val="none"/>
          <w:lang w:val="en-US" w:eastAsia="zh-Hans"/>
        </w:rPr>
        <w:t>备品备件</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Hans"/>
        </w:rPr>
        <w:t>备品备件</w:t>
      </w:r>
      <w:r>
        <w:rPr>
          <w:rFonts w:hint="eastAsia" w:ascii="宋体" w:hAnsi="宋体" w:eastAsia="宋体" w:cs="宋体"/>
          <w:color w:val="auto"/>
          <w:sz w:val="21"/>
          <w:szCs w:val="21"/>
          <w:highlight w:val="none"/>
          <w:lang w:val="en-US" w:eastAsia="zh-CN"/>
        </w:rPr>
        <w:t>应完全适配采购人原本的设备。</w:t>
      </w:r>
    </w:p>
    <w:p w14:paraId="1BBE0D46">
      <w:pPr>
        <w:keepNext w:val="0"/>
        <w:keepLines w:val="0"/>
        <w:pageBreakBefore w:val="0"/>
        <w:widowControl/>
        <w:numPr>
          <w:ilvl w:val="0"/>
          <w:numId w:val="3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如有突发情况或者临时任务，项目负责人在接到采购人通知后须于30分钟响应内并</w:t>
      </w:r>
      <w:r>
        <w:rPr>
          <w:rFonts w:hint="eastAsia" w:ascii="宋体" w:hAnsi="宋体" w:eastAsia="宋体" w:cs="宋体"/>
          <w:color w:val="auto"/>
          <w:sz w:val="21"/>
          <w:szCs w:val="21"/>
          <w:highlight w:val="none"/>
          <w:lang w:val="en-US" w:eastAsia="zh-Hans"/>
        </w:rPr>
        <w:t>3小时内到达现场</w:t>
      </w:r>
      <w:r>
        <w:rPr>
          <w:rFonts w:hint="eastAsia" w:ascii="宋体" w:hAnsi="宋体" w:eastAsia="宋体" w:cs="宋体"/>
          <w:color w:val="auto"/>
          <w:sz w:val="21"/>
          <w:szCs w:val="21"/>
          <w:highlight w:val="none"/>
          <w:lang w:val="en-US" w:eastAsia="zh-CN"/>
        </w:rPr>
        <w:t>。</w:t>
      </w:r>
    </w:p>
    <w:p w14:paraId="3E630534">
      <w:pPr>
        <w:pStyle w:val="26"/>
        <w:keepNext w:val="0"/>
        <w:keepLines w:val="0"/>
        <w:pageBreakBefore w:val="0"/>
        <w:numPr>
          <w:ilvl w:val="0"/>
          <w:numId w:val="14"/>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考核要求</w:t>
      </w:r>
    </w:p>
    <w:p w14:paraId="7D88FE57">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《运维考核评分表》</w:t>
      </w:r>
    </w:p>
    <w:tbl>
      <w:tblPr>
        <w:tblStyle w:val="13"/>
        <w:tblW w:w="4994" w:type="pct"/>
        <w:jc w:val="center"/>
        <w:tblLayout w:type="autofit"/>
        <w:tblCellMar>
          <w:top w:w="0" w:type="dxa"/>
          <w:left w:w="108" w:type="dxa"/>
          <w:bottom w:w="0" w:type="dxa"/>
          <w:right w:w="108" w:type="dxa"/>
        </w:tblCellMar>
      </w:tblPr>
      <w:tblGrid>
        <w:gridCol w:w="694"/>
        <w:gridCol w:w="1473"/>
        <w:gridCol w:w="1853"/>
        <w:gridCol w:w="703"/>
        <w:gridCol w:w="762"/>
        <w:gridCol w:w="3116"/>
        <w:gridCol w:w="674"/>
      </w:tblGrid>
      <w:tr w14:paraId="17777427">
        <w:tblPrEx>
          <w:tblCellMar>
            <w:top w:w="0" w:type="dxa"/>
            <w:left w:w="108" w:type="dxa"/>
            <w:bottom w:w="0" w:type="dxa"/>
            <w:right w:w="108" w:type="dxa"/>
          </w:tblCellMar>
        </w:tblPrEx>
        <w:trPr>
          <w:trHeight w:val="395" w:hRule="atLeast"/>
          <w:jc w:val="center"/>
        </w:trPr>
        <w:tc>
          <w:tcPr>
            <w:tcW w:w="1168" w:type="pct"/>
            <w:gridSpan w:val="2"/>
            <w:tcBorders>
              <w:top w:val="single" w:color="auto" w:sz="4" w:space="0"/>
              <w:left w:val="single" w:color="auto" w:sz="4" w:space="0"/>
              <w:bottom w:val="single" w:color="auto" w:sz="4" w:space="0"/>
              <w:right w:val="single" w:color="auto" w:sz="4" w:space="0"/>
            </w:tcBorders>
            <w:noWrap/>
            <w:vAlign w:val="center"/>
          </w:tcPr>
          <w:p w14:paraId="57C93AA4">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考核时间</w:t>
            </w:r>
          </w:p>
        </w:tc>
        <w:tc>
          <w:tcPr>
            <w:tcW w:w="1377" w:type="pct"/>
            <w:gridSpan w:val="2"/>
            <w:tcBorders>
              <w:top w:val="single" w:color="auto" w:sz="4" w:space="0"/>
              <w:left w:val="nil"/>
              <w:bottom w:val="single" w:color="auto" w:sz="4" w:space="0"/>
              <w:right w:val="single" w:color="000000" w:sz="4" w:space="0"/>
            </w:tcBorders>
            <w:vAlign w:val="center"/>
          </w:tcPr>
          <w:p w14:paraId="3A84BFC1">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11" w:type="pct"/>
            <w:tcBorders>
              <w:top w:val="single" w:color="auto" w:sz="4" w:space="0"/>
              <w:left w:val="nil"/>
              <w:bottom w:val="single" w:color="auto" w:sz="4" w:space="0"/>
              <w:right w:val="single" w:color="auto" w:sz="4" w:space="0"/>
            </w:tcBorders>
            <w:vAlign w:val="center"/>
          </w:tcPr>
          <w:p w14:paraId="71CAB37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w:t>
            </w:r>
          </w:p>
          <w:p w14:paraId="2106C28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月份</w:t>
            </w:r>
          </w:p>
        </w:tc>
        <w:tc>
          <w:tcPr>
            <w:tcW w:w="2042" w:type="pct"/>
            <w:gridSpan w:val="2"/>
            <w:tcBorders>
              <w:top w:val="single" w:color="auto" w:sz="4" w:space="0"/>
              <w:left w:val="nil"/>
              <w:bottom w:val="single" w:color="auto" w:sz="4" w:space="0"/>
              <w:right w:val="single" w:color="000000" w:sz="4" w:space="0"/>
            </w:tcBorders>
            <w:vAlign w:val="center"/>
          </w:tcPr>
          <w:p w14:paraId="7A4BFE5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r>
      <w:tr w14:paraId="3A9DF00F">
        <w:tblPrEx>
          <w:tblCellMar>
            <w:top w:w="0" w:type="dxa"/>
            <w:left w:w="108" w:type="dxa"/>
            <w:bottom w:w="0" w:type="dxa"/>
            <w:right w:w="108" w:type="dxa"/>
          </w:tblCellMar>
        </w:tblPrEx>
        <w:trPr>
          <w:trHeight w:val="300"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54010D8B">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A.考核评价―减分项评分表</w:t>
            </w:r>
          </w:p>
        </w:tc>
      </w:tr>
      <w:tr w14:paraId="205FE7CC">
        <w:tblPrEx>
          <w:tblCellMar>
            <w:top w:w="0" w:type="dxa"/>
            <w:left w:w="108" w:type="dxa"/>
            <w:bottom w:w="0" w:type="dxa"/>
            <w:right w:w="108" w:type="dxa"/>
          </w:tblCellMar>
        </w:tblPrEx>
        <w:trPr>
          <w:trHeight w:val="600" w:hRule="atLeast"/>
          <w:jc w:val="center"/>
        </w:trPr>
        <w:tc>
          <w:tcPr>
            <w:tcW w:w="374" w:type="pct"/>
            <w:tcBorders>
              <w:top w:val="nil"/>
              <w:left w:val="single" w:color="auto" w:sz="4" w:space="0"/>
              <w:bottom w:val="single" w:color="auto" w:sz="4" w:space="0"/>
              <w:right w:val="single" w:color="auto" w:sz="4" w:space="0"/>
            </w:tcBorders>
            <w:vAlign w:val="center"/>
          </w:tcPr>
          <w:p w14:paraId="69AEFCF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794" w:type="pct"/>
            <w:tcBorders>
              <w:top w:val="nil"/>
              <w:left w:val="nil"/>
              <w:bottom w:val="single" w:color="auto" w:sz="4" w:space="0"/>
              <w:right w:val="single" w:color="auto" w:sz="4" w:space="0"/>
            </w:tcBorders>
            <w:vAlign w:val="center"/>
          </w:tcPr>
          <w:p w14:paraId="72FCE61B">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考核指标</w:t>
            </w:r>
          </w:p>
        </w:tc>
        <w:tc>
          <w:tcPr>
            <w:tcW w:w="999" w:type="pct"/>
            <w:tcBorders>
              <w:top w:val="nil"/>
              <w:left w:val="nil"/>
              <w:bottom w:val="single" w:color="auto" w:sz="4" w:space="0"/>
              <w:right w:val="single" w:color="auto" w:sz="4" w:space="0"/>
            </w:tcBorders>
            <w:noWrap/>
            <w:vAlign w:val="center"/>
          </w:tcPr>
          <w:p w14:paraId="439A6F3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考核说明</w:t>
            </w:r>
          </w:p>
        </w:tc>
        <w:tc>
          <w:tcPr>
            <w:tcW w:w="378" w:type="pct"/>
            <w:tcBorders>
              <w:top w:val="nil"/>
              <w:left w:val="nil"/>
              <w:bottom w:val="single" w:color="auto" w:sz="4" w:space="0"/>
              <w:right w:val="single" w:color="auto" w:sz="4" w:space="0"/>
            </w:tcBorders>
            <w:vAlign w:val="center"/>
          </w:tcPr>
          <w:p w14:paraId="55467C67">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411" w:type="pct"/>
            <w:tcBorders>
              <w:top w:val="nil"/>
              <w:left w:val="nil"/>
              <w:bottom w:val="single" w:color="auto" w:sz="4" w:space="0"/>
              <w:right w:val="single" w:color="auto" w:sz="4" w:space="0"/>
            </w:tcBorders>
            <w:vAlign w:val="center"/>
          </w:tcPr>
          <w:p w14:paraId="2999D9FD">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得分</w:t>
            </w:r>
          </w:p>
        </w:tc>
        <w:tc>
          <w:tcPr>
            <w:tcW w:w="1680" w:type="pct"/>
            <w:tcBorders>
              <w:top w:val="nil"/>
              <w:left w:val="nil"/>
              <w:bottom w:val="single" w:color="auto" w:sz="4" w:space="0"/>
              <w:right w:val="single" w:color="auto" w:sz="4" w:space="0"/>
            </w:tcBorders>
            <w:vAlign w:val="center"/>
          </w:tcPr>
          <w:p w14:paraId="05BE359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考核方法</w:t>
            </w:r>
          </w:p>
        </w:tc>
        <w:tc>
          <w:tcPr>
            <w:tcW w:w="361" w:type="pct"/>
            <w:tcBorders>
              <w:top w:val="nil"/>
              <w:left w:val="nil"/>
              <w:bottom w:val="single" w:color="auto" w:sz="4" w:space="0"/>
              <w:right w:val="single" w:color="auto" w:sz="4" w:space="0"/>
            </w:tcBorders>
            <w:vAlign w:val="center"/>
          </w:tcPr>
          <w:p w14:paraId="0D4FD39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253D7AE4">
        <w:tblPrEx>
          <w:tblCellMar>
            <w:top w:w="0" w:type="dxa"/>
            <w:left w:w="108" w:type="dxa"/>
            <w:bottom w:w="0" w:type="dxa"/>
            <w:right w:w="108" w:type="dxa"/>
          </w:tblCellMar>
        </w:tblPrEx>
        <w:trPr>
          <w:trHeight w:val="432"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6A959E67">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一、运维质量（40分）</w:t>
            </w:r>
          </w:p>
        </w:tc>
      </w:tr>
      <w:tr w14:paraId="74C4B465">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7F530D25">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94" w:type="pct"/>
            <w:tcBorders>
              <w:top w:val="nil"/>
              <w:left w:val="nil"/>
              <w:bottom w:val="single" w:color="auto" w:sz="4" w:space="0"/>
              <w:right w:val="single" w:color="auto" w:sz="4" w:space="0"/>
            </w:tcBorders>
            <w:vAlign w:val="center"/>
          </w:tcPr>
          <w:p w14:paraId="4B48D5EA">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日巡检工作执行</w:t>
            </w:r>
          </w:p>
        </w:tc>
        <w:tc>
          <w:tcPr>
            <w:tcW w:w="999" w:type="pct"/>
            <w:tcBorders>
              <w:top w:val="nil"/>
              <w:left w:val="nil"/>
              <w:bottom w:val="single" w:color="auto" w:sz="4" w:space="0"/>
              <w:right w:val="single" w:color="auto" w:sz="4" w:space="0"/>
            </w:tcBorders>
            <w:vAlign w:val="center"/>
          </w:tcPr>
          <w:p w14:paraId="7A44A487">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通过相关巡检日志或记录检查</w:t>
            </w:r>
          </w:p>
        </w:tc>
        <w:tc>
          <w:tcPr>
            <w:tcW w:w="378" w:type="pct"/>
            <w:tcBorders>
              <w:top w:val="nil"/>
              <w:left w:val="nil"/>
              <w:bottom w:val="single" w:color="auto" w:sz="4" w:space="0"/>
              <w:right w:val="single" w:color="auto" w:sz="4" w:space="0"/>
            </w:tcBorders>
            <w:vAlign w:val="center"/>
          </w:tcPr>
          <w:p w14:paraId="17A9DA91">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04B44FBB">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623C927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未按运维服务要求开展</w:t>
            </w:r>
            <w:r>
              <w:rPr>
                <w:rFonts w:hint="eastAsia" w:ascii="宋体" w:hAnsi="宋体" w:eastAsia="宋体" w:cs="宋体"/>
                <w:color w:val="auto"/>
                <w:sz w:val="21"/>
                <w:szCs w:val="21"/>
                <w:highlight w:val="none"/>
                <w:lang w:val="en-GB"/>
              </w:rPr>
              <w:t>每天定时在省平台系统上观测终端设备运行情况不少于</w:t>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GB"/>
              </w:rPr>
              <w:t>次并做好工作记录</w:t>
            </w:r>
            <w:r>
              <w:rPr>
                <w:rFonts w:hint="eastAsia" w:ascii="宋体" w:hAnsi="宋体" w:eastAsia="宋体" w:cs="宋体"/>
                <w:color w:val="auto"/>
                <w:sz w:val="21"/>
                <w:szCs w:val="21"/>
                <w:highlight w:val="none"/>
              </w:rPr>
              <w:t>，错、漏检一项每次扣1分。</w:t>
            </w:r>
          </w:p>
        </w:tc>
        <w:tc>
          <w:tcPr>
            <w:tcW w:w="361" w:type="pct"/>
            <w:vMerge w:val="restart"/>
            <w:tcBorders>
              <w:top w:val="nil"/>
              <w:left w:val="single" w:color="auto" w:sz="4" w:space="0"/>
              <w:bottom w:val="single" w:color="auto" w:sz="4" w:space="0"/>
              <w:right w:val="single" w:color="auto" w:sz="4" w:space="0"/>
            </w:tcBorders>
            <w:vAlign w:val="center"/>
          </w:tcPr>
          <w:p w14:paraId="1EC9B057">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0275A465">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01AE768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794" w:type="pct"/>
            <w:tcBorders>
              <w:top w:val="nil"/>
              <w:left w:val="nil"/>
              <w:bottom w:val="single" w:color="auto" w:sz="4" w:space="0"/>
              <w:right w:val="single" w:color="auto" w:sz="4" w:space="0"/>
            </w:tcBorders>
            <w:vAlign w:val="center"/>
          </w:tcPr>
          <w:p w14:paraId="1C2A2C11">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运维月工作情况</w:t>
            </w:r>
          </w:p>
        </w:tc>
        <w:tc>
          <w:tcPr>
            <w:tcW w:w="999" w:type="pct"/>
            <w:tcBorders>
              <w:top w:val="nil"/>
              <w:left w:val="nil"/>
              <w:bottom w:val="single" w:color="auto" w:sz="4" w:space="0"/>
              <w:right w:val="single" w:color="auto" w:sz="4" w:space="0"/>
            </w:tcBorders>
            <w:vAlign w:val="center"/>
          </w:tcPr>
          <w:p w14:paraId="0AEA7DD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根据每月工作情况打分</w:t>
            </w:r>
          </w:p>
        </w:tc>
        <w:tc>
          <w:tcPr>
            <w:tcW w:w="378" w:type="pct"/>
            <w:tcBorders>
              <w:top w:val="nil"/>
              <w:left w:val="nil"/>
              <w:bottom w:val="single" w:color="auto" w:sz="4" w:space="0"/>
              <w:right w:val="single" w:color="auto" w:sz="4" w:space="0"/>
            </w:tcBorders>
            <w:vAlign w:val="center"/>
          </w:tcPr>
          <w:p w14:paraId="0CD386F8">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4B6D0059">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720EEC06">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每月28号下班前未按时完成上报本月维护工作情况，每次扣1分。</w:t>
            </w:r>
          </w:p>
        </w:tc>
        <w:tc>
          <w:tcPr>
            <w:tcW w:w="361" w:type="pct"/>
            <w:vMerge w:val="continue"/>
            <w:tcBorders>
              <w:top w:val="nil"/>
              <w:left w:val="single" w:color="auto" w:sz="4" w:space="0"/>
              <w:bottom w:val="single" w:color="auto" w:sz="4" w:space="0"/>
              <w:right w:val="single" w:color="auto" w:sz="4" w:space="0"/>
            </w:tcBorders>
            <w:vAlign w:val="center"/>
          </w:tcPr>
          <w:p w14:paraId="23163007">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7E7F47D6">
        <w:tblPrEx>
          <w:tblCellMar>
            <w:top w:w="0" w:type="dxa"/>
            <w:left w:w="108" w:type="dxa"/>
            <w:bottom w:w="0" w:type="dxa"/>
            <w:right w:w="108" w:type="dxa"/>
          </w:tblCellMar>
        </w:tblPrEx>
        <w:trPr>
          <w:trHeight w:val="503" w:hRule="atLeast"/>
          <w:jc w:val="center"/>
        </w:trPr>
        <w:tc>
          <w:tcPr>
            <w:tcW w:w="374" w:type="pct"/>
            <w:tcBorders>
              <w:top w:val="nil"/>
              <w:left w:val="single" w:color="auto" w:sz="4" w:space="0"/>
              <w:bottom w:val="single" w:color="auto" w:sz="4" w:space="0"/>
              <w:right w:val="single" w:color="auto" w:sz="4" w:space="0"/>
            </w:tcBorders>
            <w:vAlign w:val="center"/>
          </w:tcPr>
          <w:p w14:paraId="2314717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794" w:type="pct"/>
            <w:tcBorders>
              <w:top w:val="nil"/>
              <w:left w:val="single" w:color="auto" w:sz="4" w:space="0"/>
              <w:bottom w:val="single" w:color="auto" w:sz="4" w:space="0"/>
              <w:right w:val="single" w:color="auto" w:sz="4" w:space="0"/>
            </w:tcBorders>
            <w:vAlign w:val="center"/>
          </w:tcPr>
          <w:p w14:paraId="3713E82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运维事件响应</w:t>
            </w:r>
          </w:p>
        </w:tc>
        <w:tc>
          <w:tcPr>
            <w:tcW w:w="999" w:type="pct"/>
            <w:tcBorders>
              <w:top w:val="nil"/>
              <w:left w:val="single" w:color="auto" w:sz="4" w:space="0"/>
              <w:bottom w:val="single" w:color="auto" w:sz="4" w:space="0"/>
              <w:right w:val="single" w:color="auto" w:sz="4" w:space="0"/>
            </w:tcBorders>
            <w:vAlign w:val="center"/>
          </w:tcPr>
          <w:p w14:paraId="5179756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检查事件处理报告及有关电话记录</w:t>
            </w:r>
          </w:p>
        </w:tc>
        <w:tc>
          <w:tcPr>
            <w:tcW w:w="378" w:type="pct"/>
            <w:tcBorders>
              <w:top w:val="nil"/>
              <w:left w:val="single" w:color="auto" w:sz="4" w:space="0"/>
              <w:bottom w:val="single" w:color="auto" w:sz="4" w:space="0"/>
              <w:right w:val="single" w:color="auto" w:sz="4" w:space="0"/>
            </w:tcBorders>
            <w:vAlign w:val="center"/>
          </w:tcPr>
          <w:p w14:paraId="44F5FA5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single" w:color="auto" w:sz="4" w:space="0"/>
              <w:bottom w:val="single" w:color="auto" w:sz="4" w:space="0"/>
              <w:right w:val="single" w:color="auto" w:sz="4" w:space="0"/>
            </w:tcBorders>
            <w:vAlign w:val="center"/>
          </w:tcPr>
          <w:p w14:paraId="443685C9">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0994A808">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外场业务感知终端维护工作需符合招标文件所规定的技术标准，保障终端处于正常的技术状态。自接报障或发现故障，24小时内未到达现场处置的，每次扣0.5分。</w:t>
            </w:r>
          </w:p>
        </w:tc>
        <w:tc>
          <w:tcPr>
            <w:tcW w:w="361" w:type="pct"/>
            <w:vMerge w:val="continue"/>
            <w:tcBorders>
              <w:top w:val="nil"/>
              <w:left w:val="single" w:color="auto" w:sz="4" w:space="0"/>
              <w:bottom w:val="single" w:color="auto" w:sz="4" w:space="0"/>
              <w:right w:val="single" w:color="auto" w:sz="4" w:space="0"/>
            </w:tcBorders>
            <w:vAlign w:val="center"/>
          </w:tcPr>
          <w:p w14:paraId="7C4206A5">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6832D5F6">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12EE7275">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794" w:type="pct"/>
            <w:tcBorders>
              <w:top w:val="nil"/>
              <w:left w:val="nil"/>
              <w:bottom w:val="single" w:color="auto" w:sz="4" w:space="0"/>
              <w:right w:val="single" w:color="auto" w:sz="4" w:space="0"/>
            </w:tcBorders>
            <w:vAlign w:val="center"/>
          </w:tcPr>
          <w:p w14:paraId="14EE2D4A">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运维报告的撰写和提交</w:t>
            </w:r>
          </w:p>
        </w:tc>
        <w:tc>
          <w:tcPr>
            <w:tcW w:w="999" w:type="pct"/>
            <w:tcBorders>
              <w:top w:val="nil"/>
              <w:left w:val="nil"/>
              <w:bottom w:val="single" w:color="auto" w:sz="4" w:space="0"/>
              <w:right w:val="single" w:color="auto" w:sz="4" w:space="0"/>
            </w:tcBorders>
            <w:vAlign w:val="center"/>
          </w:tcPr>
          <w:p w14:paraId="564D593A">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检查纸质版归档资料等</w:t>
            </w:r>
          </w:p>
        </w:tc>
        <w:tc>
          <w:tcPr>
            <w:tcW w:w="378" w:type="pct"/>
            <w:tcBorders>
              <w:top w:val="nil"/>
              <w:left w:val="nil"/>
              <w:bottom w:val="single" w:color="auto" w:sz="4" w:space="0"/>
              <w:right w:val="single" w:color="auto" w:sz="4" w:space="0"/>
            </w:tcBorders>
            <w:vAlign w:val="center"/>
          </w:tcPr>
          <w:p w14:paraId="1028EE37">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179FC0B8">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06BC413B">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日常运维报告（含设备档案资料更新）检查中发现不完整，缺项，漏项，或未更新相关检查内容的，每次扣1分。</w:t>
            </w:r>
          </w:p>
        </w:tc>
        <w:tc>
          <w:tcPr>
            <w:tcW w:w="361" w:type="pct"/>
            <w:tcBorders>
              <w:top w:val="nil"/>
              <w:left w:val="nil"/>
              <w:bottom w:val="single" w:color="auto" w:sz="4" w:space="0"/>
              <w:right w:val="single" w:color="auto" w:sz="4" w:space="0"/>
            </w:tcBorders>
            <w:vAlign w:val="center"/>
          </w:tcPr>
          <w:p w14:paraId="1AB1C425">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28EB4C3B">
        <w:tblPrEx>
          <w:tblCellMar>
            <w:top w:w="0" w:type="dxa"/>
            <w:left w:w="108" w:type="dxa"/>
            <w:bottom w:w="0" w:type="dxa"/>
            <w:right w:w="108" w:type="dxa"/>
          </w:tblCellMar>
        </w:tblPrEx>
        <w:trPr>
          <w:trHeight w:val="462"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68D40678">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二、运维服务（45分）</w:t>
            </w:r>
          </w:p>
        </w:tc>
      </w:tr>
      <w:tr w14:paraId="5095C7B0">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30C3F59F">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94" w:type="pct"/>
            <w:tcBorders>
              <w:top w:val="nil"/>
              <w:left w:val="nil"/>
              <w:bottom w:val="single" w:color="auto" w:sz="4" w:space="0"/>
              <w:right w:val="single" w:color="auto" w:sz="4" w:space="0"/>
            </w:tcBorders>
            <w:vAlign w:val="center"/>
          </w:tcPr>
          <w:p w14:paraId="4DF5353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沟通机制及流程遵循</w:t>
            </w:r>
          </w:p>
        </w:tc>
        <w:tc>
          <w:tcPr>
            <w:tcW w:w="999" w:type="pct"/>
            <w:tcBorders>
              <w:top w:val="nil"/>
              <w:left w:val="nil"/>
              <w:bottom w:val="single" w:color="auto" w:sz="4" w:space="0"/>
              <w:right w:val="single" w:color="auto" w:sz="4" w:space="0"/>
            </w:tcBorders>
            <w:vAlign w:val="center"/>
          </w:tcPr>
          <w:p w14:paraId="6C6D576C">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服务人员日常沟通机制的及时性及流程遵循情况</w:t>
            </w:r>
          </w:p>
        </w:tc>
        <w:tc>
          <w:tcPr>
            <w:tcW w:w="378" w:type="pct"/>
            <w:tcBorders>
              <w:top w:val="nil"/>
              <w:left w:val="nil"/>
              <w:bottom w:val="single" w:color="auto" w:sz="4" w:space="0"/>
              <w:right w:val="single" w:color="auto" w:sz="4" w:space="0"/>
            </w:tcBorders>
            <w:vAlign w:val="center"/>
          </w:tcPr>
          <w:p w14:paraId="5639966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11" w:type="pct"/>
            <w:tcBorders>
              <w:top w:val="nil"/>
              <w:left w:val="nil"/>
              <w:bottom w:val="single" w:color="auto" w:sz="4" w:space="0"/>
              <w:right w:val="single" w:color="auto" w:sz="4" w:space="0"/>
            </w:tcBorders>
            <w:vAlign w:val="center"/>
          </w:tcPr>
          <w:p w14:paraId="0EF17A05">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3B770000">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服务人员是否遵守采购人的服务规范、项目实施规范、现场管理规范、施工管理规范、重大操作流程规范等，未及时汇报或隐瞒重要风险点的，每发现一次扣1分。</w:t>
            </w:r>
          </w:p>
        </w:tc>
        <w:tc>
          <w:tcPr>
            <w:tcW w:w="361" w:type="pct"/>
            <w:tcBorders>
              <w:top w:val="nil"/>
              <w:left w:val="nil"/>
              <w:bottom w:val="single" w:color="auto" w:sz="4" w:space="0"/>
              <w:right w:val="single" w:color="auto" w:sz="4" w:space="0"/>
            </w:tcBorders>
            <w:vAlign w:val="center"/>
          </w:tcPr>
          <w:p w14:paraId="235BBFCA">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r>
      <w:tr w14:paraId="55DC3F30">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1DAC1C9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794" w:type="pct"/>
            <w:tcBorders>
              <w:top w:val="nil"/>
              <w:left w:val="nil"/>
              <w:bottom w:val="single" w:color="auto" w:sz="4" w:space="0"/>
              <w:right w:val="single" w:color="auto" w:sz="4" w:space="0"/>
            </w:tcBorders>
            <w:vAlign w:val="center"/>
          </w:tcPr>
          <w:p w14:paraId="2DA103A4">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服务态度</w:t>
            </w:r>
          </w:p>
        </w:tc>
        <w:tc>
          <w:tcPr>
            <w:tcW w:w="999" w:type="pct"/>
            <w:tcBorders>
              <w:top w:val="nil"/>
              <w:left w:val="nil"/>
              <w:bottom w:val="single" w:color="auto" w:sz="4" w:space="0"/>
              <w:right w:val="single" w:color="auto" w:sz="4" w:space="0"/>
            </w:tcBorders>
            <w:vAlign w:val="center"/>
          </w:tcPr>
          <w:p w14:paraId="4BE5E844">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以投诉的事实为考核依据</w:t>
            </w:r>
          </w:p>
        </w:tc>
        <w:tc>
          <w:tcPr>
            <w:tcW w:w="378" w:type="pct"/>
            <w:tcBorders>
              <w:top w:val="nil"/>
              <w:left w:val="nil"/>
              <w:bottom w:val="single" w:color="auto" w:sz="4" w:space="0"/>
              <w:right w:val="single" w:color="auto" w:sz="4" w:space="0"/>
            </w:tcBorders>
            <w:vAlign w:val="center"/>
          </w:tcPr>
          <w:p w14:paraId="7789002A">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2E3592B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313C14A1">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未能及时完成交办任务，影响有关工作开展的，未按时提交运维报告，服务人员的服务态度恶劣的，每次扣2分，连续两次以上，除扣分外，可要求服务方更换服务人员。</w:t>
            </w:r>
          </w:p>
        </w:tc>
        <w:tc>
          <w:tcPr>
            <w:tcW w:w="361" w:type="pct"/>
            <w:tcBorders>
              <w:top w:val="nil"/>
              <w:left w:val="nil"/>
              <w:bottom w:val="single" w:color="auto" w:sz="4" w:space="0"/>
              <w:right w:val="single" w:color="auto" w:sz="4" w:space="0"/>
            </w:tcBorders>
            <w:vAlign w:val="center"/>
          </w:tcPr>
          <w:p w14:paraId="6F71B341">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r>
      <w:tr w14:paraId="51991B6C">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47BE19E4">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794" w:type="pct"/>
            <w:tcBorders>
              <w:top w:val="nil"/>
              <w:left w:val="nil"/>
              <w:bottom w:val="single" w:color="auto" w:sz="4" w:space="0"/>
              <w:right w:val="single" w:color="auto" w:sz="4" w:space="0"/>
            </w:tcBorders>
            <w:vAlign w:val="center"/>
          </w:tcPr>
          <w:p w14:paraId="6123B47F">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安全生产保障</w:t>
            </w:r>
          </w:p>
        </w:tc>
        <w:tc>
          <w:tcPr>
            <w:tcW w:w="999" w:type="pct"/>
            <w:tcBorders>
              <w:top w:val="nil"/>
              <w:left w:val="nil"/>
              <w:bottom w:val="single" w:color="auto" w:sz="4" w:space="0"/>
              <w:right w:val="single" w:color="auto" w:sz="4" w:space="0"/>
            </w:tcBorders>
            <w:vAlign w:val="center"/>
          </w:tcPr>
          <w:p w14:paraId="12013B7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378" w:type="pct"/>
            <w:tcBorders>
              <w:top w:val="nil"/>
              <w:left w:val="nil"/>
              <w:bottom w:val="single" w:color="auto" w:sz="4" w:space="0"/>
              <w:right w:val="single" w:color="auto" w:sz="4" w:space="0"/>
            </w:tcBorders>
            <w:vAlign w:val="center"/>
          </w:tcPr>
          <w:p w14:paraId="17776381">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411" w:type="pct"/>
            <w:tcBorders>
              <w:top w:val="nil"/>
              <w:left w:val="nil"/>
              <w:bottom w:val="single" w:color="auto" w:sz="4" w:space="0"/>
              <w:right w:val="single" w:color="auto" w:sz="4" w:space="0"/>
            </w:tcBorders>
            <w:vAlign w:val="center"/>
          </w:tcPr>
          <w:p w14:paraId="1D482BA8">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2BDEB75A">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现场运维作业发生安全生产事故的每次扣15分。</w:t>
            </w:r>
          </w:p>
        </w:tc>
        <w:tc>
          <w:tcPr>
            <w:tcW w:w="361" w:type="pct"/>
            <w:tcBorders>
              <w:top w:val="nil"/>
              <w:left w:val="nil"/>
              <w:bottom w:val="single" w:color="auto" w:sz="4" w:space="0"/>
              <w:right w:val="single" w:color="auto" w:sz="4" w:space="0"/>
            </w:tcBorders>
            <w:vAlign w:val="center"/>
          </w:tcPr>
          <w:p w14:paraId="79F6456A">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789A0575">
        <w:tblPrEx>
          <w:tblCellMar>
            <w:top w:w="0" w:type="dxa"/>
            <w:left w:w="108" w:type="dxa"/>
            <w:bottom w:w="0" w:type="dxa"/>
            <w:right w:w="108" w:type="dxa"/>
          </w:tblCellMar>
        </w:tblPrEx>
        <w:trPr>
          <w:trHeight w:val="360" w:hRule="atLeast"/>
          <w:jc w:val="center"/>
        </w:trPr>
        <w:tc>
          <w:tcPr>
            <w:tcW w:w="374" w:type="pct"/>
            <w:tcBorders>
              <w:top w:val="nil"/>
              <w:left w:val="single" w:color="auto" w:sz="4" w:space="0"/>
              <w:bottom w:val="single" w:color="auto" w:sz="4" w:space="0"/>
              <w:right w:val="single" w:color="auto" w:sz="4" w:space="0"/>
            </w:tcBorders>
            <w:vAlign w:val="center"/>
          </w:tcPr>
          <w:p w14:paraId="73135ABC">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794" w:type="pct"/>
            <w:tcBorders>
              <w:top w:val="nil"/>
              <w:left w:val="nil"/>
              <w:bottom w:val="single" w:color="auto" w:sz="4" w:space="0"/>
              <w:right w:val="single" w:color="auto" w:sz="4" w:space="0"/>
            </w:tcBorders>
            <w:vAlign w:val="center"/>
          </w:tcPr>
          <w:p w14:paraId="1E1AE527">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人为失误</w:t>
            </w:r>
          </w:p>
        </w:tc>
        <w:tc>
          <w:tcPr>
            <w:tcW w:w="999" w:type="pct"/>
            <w:tcBorders>
              <w:top w:val="nil"/>
              <w:left w:val="nil"/>
              <w:bottom w:val="single" w:color="auto" w:sz="4" w:space="0"/>
              <w:right w:val="single" w:color="auto" w:sz="4" w:space="0"/>
            </w:tcBorders>
            <w:vAlign w:val="center"/>
          </w:tcPr>
          <w:p w14:paraId="3F7077A4">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378" w:type="pct"/>
            <w:tcBorders>
              <w:top w:val="nil"/>
              <w:left w:val="nil"/>
              <w:bottom w:val="single" w:color="auto" w:sz="4" w:space="0"/>
              <w:right w:val="single" w:color="auto" w:sz="4" w:space="0"/>
            </w:tcBorders>
            <w:vAlign w:val="center"/>
          </w:tcPr>
          <w:p w14:paraId="282BBB4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3AFABE5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68C7377D">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由于服务人员操作失误，导致设备无法正常运行影响运维服务的，每次扣2—5分。</w:t>
            </w:r>
          </w:p>
        </w:tc>
        <w:tc>
          <w:tcPr>
            <w:tcW w:w="361" w:type="pct"/>
            <w:tcBorders>
              <w:top w:val="nil"/>
              <w:left w:val="nil"/>
              <w:bottom w:val="single" w:color="auto" w:sz="4" w:space="0"/>
              <w:right w:val="single" w:color="auto" w:sz="4" w:space="0"/>
            </w:tcBorders>
            <w:vAlign w:val="center"/>
          </w:tcPr>
          <w:p w14:paraId="7DB00CBA">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39F8D0EF">
        <w:tblPrEx>
          <w:tblCellMar>
            <w:top w:w="0" w:type="dxa"/>
            <w:left w:w="108" w:type="dxa"/>
            <w:bottom w:w="0" w:type="dxa"/>
            <w:right w:w="108" w:type="dxa"/>
          </w:tblCellMar>
        </w:tblPrEx>
        <w:trPr>
          <w:trHeight w:val="405" w:hRule="atLeast"/>
          <w:jc w:val="center"/>
        </w:trPr>
        <w:tc>
          <w:tcPr>
            <w:tcW w:w="374" w:type="pct"/>
            <w:tcBorders>
              <w:top w:val="nil"/>
              <w:left w:val="single" w:color="auto" w:sz="4" w:space="0"/>
              <w:bottom w:val="single" w:color="auto" w:sz="4" w:space="0"/>
              <w:right w:val="single" w:color="auto" w:sz="4" w:space="0"/>
            </w:tcBorders>
            <w:vAlign w:val="center"/>
          </w:tcPr>
          <w:p w14:paraId="7E5CCB71">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794" w:type="pct"/>
            <w:tcBorders>
              <w:top w:val="nil"/>
              <w:left w:val="nil"/>
              <w:bottom w:val="single" w:color="auto" w:sz="4" w:space="0"/>
              <w:right w:val="single" w:color="auto" w:sz="4" w:space="0"/>
            </w:tcBorders>
            <w:vAlign w:val="center"/>
          </w:tcPr>
          <w:p w14:paraId="2BA93A2A">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人员保障</w:t>
            </w:r>
          </w:p>
        </w:tc>
        <w:tc>
          <w:tcPr>
            <w:tcW w:w="999" w:type="pct"/>
            <w:tcBorders>
              <w:top w:val="nil"/>
              <w:left w:val="nil"/>
              <w:bottom w:val="single" w:color="auto" w:sz="4" w:space="0"/>
              <w:right w:val="single" w:color="auto" w:sz="4" w:space="0"/>
            </w:tcBorders>
            <w:vAlign w:val="center"/>
          </w:tcPr>
          <w:p w14:paraId="4EA3114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服务人员稳定性</w:t>
            </w:r>
          </w:p>
        </w:tc>
        <w:tc>
          <w:tcPr>
            <w:tcW w:w="378" w:type="pct"/>
            <w:tcBorders>
              <w:top w:val="nil"/>
              <w:left w:val="nil"/>
              <w:bottom w:val="single" w:color="auto" w:sz="4" w:space="0"/>
              <w:right w:val="single" w:color="auto" w:sz="4" w:space="0"/>
            </w:tcBorders>
            <w:vAlign w:val="center"/>
          </w:tcPr>
          <w:p w14:paraId="1FD43D3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11" w:type="pct"/>
            <w:tcBorders>
              <w:top w:val="nil"/>
              <w:left w:val="nil"/>
              <w:bottom w:val="single" w:color="auto" w:sz="4" w:space="0"/>
              <w:right w:val="single" w:color="auto" w:sz="4" w:space="0"/>
            </w:tcBorders>
            <w:vAlign w:val="center"/>
          </w:tcPr>
          <w:p w14:paraId="0B0EB31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1E581DFA">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服务人员在合同期内，除甲方主动要求更换服务人员外，中标人每更换1人扣1分。</w:t>
            </w:r>
          </w:p>
        </w:tc>
        <w:tc>
          <w:tcPr>
            <w:tcW w:w="361" w:type="pct"/>
            <w:tcBorders>
              <w:top w:val="nil"/>
              <w:left w:val="nil"/>
              <w:bottom w:val="single" w:color="auto" w:sz="4" w:space="0"/>
              <w:right w:val="single" w:color="auto" w:sz="4" w:space="0"/>
            </w:tcBorders>
            <w:vAlign w:val="center"/>
          </w:tcPr>
          <w:p w14:paraId="08B8C5DA">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1836361A">
        <w:tblPrEx>
          <w:tblCellMar>
            <w:top w:w="0" w:type="dxa"/>
            <w:left w:w="108" w:type="dxa"/>
            <w:bottom w:w="0" w:type="dxa"/>
            <w:right w:w="108" w:type="dxa"/>
          </w:tblCellMar>
        </w:tblPrEx>
        <w:trPr>
          <w:trHeight w:val="485"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2E8087B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三、信息安全保密工作（15分）</w:t>
            </w:r>
          </w:p>
        </w:tc>
      </w:tr>
      <w:tr w14:paraId="32A94386">
        <w:tblPrEx>
          <w:tblCellMar>
            <w:top w:w="0" w:type="dxa"/>
            <w:left w:w="108" w:type="dxa"/>
            <w:bottom w:w="0" w:type="dxa"/>
            <w:right w:w="108" w:type="dxa"/>
          </w:tblCellMar>
        </w:tblPrEx>
        <w:trPr>
          <w:trHeight w:val="1635" w:hRule="atLeast"/>
          <w:jc w:val="center"/>
        </w:trPr>
        <w:tc>
          <w:tcPr>
            <w:tcW w:w="374" w:type="pct"/>
            <w:vMerge w:val="restart"/>
            <w:tcBorders>
              <w:top w:val="nil"/>
              <w:left w:val="single" w:color="auto" w:sz="4" w:space="0"/>
              <w:bottom w:val="single" w:color="auto" w:sz="4" w:space="0"/>
              <w:right w:val="single" w:color="auto" w:sz="4" w:space="0"/>
            </w:tcBorders>
            <w:vAlign w:val="center"/>
          </w:tcPr>
          <w:p w14:paraId="225FF3A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94" w:type="pct"/>
            <w:vMerge w:val="restart"/>
            <w:tcBorders>
              <w:top w:val="nil"/>
              <w:left w:val="single" w:color="auto" w:sz="4" w:space="0"/>
              <w:bottom w:val="single" w:color="auto" w:sz="4" w:space="0"/>
              <w:right w:val="single" w:color="auto" w:sz="4" w:space="0"/>
            </w:tcBorders>
            <w:vAlign w:val="center"/>
          </w:tcPr>
          <w:p w14:paraId="49F6F429">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信息安全保密工作</w:t>
            </w:r>
          </w:p>
        </w:tc>
        <w:tc>
          <w:tcPr>
            <w:tcW w:w="999" w:type="pct"/>
            <w:vMerge w:val="restart"/>
            <w:tcBorders>
              <w:top w:val="nil"/>
              <w:left w:val="single" w:color="auto" w:sz="4" w:space="0"/>
              <w:bottom w:val="single" w:color="auto" w:sz="4" w:space="0"/>
              <w:right w:val="single" w:color="auto" w:sz="4" w:space="0"/>
            </w:tcBorders>
            <w:vAlign w:val="center"/>
          </w:tcPr>
          <w:p w14:paraId="14BC5A4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服务人员应有保密意识，不得泄露项目相关任何涉密信息或文件</w:t>
            </w:r>
          </w:p>
        </w:tc>
        <w:tc>
          <w:tcPr>
            <w:tcW w:w="378" w:type="pct"/>
            <w:vMerge w:val="restart"/>
            <w:tcBorders>
              <w:top w:val="nil"/>
              <w:left w:val="single" w:color="auto" w:sz="4" w:space="0"/>
              <w:bottom w:val="single" w:color="auto" w:sz="4" w:space="0"/>
              <w:right w:val="single" w:color="auto" w:sz="4" w:space="0"/>
            </w:tcBorders>
            <w:vAlign w:val="center"/>
          </w:tcPr>
          <w:p w14:paraId="51D349F7">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411" w:type="pct"/>
            <w:vMerge w:val="restart"/>
            <w:tcBorders>
              <w:top w:val="nil"/>
              <w:left w:val="single" w:color="auto" w:sz="4" w:space="0"/>
              <w:bottom w:val="single" w:color="auto" w:sz="4" w:space="0"/>
              <w:right w:val="single" w:color="auto" w:sz="4" w:space="0"/>
            </w:tcBorders>
            <w:vAlign w:val="center"/>
          </w:tcPr>
          <w:p w14:paraId="681EBC8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46232E9C">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服务人员未按规定签保密协议的，每人扣1分。服务人员未及时清理U盘或互联网电脑中存在可能会泄密的资料和数据的，每次扣1分。泄露任何信息或文件涉密情况的，每次扣5分。</w:t>
            </w:r>
          </w:p>
        </w:tc>
        <w:tc>
          <w:tcPr>
            <w:tcW w:w="361" w:type="pct"/>
            <w:vMerge w:val="restart"/>
            <w:tcBorders>
              <w:top w:val="nil"/>
              <w:left w:val="single" w:color="auto" w:sz="4" w:space="0"/>
              <w:bottom w:val="single" w:color="auto" w:sz="4" w:space="0"/>
              <w:right w:val="single" w:color="auto" w:sz="4" w:space="0"/>
            </w:tcBorders>
            <w:vAlign w:val="center"/>
          </w:tcPr>
          <w:p w14:paraId="5F2E47B5">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06B678C7">
        <w:tblPrEx>
          <w:tblCellMar>
            <w:top w:w="0" w:type="dxa"/>
            <w:left w:w="108" w:type="dxa"/>
            <w:bottom w:w="0" w:type="dxa"/>
            <w:right w:w="108" w:type="dxa"/>
          </w:tblCellMar>
        </w:tblPrEx>
        <w:trPr>
          <w:trHeight w:val="825" w:hRule="atLeast"/>
          <w:jc w:val="center"/>
        </w:trPr>
        <w:tc>
          <w:tcPr>
            <w:tcW w:w="374" w:type="pct"/>
            <w:vMerge w:val="continue"/>
            <w:tcBorders>
              <w:top w:val="nil"/>
              <w:left w:val="single" w:color="auto" w:sz="4" w:space="0"/>
              <w:bottom w:val="single" w:color="auto" w:sz="4" w:space="0"/>
              <w:right w:val="single" w:color="auto" w:sz="4" w:space="0"/>
            </w:tcBorders>
            <w:vAlign w:val="center"/>
          </w:tcPr>
          <w:p w14:paraId="24AA0D64">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794" w:type="pct"/>
            <w:vMerge w:val="continue"/>
            <w:tcBorders>
              <w:top w:val="nil"/>
              <w:left w:val="single" w:color="auto" w:sz="4" w:space="0"/>
              <w:bottom w:val="single" w:color="auto" w:sz="4" w:space="0"/>
              <w:right w:val="single" w:color="auto" w:sz="4" w:space="0"/>
            </w:tcBorders>
            <w:vAlign w:val="center"/>
          </w:tcPr>
          <w:p w14:paraId="19E7C15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999" w:type="pct"/>
            <w:vMerge w:val="continue"/>
            <w:tcBorders>
              <w:top w:val="nil"/>
              <w:left w:val="single" w:color="auto" w:sz="4" w:space="0"/>
              <w:bottom w:val="single" w:color="auto" w:sz="4" w:space="0"/>
              <w:right w:val="single" w:color="auto" w:sz="4" w:space="0"/>
            </w:tcBorders>
            <w:vAlign w:val="center"/>
          </w:tcPr>
          <w:p w14:paraId="59311B8C">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378" w:type="pct"/>
            <w:vMerge w:val="continue"/>
            <w:tcBorders>
              <w:top w:val="nil"/>
              <w:left w:val="single" w:color="auto" w:sz="4" w:space="0"/>
              <w:bottom w:val="single" w:color="auto" w:sz="4" w:space="0"/>
              <w:right w:val="single" w:color="auto" w:sz="4" w:space="0"/>
            </w:tcBorders>
            <w:vAlign w:val="center"/>
          </w:tcPr>
          <w:p w14:paraId="1CB8A03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11" w:type="pct"/>
            <w:vMerge w:val="continue"/>
            <w:tcBorders>
              <w:top w:val="nil"/>
              <w:left w:val="single" w:color="auto" w:sz="4" w:space="0"/>
              <w:bottom w:val="single" w:color="auto" w:sz="4" w:space="0"/>
              <w:right w:val="single" w:color="auto" w:sz="4" w:space="0"/>
            </w:tcBorders>
            <w:vAlign w:val="center"/>
          </w:tcPr>
          <w:p w14:paraId="3DACF19E">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1A3C901F">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如果因中标人人为原因造成所维护范围内的重要敏感数据外泄，不限于本项扣分上限，直接扣除合同金额的10%违约金。</w:t>
            </w:r>
          </w:p>
        </w:tc>
        <w:tc>
          <w:tcPr>
            <w:tcW w:w="361" w:type="pct"/>
            <w:vMerge w:val="continue"/>
            <w:tcBorders>
              <w:top w:val="nil"/>
              <w:left w:val="single" w:color="auto" w:sz="4" w:space="0"/>
              <w:bottom w:val="single" w:color="auto" w:sz="4" w:space="0"/>
              <w:right w:val="single" w:color="auto" w:sz="4" w:space="0"/>
            </w:tcBorders>
            <w:vAlign w:val="center"/>
          </w:tcPr>
          <w:p w14:paraId="2BCB6A5E">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3BD0CDD8">
        <w:tblPrEx>
          <w:tblCellMar>
            <w:top w:w="0" w:type="dxa"/>
            <w:left w:w="108" w:type="dxa"/>
            <w:bottom w:w="0" w:type="dxa"/>
            <w:right w:w="108" w:type="dxa"/>
          </w:tblCellMar>
        </w:tblPrEx>
        <w:trPr>
          <w:trHeight w:val="280" w:hRule="atLeast"/>
          <w:jc w:val="center"/>
        </w:trPr>
        <w:tc>
          <w:tcPr>
            <w:tcW w:w="2167" w:type="pct"/>
            <w:gridSpan w:val="3"/>
            <w:tcBorders>
              <w:top w:val="single" w:color="auto" w:sz="4" w:space="0"/>
              <w:left w:val="single" w:color="auto" w:sz="4" w:space="0"/>
              <w:bottom w:val="single" w:color="auto" w:sz="4" w:space="0"/>
              <w:right w:val="single" w:color="auto" w:sz="4" w:space="0"/>
            </w:tcBorders>
            <w:noWrap/>
            <w:vAlign w:val="center"/>
          </w:tcPr>
          <w:p w14:paraId="49F3053F">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78" w:type="pct"/>
            <w:tcBorders>
              <w:top w:val="nil"/>
              <w:left w:val="nil"/>
              <w:bottom w:val="single" w:color="auto" w:sz="4" w:space="0"/>
              <w:right w:val="single" w:color="auto" w:sz="4" w:space="0"/>
            </w:tcBorders>
            <w:vAlign w:val="center"/>
          </w:tcPr>
          <w:p w14:paraId="55BBBF18">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w:t>
            </w:r>
          </w:p>
        </w:tc>
        <w:tc>
          <w:tcPr>
            <w:tcW w:w="411" w:type="pct"/>
            <w:tcBorders>
              <w:top w:val="nil"/>
              <w:left w:val="nil"/>
              <w:bottom w:val="single" w:color="auto" w:sz="4" w:space="0"/>
              <w:right w:val="single" w:color="auto" w:sz="4" w:space="0"/>
            </w:tcBorders>
            <w:vAlign w:val="center"/>
          </w:tcPr>
          <w:p w14:paraId="2A8399B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167473E3">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361" w:type="pct"/>
            <w:tcBorders>
              <w:top w:val="nil"/>
              <w:left w:val="nil"/>
              <w:bottom w:val="single" w:color="auto" w:sz="4" w:space="0"/>
              <w:right w:val="single" w:color="auto" w:sz="4" w:space="0"/>
            </w:tcBorders>
            <w:vAlign w:val="center"/>
          </w:tcPr>
          <w:p w14:paraId="2094876D">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54FFD4BE">
        <w:tblPrEx>
          <w:tblCellMar>
            <w:top w:w="0" w:type="dxa"/>
            <w:left w:w="108" w:type="dxa"/>
            <w:bottom w:w="0" w:type="dxa"/>
            <w:right w:w="108" w:type="dxa"/>
          </w:tblCellMar>
        </w:tblPrEx>
        <w:trPr>
          <w:trHeight w:val="410" w:hRule="atLeast"/>
          <w:jc w:val="center"/>
        </w:trPr>
        <w:tc>
          <w:tcPr>
            <w:tcW w:w="2546" w:type="pct"/>
            <w:gridSpan w:val="4"/>
            <w:tcBorders>
              <w:top w:val="single" w:color="auto" w:sz="4" w:space="0"/>
              <w:left w:val="single" w:color="auto" w:sz="4" w:space="0"/>
              <w:bottom w:val="single" w:color="auto" w:sz="4" w:space="0"/>
              <w:right w:val="single" w:color="auto" w:sz="4" w:space="0"/>
            </w:tcBorders>
            <w:noWrap/>
            <w:vAlign w:val="center"/>
          </w:tcPr>
          <w:p w14:paraId="5EEB09A0">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考核总分：</w:t>
            </w:r>
          </w:p>
        </w:tc>
        <w:tc>
          <w:tcPr>
            <w:tcW w:w="2453" w:type="pct"/>
            <w:gridSpan w:val="3"/>
            <w:tcBorders>
              <w:top w:val="single" w:color="auto" w:sz="4" w:space="0"/>
              <w:left w:val="nil"/>
              <w:bottom w:val="single" w:color="auto" w:sz="4" w:space="0"/>
              <w:right w:val="single" w:color="auto" w:sz="4" w:space="0"/>
            </w:tcBorders>
            <w:vAlign w:val="center"/>
          </w:tcPr>
          <w:p w14:paraId="3315E9DF">
            <w:pPr>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color w:val="auto"/>
                <w:sz w:val="21"/>
                <w:szCs w:val="21"/>
                <w:highlight w:val="none"/>
              </w:rPr>
            </w:pPr>
          </w:p>
        </w:tc>
      </w:tr>
      <w:tr w14:paraId="4193F514">
        <w:tblPrEx>
          <w:tblCellMar>
            <w:top w:w="0" w:type="dxa"/>
            <w:left w:w="108" w:type="dxa"/>
            <w:bottom w:w="0" w:type="dxa"/>
            <w:right w:w="108" w:type="dxa"/>
          </w:tblCellMar>
        </w:tblPrEx>
        <w:trPr>
          <w:trHeight w:val="280" w:hRule="atLeast"/>
          <w:jc w:val="center"/>
        </w:trPr>
        <w:tc>
          <w:tcPr>
            <w:tcW w:w="2546" w:type="pct"/>
            <w:gridSpan w:val="4"/>
            <w:tcBorders>
              <w:top w:val="single" w:color="auto" w:sz="4" w:space="0"/>
              <w:left w:val="single" w:color="auto" w:sz="4" w:space="0"/>
              <w:bottom w:val="nil"/>
              <w:right w:val="nil"/>
            </w:tcBorders>
            <w:noWrap/>
            <w:vAlign w:val="center"/>
          </w:tcPr>
          <w:p w14:paraId="530B1175">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考核方盖章（甲方）：</w:t>
            </w:r>
          </w:p>
        </w:tc>
        <w:tc>
          <w:tcPr>
            <w:tcW w:w="2453" w:type="pct"/>
            <w:gridSpan w:val="3"/>
            <w:tcBorders>
              <w:top w:val="single" w:color="auto" w:sz="4" w:space="0"/>
              <w:left w:val="single" w:color="auto" w:sz="4" w:space="0"/>
              <w:bottom w:val="nil"/>
              <w:right w:val="single" w:color="000000" w:sz="4" w:space="0"/>
            </w:tcBorders>
            <w:noWrap/>
            <w:vAlign w:val="center"/>
          </w:tcPr>
          <w:p w14:paraId="4366212D">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乙方盖章：</w:t>
            </w:r>
          </w:p>
        </w:tc>
      </w:tr>
      <w:tr w14:paraId="385A55F6">
        <w:tblPrEx>
          <w:tblCellMar>
            <w:top w:w="0" w:type="dxa"/>
            <w:left w:w="108" w:type="dxa"/>
            <w:bottom w:w="0" w:type="dxa"/>
            <w:right w:w="108" w:type="dxa"/>
          </w:tblCellMar>
        </w:tblPrEx>
        <w:trPr>
          <w:trHeight w:val="280" w:hRule="atLeast"/>
          <w:jc w:val="center"/>
        </w:trPr>
        <w:tc>
          <w:tcPr>
            <w:tcW w:w="2546" w:type="pct"/>
            <w:gridSpan w:val="4"/>
            <w:tcBorders>
              <w:top w:val="nil"/>
              <w:left w:val="single" w:color="auto" w:sz="4" w:space="0"/>
              <w:bottom w:val="nil"/>
              <w:right w:val="nil"/>
            </w:tcBorders>
            <w:noWrap/>
            <w:vAlign w:val="center"/>
          </w:tcPr>
          <w:p w14:paraId="6A201B1C">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w:t>
            </w:r>
          </w:p>
        </w:tc>
        <w:tc>
          <w:tcPr>
            <w:tcW w:w="2453" w:type="pct"/>
            <w:gridSpan w:val="3"/>
            <w:tcBorders>
              <w:top w:val="nil"/>
              <w:left w:val="single" w:color="auto" w:sz="4" w:space="0"/>
              <w:bottom w:val="nil"/>
              <w:right w:val="single" w:color="000000" w:sz="4" w:space="0"/>
            </w:tcBorders>
            <w:noWrap/>
            <w:vAlign w:val="center"/>
          </w:tcPr>
          <w:p w14:paraId="0B4DB225">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w:t>
            </w:r>
          </w:p>
        </w:tc>
      </w:tr>
      <w:tr w14:paraId="5E694A84">
        <w:tblPrEx>
          <w:tblCellMar>
            <w:top w:w="0" w:type="dxa"/>
            <w:left w:w="108" w:type="dxa"/>
            <w:bottom w:w="0" w:type="dxa"/>
            <w:right w:w="108" w:type="dxa"/>
          </w:tblCellMar>
        </w:tblPrEx>
        <w:trPr>
          <w:trHeight w:val="280" w:hRule="atLeast"/>
          <w:jc w:val="center"/>
        </w:trPr>
        <w:tc>
          <w:tcPr>
            <w:tcW w:w="2546" w:type="pct"/>
            <w:gridSpan w:val="4"/>
            <w:tcBorders>
              <w:top w:val="nil"/>
              <w:left w:val="single" w:color="auto" w:sz="4" w:space="0"/>
              <w:bottom w:val="single" w:color="auto" w:sz="4" w:space="0"/>
              <w:right w:val="nil"/>
            </w:tcBorders>
            <w:noWrap/>
            <w:vAlign w:val="center"/>
          </w:tcPr>
          <w:p w14:paraId="16A49742">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c>
          <w:tcPr>
            <w:tcW w:w="2453" w:type="pct"/>
            <w:gridSpan w:val="3"/>
            <w:tcBorders>
              <w:top w:val="nil"/>
              <w:left w:val="single" w:color="auto" w:sz="4" w:space="0"/>
              <w:bottom w:val="single" w:color="auto" w:sz="4" w:space="0"/>
              <w:right w:val="single" w:color="000000" w:sz="4" w:space="0"/>
            </w:tcBorders>
            <w:noWrap/>
            <w:vAlign w:val="center"/>
          </w:tcPr>
          <w:p w14:paraId="0532FCE6">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r>
    </w:tbl>
    <w:p w14:paraId="4DDAFE0B">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每月15号前，采购人完成对中标人上一个月的服务质量考评。</w:t>
      </w:r>
    </w:p>
    <w:p w14:paraId="2599DABB">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3个月为一个服务周期，采购人会根据每个服务周期的《运维考核评分表》的分值进行服务费的支付：每期考核评分=3个月的考核评分之和/3（计算结果四舍五入，保留两位小数）；</w:t>
      </w:r>
    </w:p>
    <w:p w14:paraId="1A42E214">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每期考核评价得分≥95分的，采购人向中标人支付当期服务费的100%；</w:t>
      </w:r>
    </w:p>
    <w:p w14:paraId="2F3A2FA1">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95分＞每期考核评价得分≥85分，采购人向中标人支付当期服务费的95%；</w:t>
      </w:r>
    </w:p>
    <w:p w14:paraId="7A80333E">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85分＞每期考核评价得分≥70分，采购人向中标人支付当期服务费的90%；</w:t>
      </w:r>
    </w:p>
    <w:p w14:paraId="5740C4E4">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每期考核评价得分＜70分，采购人向中标人支付当期服务费的80%并下达《整改意见书》；</w:t>
      </w:r>
    </w:p>
    <w:p w14:paraId="60078430">
      <w:pPr>
        <w:keepNext w:val="0"/>
        <w:keepLines w:val="0"/>
        <w:pageBreakBefore w:val="0"/>
        <w:numPr>
          <w:ilvl w:val="0"/>
          <w:numId w:val="3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如服务期内连续2次每期考核评价得分＜70分的，采购人有权终止合同并不承担任何违约责任。</w:t>
      </w:r>
    </w:p>
    <w:p w14:paraId="6CCA40A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br w:type="page"/>
      </w:r>
    </w:p>
    <w:p w14:paraId="64C7C228">
      <w:pPr>
        <w:snapToGrid w:val="0"/>
        <w:jc w:val="left"/>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附件：</w:t>
      </w:r>
    </w:p>
    <w:p w14:paraId="37DBA7A7">
      <w:pPr>
        <w:keepNext w:val="0"/>
        <w:keepLines w:val="0"/>
        <w:pageBreakBefore w:val="0"/>
        <w:widowControl w:val="0"/>
        <w:kinsoku/>
        <w:wordWrap/>
        <w:overflowPunct/>
        <w:topLinePunct w:val="0"/>
        <w:autoSpaceDE/>
        <w:autoSpaceDN/>
        <w:bidi w:val="0"/>
        <w:adjustRightInd/>
        <w:snapToGrid w:val="0"/>
        <w:spacing w:before="437" w:beforeLines="100" w:after="437" w:afterLines="10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外场业务感知终端</w:t>
      </w:r>
      <w:r>
        <w:rPr>
          <w:rFonts w:hint="eastAsia" w:ascii="宋体" w:hAnsi="宋体" w:eastAsia="宋体" w:cs="宋体"/>
          <w:b/>
          <w:bCs/>
          <w:color w:val="auto"/>
          <w:sz w:val="21"/>
          <w:szCs w:val="21"/>
          <w:highlight w:val="none"/>
          <w:lang w:eastAsia="zh-CN"/>
        </w:rPr>
        <w:t>工作</w:t>
      </w:r>
      <w:r>
        <w:rPr>
          <w:rFonts w:hint="eastAsia" w:ascii="宋体" w:hAnsi="宋体" w:eastAsia="宋体" w:cs="宋体"/>
          <w:b/>
          <w:bCs/>
          <w:color w:val="auto"/>
          <w:sz w:val="21"/>
          <w:szCs w:val="21"/>
          <w:highlight w:val="none"/>
        </w:rPr>
        <w:t>记录表</w:t>
      </w:r>
    </w:p>
    <w:tbl>
      <w:tblPr>
        <w:tblStyle w:val="14"/>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696"/>
        <w:gridCol w:w="984"/>
        <w:gridCol w:w="6227"/>
      </w:tblGrid>
      <w:tr w14:paraId="5F708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2532" w:type="dxa"/>
            <w:gridSpan w:val="3"/>
            <w:noWrap w:val="0"/>
            <w:vAlign w:val="center"/>
          </w:tcPr>
          <w:p w14:paraId="06B95BD8">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年</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月</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日</w:t>
            </w:r>
          </w:p>
        </w:tc>
        <w:tc>
          <w:tcPr>
            <w:tcW w:w="6227" w:type="dxa"/>
            <w:noWrap w:val="0"/>
            <w:vAlign w:val="center"/>
          </w:tcPr>
          <w:p w14:paraId="007324A9">
            <w:pPr>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天气：</w:t>
            </w:r>
          </w:p>
        </w:tc>
      </w:tr>
      <w:tr w14:paraId="0BDCE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3" w:hRule="atLeast"/>
        </w:trPr>
        <w:tc>
          <w:tcPr>
            <w:tcW w:w="852" w:type="dxa"/>
            <w:vMerge w:val="restart"/>
            <w:noWrap w:val="0"/>
            <w:vAlign w:val="center"/>
          </w:tcPr>
          <w:p w14:paraId="081A1551">
            <w:pPr>
              <w:widowControl/>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记事</w:t>
            </w:r>
          </w:p>
        </w:tc>
        <w:tc>
          <w:tcPr>
            <w:tcW w:w="7907" w:type="dxa"/>
            <w:gridSpan w:val="3"/>
            <w:noWrap w:val="0"/>
            <w:vAlign w:val="top"/>
          </w:tcPr>
          <w:p w14:paraId="5C39CE03">
            <w:pPr>
              <w:widowControl/>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数据观测、分析情况：</w:t>
            </w:r>
          </w:p>
          <w:p w14:paraId="638A7DDC">
            <w:pPr>
              <w:snapToGrid w:val="0"/>
              <w:jc w:val="left"/>
              <w:rPr>
                <w:rFonts w:hint="eastAsia" w:ascii="宋体" w:hAnsi="宋体" w:eastAsia="宋体" w:cs="宋体"/>
                <w:b/>
                <w:bCs/>
                <w:color w:val="auto"/>
                <w:sz w:val="21"/>
                <w:szCs w:val="21"/>
                <w:highlight w:val="none"/>
                <w:lang w:val="en-US" w:eastAsia="zh-CN"/>
              </w:rPr>
            </w:pPr>
          </w:p>
          <w:p w14:paraId="73654823">
            <w:pPr>
              <w:snapToGrid w:val="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08</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30观测</w:t>
            </w:r>
            <w:r>
              <w:rPr>
                <w:rFonts w:hint="eastAsia" w:ascii="宋体" w:hAnsi="宋体" w:eastAsia="宋体" w:cs="宋体"/>
                <w:b/>
                <w:bCs/>
                <w:color w:val="auto"/>
                <w:sz w:val="21"/>
                <w:szCs w:val="21"/>
                <w:highlight w:val="none"/>
                <w:lang w:eastAsia="zh-CN"/>
              </w:rPr>
              <w:t>情况</w:t>
            </w:r>
            <w:r>
              <w:rPr>
                <w:rFonts w:hint="eastAsia" w:ascii="宋体" w:hAnsi="宋体" w:eastAsia="宋体" w:cs="宋体"/>
                <w:b/>
                <w:bCs/>
                <w:color w:val="auto"/>
                <w:sz w:val="21"/>
                <w:szCs w:val="21"/>
                <w:highlight w:val="none"/>
              </w:rPr>
              <w:t>：</w:t>
            </w:r>
          </w:p>
          <w:p w14:paraId="653E998C">
            <w:pPr>
              <w:snapToGrid w:val="0"/>
              <w:jc w:val="left"/>
              <w:rPr>
                <w:rFonts w:hint="eastAsia" w:ascii="宋体" w:hAnsi="宋体" w:eastAsia="宋体" w:cs="宋体"/>
                <w:b/>
                <w:bCs/>
                <w:color w:val="auto"/>
                <w:sz w:val="21"/>
                <w:szCs w:val="21"/>
                <w:highlight w:val="none"/>
              </w:rPr>
            </w:pPr>
          </w:p>
          <w:p w14:paraId="7D8463EC">
            <w:pPr>
              <w:snapToGrid w:val="0"/>
              <w:jc w:val="left"/>
              <w:rPr>
                <w:rFonts w:hint="eastAsia" w:ascii="宋体" w:hAnsi="宋体" w:eastAsia="宋体" w:cs="宋体"/>
                <w:b/>
                <w:bCs/>
                <w:color w:val="auto"/>
                <w:sz w:val="21"/>
                <w:szCs w:val="21"/>
                <w:highlight w:val="none"/>
              </w:rPr>
            </w:pPr>
          </w:p>
          <w:p w14:paraId="2C166FB0">
            <w:pPr>
              <w:snapToGrid w:val="0"/>
              <w:jc w:val="left"/>
              <w:rPr>
                <w:rFonts w:hint="eastAsia" w:ascii="宋体" w:hAnsi="宋体" w:eastAsia="宋体" w:cs="宋体"/>
                <w:b/>
                <w:bCs/>
                <w:color w:val="auto"/>
                <w:sz w:val="21"/>
                <w:szCs w:val="21"/>
                <w:highlight w:val="none"/>
              </w:rPr>
            </w:pPr>
          </w:p>
          <w:p w14:paraId="5DD37498">
            <w:pPr>
              <w:snapToGrid w:val="0"/>
              <w:jc w:val="left"/>
              <w:rPr>
                <w:rFonts w:hint="eastAsia" w:ascii="宋体" w:hAnsi="宋体" w:eastAsia="宋体" w:cs="宋体"/>
                <w:b/>
                <w:bCs/>
                <w:color w:val="auto"/>
                <w:sz w:val="21"/>
                <w:szCs w:val="21"/>
                <w:highlight w:val="none"/>
                <w:lang w:val="en-US" w:eastAsia="zh-CN"/>
              </w:rPr>
            </w:pPr>
          </w:p>
          <w:p w14:paraId="5422F84F">
            <w:pPr>
              <w:snapToGrid w:val="0"/>
              <w:jc w:val="left"/>
              <w:rPr>
                <w:rFonts w:hint="eastAsia" w:ascii="宋体" w:hAnsi="宋体" w:eastAsia="宋体" w:cs="宋体"/>
                <w:b/>
                <w:bCs/>
                <w:color w:val="auto"/>
                <w:sz w:val="21"/>
                <w:szCs w:val="21"/>
                <w:highlight w:val="none"/>
                <w:lang w:val="en-US" w:eastAsia="zh-CN"/>
              </w:rPr>
            </w:pPr>
          </w:p>
          <w:p w14:paraId="0D67ADFC">
            <w:pPr>
              <w:snapToGrid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30观测</w:t>
            </w:r>
            <w:r>
              <w:rPr>
                <w:rFonts w:hint="eastAsia" w:ascii="宋体" w:hAnsi="宋体" w:eastAsia="宋体" w:cs="宋体"/>
                <w:b/>
                <w:bCs/>
                <w:color w:val="auto"/>
                <w:sz w:val="21"/>
                <w:szCs w:val="21"/>
                <w:highlight w:val="none"/>
                <w:lang w:eastAsia="zh-CN"/>
              </w:rPr>
              <w:t>情况</w:t>
            </w:r>
            <w:r>
              <w:rPr>
                <w:rFonts w:hint="eastAsia" w:ascii="宋体" w:hAnsi="宋体" w:eastAsia="宋体" w:cs="宋体"/>
                <w:b/>
                <w:bCs/>
                <w:color w:val="auto"/>
                <w:sz w:val="21"/>
                <w:szCs w:val="21"/>
                <w:highlight w:val="none"/>
              </w:rPr>
              <w:t>：</w:t>
            </w:r>
          </w:p>
        </w:tc>
      </w:tr>
      <w:tr w14:paraId="2A035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852" w:type="dxa"/>
            <w:vMerge w:val="continue"/>
            <w:noWrap w:val="0"/>
            <w:vAlign w:val="top"/>
          </w:tcPr>
          <w:p w14:paraId="59BBE28B">
            <w:pPr>
              <w:widowControl/>
              <w:jc w:val="left"/>
              <w:textAlignment w:val="bottom"/>
              <w:rPr>
                <w:rFonts w:hint="eastAsia" w:ascii="宋体" w:hAnsi="宋体" w:eastAsia="宋体" w:cs="宋体"/>
                <w:color w:val="auto"/>
                <w:sz w:val="21"/>
                <w:szCs w:val="21"/>
                <w:highlight w:val="none"/>
              </w:rPr>
            </w:pPr>
          </w:p>
        </w:tc>
        <w:tc>
          <w:tcPr>
            <w:tcW w:w="7907" w:type="dxa"/>
            <w:gridSpan w:val="3"/>
            <w:noWrap w:val="0"/>
            <w:vAlign w:val="top"/>
          </w:tcPr>
          <w:p w14:paraId="42657A4C">
            <w:pPr>
              <w:widowControl/>
              <w:jc w:val="left"/>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终端报警信息处置情况：</w:t>
            </w:r>
          </w:p>
        </w:tc>
      </w:tr>
      <w:tr w14:paraId="31FA0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exact"/>
        </w:trPr>
        <w:tc>
          <w:tcPr>
            <w:tcW w:w="852" w:type="dxa"/>
            <w:vMerge w:val="continue"/>
            <w:noWrap w:val="0"/>
            <w:vAlign w:val="top"/>
          </w:tcPr>
          <w:p w14:paraId="05D68170">
            <w:pPr>
              <w:rPr>
                <w:rFonts w:hint="eastAsia" w:ascii="宋体" w:hAnsi="宋体" w:eastAsia="宋体" w:cs="宋体"/>
                <w:color w:val="auto"/>
                <w:sz w:val="21"/>
                <w:szCs w:val="21"/>
                <w:highlight w:val="none"/>
              </w:rPr>
            </w:pPr>
          </w:p>
        </w:tc>
        <w:tc>
          <w:tcPr>
            <w:tcW w:w="7907" w:type="dxa"/>
            <w:gridSpan w:val="3"/>
            <w:noWrap w:val="0"/>
            <w:vAlign w:val="top"/>
          </w:tcPr>
          <w:p w14:paraId="2DCBA27F">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异常终端现场处置</w:t>
            </w:r>
            <w:r>
              <w:rPr>
                <w:rFonts w:hint="eastAsia" w:ascii="宋体" w:hAnsi="宋体" w:eastAsia="宋体" w:cs="宋体"/>
                <w:color w:val="auto"/>
                <w:sz w:val="21"/>
                <w:szCs w:val="21"/>
                <w:highlight w:val="none"/>
              </w:rPr>
              <w:t>情况：</w:t>
            </w:r>
          </w:p>
        </w:tc>
      </w:tr>
      <w:tr w14:paraId="4C254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exact"/>
        </w:trPr>
        <w:tc>
          <w:tcPr>
            <w:tcW w:w="852" w:type="dxa"/>
            <w:vMerge w:val="continue"/>
            <w:noWrap w:val="0"/>
            <w:vAlign w:val="top"/>
          </w:tcPr>
          <w:p w14:paraId="6A830D2E">
            <w:pPr>
              <w:rPr>
                <w:rFonts w:hint="eastAsia" w:ascii="宋体" w:hAnsi="宋体" w:eastAsia="宋体" w:cs="宋体"/>
                <w:color w:val="auto"/>
                <w:sz w:val="21"/>
                <w:szCs w:val="21"/>
                <w:highlight w:val="none"/>
              </w:rPr>
            </w:pPr>
          </w:p>
        </w:tc>
        <w:tc>
          <w:tcPr>
            <w:tcW w:w="7907" w:type="dxa"/>
            <w:gridSpan w:val="3"/>
            <w:noWrap w:val="0"/>
            <w:vAlign w:val="top"/>
          </w:tcPr>
          <w:p w14:paraId="36F53D47">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其他工作：</w:t>
            </w:r>
          </w:p>
        </w:tc>
      </w:tr>
      <w:tr w14:paraId="71C6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8" w:type="dxa"/>
            <w:gridSpan w:val="2"/>
            <w:noWrap w:val="0"/>
            <w:vAlign w:val="center"/>
          </w:tcPr>
          <w:p w14:paraId="2B6B85A8">
            <w:pPr>
              <w:jc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eastAsia="zh-CN"/>
              </w:rPr>
              <w:t>记录人</w:t>
            </w:r>
          </w:p>
        </w:tc>
        <w:tc>
          <w:tcPr>
            <w:tcW w:w="7211" w:type="dxa"/>
            <w:gridSpan w:val="2"/>
            <w:noWrap w:val="0"/>
            <w:vAlign w:val="center"/>
          </w:tcPr>
          <w:p w14:paraId="5B5AB2A9">
            <w:pPr>
              <w:rPr>
                <w:rFonts w:hint="eastAsia" w:ascii="宋体" w:hAnsi="宋体" w:eastAsia="宋体" w:cs="宋体"/>
                <w:color w:val="auto"/>
                <w:sz w:val="21"/>
                <w:szCs w:val="21"/>
                <w:highlight w:val="none"/>
                <w:lang w:val="en-US" w:eastAsia="zh-CN"/>
              </w:rPr>
            </w:pPr>
          </w:p>
        </w:tc>
      </w:tr>
    </w:tbl>
    <w:p w14:paraId="360FA6D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p>
    <w:p w14:paraId="23532939">
      <w:pPr>
        <w:pStyle w:val="26"/>
        <w:numPr>
          <w:ilvl w:val="0"/>
          <w:numId w:val="0"/>
        </w:numPr>
        <w:snapToGrid w:val="0"/>
        <w:spacing w:line="360" w:lineRule="auto"/>
        <w:ind w:leftChars="0"/>
        <w:contextualSpacing/>
        <w:rPr>
          <w:rFonts w:hint="eastAsia" w:ascii="宋体" w:hAnsi="宋体" w:eastAsia="宋体" w:cs="宋体"/>
          <w:color w:val="auto"/>
          <w:sz w:val="21"/>
          <w:szCs w:val="21"/>
          <w:highlight w:val="none"/>
          <w:lang w:val="en-US" w:eastAsia="zh-CN"/>
        </w:rPr>
      </w:pPr>
    </w:p>
    <w:bookmarkEnd w:id="3"/>
    <w:bookmarkEnd w:id="6"/>
    <w:bookmarkEnd w:id="7"/>
    <w:p w14:paraId="7CBBE17B">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8" w:name="_Toc169799780"/>
      <w:bookmarkStart w:id="9" w:name="_Toc3394"/>
      <w:r>
        <w:rPr>
          <w:rFonts w:ascii="Calibri" w:hAnsi="Calibri" w:eastAsia="宋体" w:cs="Times New Roman"/>
          <w:b/>
          <w:color w:val="auto"/>
          <w:kern w:val="0"/>
          <w:sz w:val="36"/>
          <w:szCs w:val="20"/>
          <w:highlight w:val="none"/>
          <w:lang w:eastAsia="zh-Hans"/>
        </w:rPr>
        <w:t>第三章 投标人须知</w:t>
      </w:r>
      <w:bookmarkEnd w:id="8"/>
      <w:bookmarkEnd w:id="9"/>
    </w:p>
    <w:p w14:paraId="23ABE3A1">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21C1DD8A">
      <w:pPr>
        <w:pStyle w:val="26"/>
        <w:widowControl/>
        <w:numPr>
          <w:ilvl w:val="0"/>
          <w:numId w:val="35"/>
        </w:numPr>
        <w:tabs>
          <w:tab w:val="left" w:pos="426"/>
          <w:tab w:val="left" w:pos="709"/>
          <w:tab w:val="left" w:pos="1418"/>
        </w:tabs>
        <w:ind w:hanging="2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75583759">
      <w:pPr>
        <w:pStyle w:val="26"/>
        <w:widowControl/>
        <w:numPr>
          <w:ilvl w:val="0"/>
          <w:numId w:val="36"/>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5EA10779">
      <w:pPr>
        <w:pStyle w:val="26"/>
        <w:widowControl/>
        <w:numPr>
          <w:ilvl w:val="0"/>
          <w:numId w:val="36"/>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3CF1CDA1">
      <w:pPr>
        <w:pStyle w:val="26"/>
        <w:widowControl/>
        <w:numPr>
          <w:ilvl w:val="0"/>
          <w:numId w:val="36"/>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34043D83">
      <w:pPr>
        <w:pStyle w:val="26"/>
        <w:widowControl/>
        <w:numPr>
          <w:ilvl w:val="0"/>
          <w:numId w:val="36"/>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是指根据《中华人民共和国政府采购法》等法律法规规定，由采购人代表和有关专家组成以确定中标供应商或者推荐中标候选人的临时组织。</w:t>
      </w:r>
    </w:p>
    <w:p w14:paraId="30272049">
      <w:pPr>
        <w:pStyle w:val="26"/>
        <w:widowControl/>
        <w:numPr>
          <w:ilvl w:val="0"/>
          <w:numId w:val="36"/>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4C71B2CC">
      <w:pPr>
        <w:pStyle w:val="26"/>
        <w:widowControl/>
        <w:numPr>
          <w:ilvl w:val="0"/>
          <w:numId w:val="36"/>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66C95BF4">
      <w:pPr>
        <w:pStyle w:val="26"/>
        <w:widowControl/>
        <w:numPr>
          <w:ilvl w:val="0"/>
          <w:numId w:val="35"/>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3FCE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2786C177">
            <w:pPr>
              <w:widowControl/>
              <w:jc w:val="left"/>
              <w:rPr>
                <w:rFonts w:hint="eastAsia" w:ascii="宋体" w:hAnsi="宋体" w:eastAsia="宋体" w:cs="Times New Roman"/>
                <w:color w:val="auto"/>
                <w:kern w:val="0"/>
                <w:szCs w:val="21"/>
                <w:highlight w:val="none"/>
                <w:lang w:eastAsia="zh-Hans"/>
              </w:rPr>
            </w:pPr>
            <w:bookmarkStart w:id="10"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22CF5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D55ABC7">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5DF444D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762A9A4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06D00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47C1ADB">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1B9CB92E">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06C01B78">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w:t>
            </w:r>
          </w:p>
        </w:tc>
      </w:tr>
      <w:tr w14:paraId="1D320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4CC80F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219D5398">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03FED17E">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财政性资金</w:t>
            </w:r>
          </w:p>
        </w:tc>
      </w:tr>
      <w:tr w14:paraId="52C16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87A400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1744B9D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0F314F3B">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75976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A32C14A">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5E30B1C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68A41B2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7F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1E8B83F">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24F170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5E0B0C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1B97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938DB8">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6A42BC2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780C5D7E">
            <w:pPr>
              <w:widowControl/>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本项目不收取</w:t>
            </w:r>
            <w:r>
              <w:rPr>
                <w:rFonts w:ascii="宋体" w:hAnsi="宋体" w:eastAsia="宋体" w:cs="Times New Roman"/>
                <w:color w:val="auto"/>
                <w:kern w:val="0"/>
                <w:szCs w:val="21"/>
                <w:highlight w:val="none"/>
                <w:lang w:eastAsia="zh-Hans"/>
              </w:rPr>
              <w:t>投标保证金</w:t>
            </w:r>
            <w:r>
              <w:rPr>
                <w:rFonts w:hint="eastAsia" w:ascii="宋体" w:hAnsi="宋体" w:eastAsia="宋体" w:cs="Times New Roman"/>
                <w:color w:val="auto"/>
                <w:kern w:val="0"/>
                <w:szCs w:val="21"/>
                <w:highlight w:val="none"/>
                <w:lang w:eastAsia="zh-CN"/>
              </w:rPr>
              <w:t>。</w:t>
            </w:r>
          </w:p>
        </w:tc>
      </w:tr>
      <w:tr w14:paraId="503AB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BE4EF5">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5A95EB0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5E4AA14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0A89E0F0">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6FB6B23C">
            <w:pPr>
              <w:widowControl/>
              <w:jc w:val="left"/>
              <w:rPr>
                <w:rFonts w:hint="eastAsia"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2CD04FAD">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11865152">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2C816305">
            <w:pPr>
              <w:widowControl/>
              <w:jc w:val="left"/>
              <w:rPr>
                <w:rFonts w:hint="eastAsia"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1BA8F7FC">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7A06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0E0D55D">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7796E6E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46F3B584">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172F4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287C021">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24D162E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013D92D4">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6111F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1C84199">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361D7E6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49B422CB">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0EE90B05">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3B7DE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9A59EC9">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D3D0DF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70308C36">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C39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98168EA">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2A70D3F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40BE6C19">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收取。采购机构代理服务收费标准：以中标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7A5D1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8FD6BA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1818AB1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34753BD6">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675E5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Align w:val="center"/>
          </w:tcPr>
          <w:p w14:paraId="353B3F7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4B856828">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046CB2D4">
            <w:pPr>
              <w:rPr>
                <w:rFonts w:hint="default" w:ascii="宋体" w:hAnsi="宋体" w:eastAsia="宋体" w:cs="Times New Roman"/>
                <w:color w:val="auto"/>
                <w:kern w:val="0"/>
                <w:szCs w:val="21"/>
                <w:highlight w:val="none"/>
                <w:lang w:val="en-US" w:eastAsia="zh-CN"/>
              </w:rPr>
            </w:pPr>
            <w:r>
              <w:rPr>
                <w:rFonts w:hint="eastAsia" w:ascii="宋体" w:hAnsi="宋体" w:eastAsia="宋体"/>
                <w:color w:val="auto"/>
                <w:szCs w:val="21"/>
                <w:highlight w:val="none"/>
                <w:lang w:val="en-US" w:eastAsia="zh-CN"/>
              </w:rPr>
              <w:t>本项目不收取履约担保</w:t>
            </w:r>
          </w:p>
        </w:tc>
      </w:tr>
      <w:bookmarkEnd w:id="10"/>
    </w:tbl>
    <w:p w14:paraId="5512D7E2">
      <w:pPr>
        <w:pStyle w:val="26"/>
        <w:keepLines/>
        <w:numPr>
          <w:ilvl w:val="0"/>
          <w:numId w:val="35"/>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3EB943">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625BBB52">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3E2F8A70">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30726255">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2289219B">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7D7D70E">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1A4E5697">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6BF94CC6">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058BD0C8">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1FD42EBF">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78B31E3E">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A9CD6BC">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05B4D4BE">
      <w:pPr>
        <w:pStyle w:val="26"/>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657AECB9">
      <w:pPr>
        <w:pStyle w:val="26"/>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6AEA8F81">
      <w:pPr>
        <w:pStyle w:val="26"/>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64C59173">
      <w:pPr>
        <w:pStyle w:val="26"/>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035C4003">
      <w:pPr>
        <w:pStyle w:val="26"/>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68F7709E">
      <w:pPr>
        <w:pStyle w:val="26"/>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1FB77AD8">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A142451">
      <w:pPr>
        <w:pStyle w:val="26"/>
        <w:widowControl/>
        <w:numPr>
          <w:ilvl w:val="0"/>
          <w:numId w:val="3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4720EC4B">
      <w:pPr>
        <w:pStyle w:val="26"/>
        <w:widowControl/>
        <w:numPr>
          <w:ilvl w:val="0"/>
          <w:numId w:val="3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0812D4F2">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405EE657">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7418F687">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6C68D888">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6653791">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58DAC6B">
      <w:pPr>
        <w:pStyle w:val="26"/>
        <w:widowControl/>
        <w:numPr>
          <w:ilvl w:val="0"/>
          <w:numId w:val="4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75C2907">
      <w:pPr>
        <w:pStyle w:val="26"/>
        <w:widowControl/>
        <w:numPr>
          <w:ilvl w:val="0"/>
          <w:numId w:val="4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16CBEC62">
      <w:pPr>
        <w:pStyle w:val="26"/>
        <w:widowControl/>
        <w:numPr>
          <w:ilvl w:val="3"/>
          <w:numId w:val="3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1316371">
      <w:pPr>
        <w:pStyle w:val="26"/>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5FBD2B1F">
      <w:pPr>
        <w:pStyle w:val="26"/>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794F6DC8">
      <w:pPr>
        <w:pStyle w:val="26"/>
        <w:widowControl/>
        <w:numPr>
          <w:ilvl w:val="0"/>
          <w:numId w:val="4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69BF14E0">
      <w:pPr>
        <w:pStyle w:val="26"/>
        <w:widowControl/>
        <w:numPr>
          <w:ilvl w:val="3"/>
          <w:numId w:val="37"/>
        </w:numPr>
        <w:ind w:left="284" w:hanging="284"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2B1FC081">
      <w:pPr>
        <w:pStyle w:val="26"/>
        <w:widowControl/>
        <w:numPr>
          <w:ilvl w:val="0"/>
          <w:numId w:val="4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11A674E">
      <w:pPr>
        <w:pStyle w:val="26"/>
        <w:widowControl/>
        <w:numPr>
          <w:ilvl w:val="0"/>
          <w:numId w:val="4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4628A6A2">
      <w:pPr>
        <w:pStyle w:val="26"/>
        <w:widowControl/>
        <w:numPr>
          <w:ilvl w:val="0"/>
          <w:numId w:val="4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40DA474B">
      <w:pPr>
        <w:pStyle w:val="26"/>
        <w:widowControl/>
        <w:numPr>
          <w:ilvl w:val="0"/>
          <w:numId w:val="35"/>
        </w:numPr>
        <w:spacing w:before="217" w:beforeLines="50"/>
        <w:ind w:left="442" w:hanging="442"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5D09B729">
      <w:pPr>
        <w:pStyle w:val="26"/>
        <w:widowControl/>
        <w:numPr>
          <w:ilvl w:val="0"/>
          <w:numId w:val="43"/>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5EF77C34">
      <w:pPr>
        <w:pStyle w:val="26"/>
        <w:widowControl/>
        <w:numPr>
          <w:ilvl w:val="0"/>
          <w:numId w:val="43"/>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5BCBC14D">
      <w:pPr>
        <w:pStyle w:val="26"/>
        <w:widowControl/>
        <w:numPr>
          <w:ilvl w:val="0"/>
          <w:numId w:val="43"/>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6AEF8298">
      <w:pPr>
        <w:pStyle w:val="26"/>
        <w:widowControl/>
        <w:numPr>
          <w:ilvl w:val="0"/>
          <w:numId w:val="35"/>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54A3F624">
      <w:pPr>
        <w:pStyle w:val="26"/>
        <w:widowControl/>
        <w:numPr>
          <w:ilvl w:val="0"/>
          <w:numId w:val="44"/>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6BDD6221">
      <w:pPr>
        <w:pStyle w:val="26"/>
        <w:widowControl/>
        <w:numPr>
          <w:ilvl w:val="0"/>
          <w:numId w:val="45"/>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4F73E4BF">
      <w:pPr>
        <w:pStyle w:val="26"/>
        <w:widowControl/>
        <w:numPr>
          <w:ilvl w:val="0"/>
          <w:numId w:val="45"/>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21D7741A">
      <w:pPr>
        <w:pStyle w:val="26"/>
        <w:widowControl/>
        <w:numPr>
          <w:ilvl w:val="0"/>
          <w:numId w:val="45"/>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605616C3">
      <w:pPr>
        <w:pStyle w:val="26"/>
        <w:widowControl/>
        <w:numPr>
          <w:ilvl w:val="0"/>
          <w:numId w:val="45"/>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26EEBF54">
      <w:pPr>
        <w:pStyle w:val="26"/>
        <w:widowControl/>
        <w:numPr>
          <w:ilvl w:val="0"/>
          <w:numId w:val="45"/>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025376E4">
      <w:pPr>
        <w:pStyle w:val="26"/>
        <w:widowControl/>
        <w:numPr>
          <w:ilvl w:val="0"/>
          <w:numId w:val="45"/>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040B1539">
      <w:pPr>
        <w:pStyle w:val="26"/>
        <w:widowControl/>
        <w:numPr>
          <w:ilvl w:val="0"/>
          <w:numId w:val="45"/>
        </w:numPr>
        <w:tabs>
          <w:tab w:val="left" w:pos="709"/>
        </w:tabs>
        <w:ind w:left="567" w:hanging="567" w:firstLineChars="0"/>
        <w:jc w:val="left"/>
        <w:rPr>
          <w:rFonts w:hint="eastAsia"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val="en-US" w:eastAsia="zh-CN"/>
        </w:rPr>
        <w:t>采购人相关</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361C2BF5">
      <w:pPr>
        <w:pStyle w:val="26"/>
        <w:widowControl/>
        <w:numPr>
          <w:ilvl w:val="0"/>
          <w:numId w:val="44"/>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A2F3FFF">
      <w:pPr>
        <w:pStyle w:val="26"/>
        <w:widowControl/>
        <w:numPr>
          <w:ilvl w:val="0"/>
          <w:numId w:val="46"/>
        </w:numPr>
        <w:ind w:firstLineChars="0"/>
        <w:jc w:val="left"/>
        <w:outlineLvl w:val="3"/>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详见须知前附表</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1514CF4E">
      <w:pPr>
        <w:pStyle w:val="26"/>
        <w:widowControl/>
        <w:numPr>
          <w:ilvl w:val="0"/>
          <w:numId w:val="46"/>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4B29EEC">
      <w:pPr>
        <w:pStyle w:val="26"/>
        <w:widowControl/>
        <w:numPr>
          <w:ilvl w:val="0"/>
          <w:numId w:val="47"/>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138CB8F2">
      <w:pPr>
        <w:pStyle w:val="26"/>
        <w:widowControl/>
        <w:numPr>
          <w:ilvl w:val="0"/>
          <w:numId w:val="47"/>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7540EDE2">
      <w:pPr>
        <w:pStyle w:val="26"/>
        <w:widowControl/>
        <w:numPr>
          <w:ilvl w:val="0"/>
          <w:numId w:val="46"/>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0D8A98BD">
      <w:pPr>
        <w:widowControl/>
        <w:jc w:val="left"/>
        <w:outlineLvl w:val="3"/>
        <w:rPr>
          <w:rFonts w:ascii="Calibri" w:hAnsi="Calibri" w:eastAsia="宋体" w:cs="Times New Roman"/>
          <w:color w:val="auto"/>
          <w:kern w:val="0"/>
          <w:szCs w:val="21"/>
          <w:highlight w:val="none"/>
        </w:rPr>
      </w:pPr>
    </w:p>
    <w:p w14:paraId="513827E5">
      <w:pPr>
        <w:pStyle w:val="26"/>
        <w:widowControl/>
        <w:numPr>
          <w:ilvl w:val="0"/>
          <w:numId w:val="44"/>
        </w:numPr>
        <w:ind w:left="284" w:hanging="284" w:firstLineChars="0"/>
        <w:jc w:val="left"/>
        <w:outlineLvl w:val="3"/>
        <w:rPr>
          <w:rFonts w:hint="eastAsia"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4A827C8C">
      <w:pPr>
        <w:pStyle w:val="26"/>
        <w:numPr>
          <w:ilvl w:val="0"/>
          <w:numId w:val="48"/>
        </w:numPr>
        <w:ind w:firstLineChars="0"/>
        <w:rPr>
          <w:rFonts w:hint="eastAsia" w:ascii="宋体" w:hAnsi="宋体" w:eastAsia="宋体"/>
          <w:b/>
          <w:color w:val="auto"/>
          <w:szCs w:val="21"/>
          <w:highlight w:val="none"/>
        </w:rPr>
      </w:pPr>
      <w:bookmarkStart w:id="11" w:name="_Toc357676131"/>
      <w:r>
        <w:rPr>
          <w:rFonts w:hint="eastAsia" w:ascii="宋体" w:hAnsi="宋体" w:eastAsia="宋体"/>
          <w:b/>
          <w:color w:val="auto"/>
          <w:szCs w:val="21"/>
          <w:highlight w:val="none"/>
        </w:rPr>
        <w:t>投标文件的装订、密封和标记</w:t>
      </w:r>
      <w:bookmarkEnd w:id="11"/>
    </w:p>
    <w:p w14:paraId="49012C6D">
      <w:pPr>
        <w:pStyle w:val="26"/>
        <w:numPr>
          <w:ilvl w:val="0"/>
          <w:numId w:val="49"/>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1A23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688CC19E">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57C4D01B">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22925773">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75D83554">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包装</w:t>
            </w:r>
          </w:p>
        </w:tc>
      </w:tr>
      <w:tr w14:paraId="5A6A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99A38CC">
            <w:pPr>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B32232D">
            <w:pPr>
              <w:jc w:val="center"/>
              <w:rPr>
                <w:rFonts w:hint="eastAsia"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68BF0E10">
            <w:pPr>
              <w:jc w:val="center"/>
              <w:rPr>
                <w:rFonts w:hint="eastAsia"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CE982F2">
            <w:pPr>
              <w:jc w:val="center"/>
              <w:rPr>
                <w:rFonts w:hint="eastAsia"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289E8045">
            <w:pPr>
              <w:jc w:val="center"/>
              <w:rPr>
                <w:rFonts w:hint="eastAsia"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79FCE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2FFDC48B">
            <w:pPr>
              <w:jc w:val="center"/>
              <w:rPr>
                <w:rFonts w:hint="eastAsia"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5E4DAE03">
            <w:pPr>
              <w:jc w:val="center"/>
              <w:rPr>
                <w:rFonts w:hint="eastAsia"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2D1BD9B6">
            <w:pPr>
              <w:jc w:val="center"/>
              <w:rPr>
                <w:rFonts w:hint="eastAsia"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23F97C38">
            <w:pPr>
              <w:jc w:val="center"/>
              <w:rPr>
                <w:rFonts w:hint="eastAsia"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570B36DF">
      <w:pPr>
        <w:pStyle w:val="26"/>
        <w:numPr>
          <w:ilvl w:val="0"/>
          <w:numId w:val="49"/>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2" w:name="_Hlk86740118"/>
      <w:r>
        <w:rPr>
          <w:rFonts w:hint="eastAsia" w:ascii="宋体" w:hAnsi="宋体" w:eastAsia="宋体"/>
          <w:bCs/>
          <w:color w:val="auto"/>
          <w:szCs w:val="21"/>
          <w:highlight w:val="none"/>
        </w:rPr>
        <w:t>须同时提交以下文件</w:t>
      </w:r>
      <w:bookmarkEnd w:id="12"/>
      <w:r>
        <w:rPr>
          <w:rFonts w:hint="eastAsia" w:ascii="宋体" w:hAnsi="宋体" w:eastAsia="宋体"/>
          <w:bCs/>
          <w:color w:val="auto"/>
          <w:szCs w:val="21"/>
          <w:highlight w:val="none"/>
        </w:rPr>
        <w:t>：</w:t>
      </w:r>
      <w:bookmarkStart w:id="13"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3"/>
      <w:r>
        <w:rPr>
          <w:rFonts w:hint="eastAsia" w:ascii="宋体" w:hAnsi="宋体" w:eastAsia="宋体"/>
          <w:bCs/>
          <w:color w:val="auto"/>
          <w:szCs w:val="21"/>
          <w:highlight w:val="none"/>
        </w:rPr>
        <w:t>。</w:t>
      </w:r>
    </w:p>
    <w:p w14:paraId="01339C26">
      <w:pPr>
        <w:pStyle w:val="26"/>
        <w:numPr>
          <w:ilvl w:val="0"/>
          <w:numId w:val="49"/>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799557A2">
      <w:pPr>
        <w:pStyle w:val="26"/>
        <w:widowControl/>
        <w:numPr>
          <w:ilvl w:val="0"/>
          <w:numId w:val="44"/>
        </w:numPr>
        <w:ind w:left="284" w:hanging="284" w:firstLineChars="0"/>
        <w:jc w:val="left"/>
        <w:outlineLvl w:val="3"/>
        <w:rPr>
          <w:rFonts w:hint="eastAsia"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4905435F">
      <w:pPr>
        <w:pStyle w:val="26"/>
        <w:numPr>
          <w:ilvl w:val="0"/>
          <w:numId w:val="50"/>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7AFE91AC">
      <w:pPr>
        <w:pStyle w:val="26"/>
        <w:numPr>
          <w:ilvl w:val="0"/>
          <w:numId w:val="50"/>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712F0D45">
      <w:pPr>
        <w:pStyle w:val="26"/>
        <w:numPr>
          <w:ilvl w:val="0"/>
          <w:numId w:val="50"/>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3D02B0DC">
      <w:pPr>
        <w:pStyle w:val="26"/>
        <w:ind w:left="567" w:firstLine="0" w:firstLineChars="0"/>
        <w:rPr>
          <w:rFonts w:hint="eastAsia"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574ABECB">
      <w:pPr>
        <w:pStyle w:val="26"/>
        <w:ind w:left="567" w:firstLine="0" w:firstLineChars="0"/>
        <w:rPr>
          <w:rFonts w:hint="eastAsia"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3C70FDF5">
      <w:pPr>
        <w:pStyle w:val="26"/>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6E569406">
      <w:pPr>
        <w:pStyle w:val="26"/>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4FF69ECD">
      <w:pPr>
        <w:pStyle w:val="26"/>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（详见投标邀请）之前不得启封”的字样。</w:t>
      </w:r>
    </w:p>
    <w:p w14:paraId="0586145A">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37FF54E4">
      <w:pPr>
        <w:pStyle w:val="26"/>
        <w:widowControl/>
        <w:numPr>
          <w:ilvl w:val="0"/>
          <w:numId w:val="44"/>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4AFD2285">
      <w:pPr>
        <w:pStyle w:val="26"/>
        <w:widowControl/>
        <w:numPr>
          <w:ilvl w:val="0"/>
          <w:numId w:val="51"/>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3D67405F">
      <w:pPr>
        <w:pStyle w:val="26"/>
        <w:widowControl/>
        <w:numPr>
          <w:ilvl w:val="0"/>
          <w:numId w:val="51"/>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6E4DB292">
      <w:pPr>
        <w:pStyle w:val="26"/>
        <w:widowControl/>
        <w:numPr>
          <w:ilvl w:val="0"/>
          <w:numId w:val="51"/>
        </w:numPr>
        <w:ind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27860269">
      <w:pPr>
        <w:pStyle w:val="26"/>
        <w:widowControl/>
        <w:numPr>
          <w:ilvl w:val="0"/>
          <w:numId w:val="44"/>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本项目不收取</w:t>
      </w: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p>
    <w:p w14:paraId="4F162B82">
      <w:pPr>
        <w:pStyle w:val="26"/>
        <w:widowControl/>
        <w:numPr>
          <w:ilvl w:val="0"/>
          <w:numId w:val="52"/>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35A4A0A5">
      <w:pPr>
        <w:pStyle w:val="26"/>
        <w:widowControl/>
        <w:numPr>
          <w:ilvl w:val="0"/>
          <w:numId w:val="53"/>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投标人在提交投标文件时，应按投标人须知前附表规定的金额和缴纳要求缴纳投标保证金，并作为其投标文件的组成部分。</w:t>
      </w:r>
    </w:p>
    <w:p w14:paraId="028E4BF1">
      <w:pPr>
        <w:pStyle w:val="26"/>
        <w:widowControl/>
        <w:numPr>
          <w:ilvl w:val="0"/>
          <w:numId w:val="53"/>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4" w:name="_Hlk169879945"/>
      <w:r>
        <w:rPr>
          <w:rFonts w:ascii="宋体" w:hAnsi="宋体" w:eastAsia="宋体" w:cs="Times New Roman"/>
          <w:color w:val="auto"/>
          <w:kern w:val="0"/>
          <w:szCs w:val="21"/>
          <w:highlight w:val="none"/>
          <w:u w:val="single"/>
          <w:lang w:eastAsia="zh-Hans"/>
        </w:rPr>
        <w:t>须知前附表</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4"/>
    <w:p w14:paraId="01AF5175">
      <w:pPr>
        <w:pStyle w:val="26"/>
        <w:widowControl/>
        <w:numPr>
          <w:ilvl w:val="0"/>
          <w:numId w:val="53"/>
        </w:numPr>
        <w:ind w:left="567" w:hanging="567" w:firstLineChars="0"/>
        <w:jc w:val="left"/>
        <w:rPr>
          <w:rFonts w:hint="eastAsia"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15815C94">
      <w:pPr>
        <w:pStyle w:val="26"/>
        <w:widowControl/>
        <w:numPr>
          <w:ilvl w:val="0"/>
          <w:numId w:val="5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089B8BCC">
      <w:pPr>
        <w:pStyle w:val="26"/>
        <w:widowControl/>
        <w:numPr>
          <w:ilvl w:val="0"/>
          <w:numId w:val="54"/>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6F975994">
      <w:pPr>
        <w:pStyle w:val="26"/>
        <w:widowControl/>
        <w:numPr>
          <w:ilvl w:val="0"/>
          <w:numId w:val="54"/>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433FC6DA">
      <w:pPr>
        <w:pStyle w:val="26"/>
        <w:widowControl/>
        <w:numPr>
          <w:ilvl w:val="0"/>
          <w:numId w:val="54"/>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3AADECF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623EF9A2">
      <w:pPr>
        <w:pStyle w:val="26"/>
        <w:widowControl/>
        <w:numPr>
          <w:ilvl w:val="0"/>
          <w:numId w:val="5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250FFDB6">
      <w:pPr>
        <w:pStyle w:val="26"/>
        <w:widowControl/>
        <w:numPr>
          <w:ilvl w:val="0"/>
          <w:numId w:val="55"/>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608E30BB">
      <w:pPr>
        <w:pStyle w:val="26"/>
        <w:widowControl/>
        <w:numPr>
          <w:ilvl w:val="0"/>
          <w:numId w:val="55"/>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7317313E">
      <w:pPr>
        <w:pStyle w:val="26"/>
        <w:widowControl/>
        <w:numPr>
          <w:ilvl w:val="0"/>
          <w:numId w:val="55"/>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58737F8C">
      <w:pPr>
        <w:pStyle w:val="26"/>
        <w:widowControl/>
        <w:numPr>
          <w:ilvl w:val="0"/>
          <w:numId w:val="55"/>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07A2D7C3">
      <w:pPr>
        <w:pStyle w:val="26"/>
        <w:widowControl/>
        <w:numPr>
          <w:ilvl w:val="0"/>
          <w:numId w:val="55"/>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2B253A19">
      <w:pPr>
        <w:pStyle w:val="26"/>
        <w:widowControl/>
        <w:numPr>
          <w:ilvl w:val="0"/>
          <w:numId w:val="44"/>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12176A27">
      <w:pPr>
        <w:pStyle w:val="26"/>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347FFD62">
      <w:pPr>
        <w:pStyle w:val="26"/>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7335A514">
      <w:pPr>
        <w:pStyle w:val="26"/>
        <w:widowControl/>
        <w:numPr>
          <w:ilvl w:val="0"/>
          <w:numId w:val="44"/>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25E15607">
      <w:pPr>
        <w:pStyle w:val="26"/>
        <w:widowControl/>
        <w:numPr>
          <w:ilvl w:val="0"/>
          <w:numId w:val="5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389C9423">
      <w:pPr>
        <w:pStyle w:val="26"/>
        <w:widowControl/>
        <w:numPr>
          <w:ilvl w:val="0"/>
          <w:numId w:val="5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4A1E9097">
      <w:pPr>
        <w:pStyle w:val="26"/>
        <w:widowControl/>
        <w:numPr>
          <w:ilvl w:val="0"/>
          <w:numId w:val="5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14D0FA83">
      <w:pPr>
        <w:pStyle w:val="26"/>
        <w:widowControl/>
        <w:numPr>
          <w:ilvl w:val="0"/>
          <w:numId w:val="44"/>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023D2593">
      <w:pPr>
        <w:pStyle w:val="26"/>
        <w:widowControl/>
        <w:numPr>
          <w:ilvl w:val="0"/>
          <w:numId w:val="5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5B1DE1F5">
      <w:pPr>
        <w:pStyle w:val="26"/>
        <w:widowControl/>
        <w:numPr>
          <w:ilvl w:val="0"/>
          <w:numId w:val="5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BE14D2D">
      <w:pPr>
        <w:pStyle w:val="26"/>
        <w:widowControl/>
        <w:numPr>
          <w:ilvl w:val="0"/>
          <w:numId w:val="5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7B545578">
      <w:pPr>
        <w:pStyle w:val="26"/>
        <w:widowControl/>
        <w:numPr>
          <w:ilvl w:val="0"/>
          <w:numId w:val="5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2E074C4C">
      <w:pPr>
        <w:pStyle w:val="26"/>
        <w:widowControl/>
        <w:numPr>
          <w:ilvl w:val="0"/>
          <w:numId w:val="5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3CFFBED1">
      <w:pPr>
        <w:pStyle w:val="26"/>
        <w:widowControl/>
        <w:numPr>
          <w:ilvl w:val="0"/>
          <w:numId w:val="35"/>
        </w:numPr>
        <w:spacing w:before="217" w:beforeLines="50"/>
        <w:ind w:left="442" w:hanging="442"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122C4979">
      <w:pPr>
        <w:pStyle w:val="26"/>
        <w:widowControl/>
        <w:numPr>
          <w:ilvl w:val="3"/>
          <w:numId w:val="59"/>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1B73C24E">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7F2776BA">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7E7EF012">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725B65DF">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78A26A87">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3C084D28">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098D3F76">
      <w:pPr>
        <w:pStyle w:val="26"/>
        <w:widowControl/>
        <w:numPr>
          <w:ilvl w:val="0"/>
          <w:numId w:val="6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0B7CEAB2">
      <w:pPr>
        <w:pStyle w:val="26"/>
        <w:widowControl/>
        <w:numPr>
          <w:ilvl w:val="3"/>
          <w:numId w:val="59"/>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61A709FA">
      <w:pPr>
        <w:pStyle w:val="26"/>
        <w:widowControl/>
        <w:numPr>
          <w:ilvl w:val="3"/>
          <w:numId w:val="59"/>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122BB381">
      <w:pPr>
        <w:pStyle w:val="26"/>
        <w:widowControl/>
        <w:numPr>
          <w:ilvl w:val="0"/>
          <w:numId w:val="61"/>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50049875">
      <w:pPr>
        <w:pStyle w:val="26"/>
        <w:widowControl/>
        <w:numPr>
          <w:ilvl w:val="0"/>
          <w:numId w:val="62"/>
        </w:numPr>
        <w:ind w:left="709" w:hanging="709" w:firstLineChars="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5" w:name="_Hlk169881051"/>
      <w:r>
        <w:rPr>
          <w:rFonts w:ascii="宋体" w:hAnsi="宋体" w:eastAsia="宋体" w:cs="Times New Roman"/>
          <w:color w:val="auto"/>
          <w:kern w:val="0"/>
          <w:szCs w:val="21"/>
          <w:highlight w:val="none"/>
        </w:rPr>
        <w:t>指定媒体</w:t>
      </w:r>
      <w:bookmarkEnd w:id="15"/>
      <w:r>
        <w:rPr>
          <w:rFonts w:ascii="宋体" w:hAnsi="宋体" w:eastAsia="宋体" w:cs="Times New Roman"/>
          <w:color w:val="auto"/>
          <w:kern w:val="0"/>
          <w:szCs w:val="21"/>
          <w:highlight w:val="none"/>
        </w:rPr>
        <w:t>公告中标结果和发出中标通知书，公告期为1个工作日。</w:t>
      </w:r>
    </w:p>
    <w:p w14:paraId="27DDD335">
      <w:pPr>
        <w:pStyle w:val="26"/>
        <w:widowControl/>
        <w:numPr>
          <w:ilvl w:val="0"/>
          <w:numId w:val="61"/>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2A8A04E8">
      <w:pPr>
        <w:pStyle w:val="26"/>
        <w:widowControl/>
        <w:numPr>
          <w:ilvl w:val="0"/>
          <w:numId w:val="63"/>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2FB4D62">
      <w:pPr>
        <w:pStyle w:val="26"/>
        <w:widowControl/>
        <w:numPr>
          <w:ilvl w:val="0"/>
          <w:numId w:val="63"/>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1317A103">
      <w:pPr>
        <w:pStyle w:val="26"/>
        <w:widowControl/>
        <w:numPr>
          <w:ilvl w:val="0"/>
          <w:numId w:val="63"/>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2F0922B3">
      <w:pPr>
        <w:pStyle w:val="26"/>
        <w:widowControl/>
        <w:numPr>
          <w:ilvl w:val="0"/>
          <w:numId w:val="35"/>
        </w:numPr>
        <w:spacing w:before="217" w:beforeLines="50"/>
        <w:ind w:left="442" w:hanging="442"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41F010C3">
      <w:pPr>
        <w:pStyle w:val="26"/>
        <w:widowControl/>
        <w:numPr>
          <w:ilvl w:val="3"/>
          <w:numId w:val="64"/>
        </w:numPr>
        <w:tabs>
          <w:tab w:val="left" w:pos="426"/>
          <w:tab w:val="left" w:pos="709"/>
          <w:tab w:val="left" w:pos="993"/>
          <w:tab w:val="left" w:pos="1418"/>
        </w:tabs>
        <w:ind w:hanging="1760"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5D75B796">
      <w:pPr>
        <w:pStyle w:val="26"/>
        <w:widowControl/>
        <w:numPr>
          <w:ilvl w:val="0"/>
          <w:numId w:val="6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E69048B">
      <w:pPr>
        <w:pStyle w:val="26"/>
        <w:widowControl/>
        <w:numPr>
          <w:ilvl w:val="3"/>
          <w:numId w:val="64"/>
        </w:numPr>
        <w:tabs>
          <w:tab w:val="left" w:pos="426"/>
          <w:tab w:val="left" w:pos="709"/>
          <w:tab w:val="left" w:pos="993"/>
          <w:tab w:val="left" w:pos="1418"/>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DB5DFF">
      <w:pPr>
        <w:pStyle w:val="26"/>
        <w:widowControl/>
        <w:numPr>
          <w:ilvl w:val="0"/>
          <w:numId w:val="6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1D0EB017">
      <w:pPr>
        <w:pStyle w:val="26"/>
        <w:widowControl/>
        <w:numPr>
          <w:ilvl w:val="0"/>
          <w:numId w:val="67"/>
        </w:numPr>
        <w:tabs>
          <w:tab w:val="left" w:pos="709"/>
        </w:tabs>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0FA77528">
      <w:pPr>
        <w:pStyle w:val="26"/>
        <w:widowControl/>
        <w:numPr>
          <w:ilvl w:val="0"/>
          <w:numId w:val="67"/>
        </w:numPr>
        <w:tabs>
          <w:tab w:val="left" w:pos="709"/>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71AAA336">
      <w:pPr>
        <w:pStyle w:val="26"/>
        <w:widowControl/>
        <w:numPr>
          <w:ilvl w:val="0"/>
          <w:numId w:val="67"/>
        </w:numPr>
        <w:tabs>
          <w:tab w:val="left" w:pos="709"/>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71212A8D">
      <w:pPr>
        <w:pStyle w:val="26"/>
        <w:widowControl/>
        <w:numPr>
          <w:ilvl w:val="0"/>
          <w:numId w:val="6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2DAD1E0C">
      <w:pPr>
        <w:pStyle w:val="26"/>
        <w:widowControl/>
        <w:numPr>
          <w:ilvl w:val="0"/>
          <w:numId w:val="68"/>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3253CF57">
      <w:pPr>
        <w:pStyle w:val="26"/>
        <w:widowControl/>
        <w:numPr>
          <w:ilvl w:val="0"/>
          <w:numId w:val="68"/>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079AAA4B">
      <w:pPr>
        <w:pStyle w:val="26"/>
        <w:widowControl/>
        <w:numPr>
          <w:ilvl w:val="0"/>
          <w:numId w:val="68"/>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5F1D18EB">
      <w:pPr>
        <w:pStyle w:val="26"/>
        <w:widowControl/>
        <w:numPr>
          <w:ilvl w:val="0"/>
          <w:numId w:val="68"/>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67D778E3">
      <w:pPr>
        <w:pStyle w:val="26"/>
        <w:widowControl/>
        <w:numPr>
          <w:ilvl w:val="0"/>
          <w:numId w:val="6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7B1C6657">
      <w:pPr>
        <w:pStyle w:val="26"/>
        <w:widowControl/>
        <w:numPr>
          <w:ilvl w:val="0"/>
          <w:numId w:val="6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4298EE5B">
      <w:pPr>
        <w:pStyle w:val="26"/>
        <w:widowControl/>
        <w:numPr>
          <w:ilvl w:val="0"/>
          <w:numId w:val="6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部门依法处理。</w:t>
      </w:r>
    </w:p>
    <w:p w14:paraId="61C78079">
      <w:pPr>
        <w:pStyle w:val="26"/>
        <w:widowControl/>
        <w:numPr>
          <w:ilvl w:val="0"/>
          <w:numId w:val="6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1D8025E9">
      <w:pPr>
        <w:widowControl/>
        <w:ind w:firstLine="480"/>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何舜禹</w:t>
      </w:r>
    </w:p>
    <w:p w14:paraId="4E57BADF">
      <w:pPr>
        <w:widowControl/>
        <w:ind w:firstLine="480"/>
        <w:jc w:val="left"/>
        <w:rPr>
          <w:rFonts w:hint="eastAsia" w:ascii="宋体" w:hAnsi="宋体" w:eastAsia="宋体" w:cs="Times New Roman"/>
          <w:color w:val="auto"/>
          <w:kern w:val="0"/>
          <w:szCs w:val="21"/>
          <w:highlight w:val="none"/>
          <w:lang w:eastAsia="zh-Hans"/>
        </w:rPr>
      </w:pPr>
      <w:bookmarkStart w:id="16" w:name="_Hlk170237862"/>
      <w:r>
        <w:rPr>
          <w:rFonts w:ascii="宋体" w:hAnsi="宋体" w:eastAsia="宋体" w:cs="Times New Roman"/>
          <w:color w:val="auto"/>
          <w:kern w:val="0"/>
          <w:szCs w:val="21"/>
          <w:highlight w:val="none"/>
          <w:lang w:eastAsia="zh-Hans"/>
        </w:rPr>
        <w:t>电话：（0769）22367009</w:t>
      </w:r>
    </w:p>
    <w:p w14:paraId="4863784A">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2D68F767">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16867801">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6"/>
    </w:p>
    <w:p w14:paraId="0F558F8D">
      <w:pPr>
        <w:widowControl/>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50266F3F">
      <w:pPr>
        <w:pStyle w:val="26"/>
        <w:widowControl/>
        <w:numPr>
          <w:ilvl w:val="0"/>
          <w:numId w:val="69"/>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部门提起投诉。</w:t>
      </w:r>
    </w:p>
    <w:p w14:paraId="3FE41B33">
      <w:pPr>
        <w:pStyle w:val="26"/>
        <w:widowControl/>
        <w:numPr>
          <w:ilvl w:val="0"/>
          <w:numId w:val="35"/>
        </w:numPr>
        <w:spacing w:before="217" w:beforeLines="50"/>
        <w:ind w:left="442" w:hanging="442"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本项目不收取</w:t>
      </w:r>
      <w:r>
        <w:rPr>
          <w:rFonts w:hint="eastAsia" w:ascii="宋体" w:hAnsi="宋体" w:eastAsia="宋体" w:cs="Times New Roman"/>
          <w:b/>
          <w:color w:val="auto"/>
          <w:kern w:val="0"/>
          <w:szCs w:val="21"/>
          <w:highlight w:val="none"/>
          <w:lang w:eastAsia="zh-CN"/>
        </w:rPr>
        <w:t>）</w:t>
      </w:r>
    </w:p>
    <w:p w14:paraId="2189EEA4">
      <w:pPr>
        <w:pStyle w:val="26"/>
        <w:widowControl/>
        <w:numPr>
          <w:ilvl w:val="0"/>
          <w:numId w:val="70"/>
        </w:numPr>
        <w:ind w:left="442" w:hanging="442"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应按须知前附表要求向采购人缴纳履约担保（如采用保函形式，格式详见招标文件第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B4D5CC3">
      <w:pPr>
        <w:pStyle w:val="26"/>
        <w:widowControl/>
        <w:numPr>
          <w:ilvl w:val="0"/>
          <w:numId w:val="70"/>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342D61F9">
      <w:pPr>
        <w:pStyle w:val="26"/>
        <w:widowControl/>
        <w:numPr>
          <w:ilvl w:val="0"/>
          <w:numId w:val="35"/>
        </w:numPr>
        <w:spacing w:before="217" w:beforeLines="50"/>
        <w:ind w:left="442" w:hanging="442"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EE0CE3B">
      <w:pPr>
        <w:pStyle w:val="26"/>
        <w:widowControl/>
        <w:numPr>
          <w:ilvl w:val="3"/>
          <w:numId w:val="71"/>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691E69BE">
      <w:pPr>
        <w:pStyle w:val="26"/>
        <w:widowControl/>
        <w:numPr>
          <w:ilvl w:val="0"/>
          <w:numId w:val="7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164C5A45">
      <w:pPr>
        <w:pStyle w:val="26"/>
        <w:widowControl/>
        <w:numPr>
          <w:ilvl w:val="0"/>
          <w:numId w:val="7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600F1A88">
      <w:pPr>
        <w:pStyle w:val="26"/>
        <w:widowControl/>
        <w:numPr>
          <w:ilvl w:val="3"/>
          <w:numId w:val="71"/>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74F5F077">
      <w:pPr>
        <w:pStyle w:val="26"/>
        <w:widowControl/>
        <w:numPr>
          <w:ilvl w:val="0"/>
          <w:numId w:val="73"/>
        </w:numPr>
        <w:ind w:firstLineChars="0"/>
        <w:jc w:val="left"/>
        <w:rPr>
          <w:rFonts w:hint="eastAsia" w:ascii="宋体" w:hAnsi="宋体" w:eastAsia="宋体" w:cs="Times New Roman"/>
          <w:color w:val="auto"/>
          <w:kern w:val="0"/>
          <w:szCs w:val="21"/>
          <w:highlight w:val="none"/>
          <w:lang w:eastAsia="zh-Hans"/>
        </w:rPr>
      </w:pPr>
      <w:bookmarkStart w:id="17"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highlight w:val="none"/>
          <w:lang w:val="en-US" w:eastAsia="zh-CN"/>
        </w:rPr>
        <w:t>采购人有关</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highlight w:val="none"/>
          <w:lang w:val="en-US" w:eastAsia="zh-CN"/>
        </w:rPr>
        <w:t>采购人有关</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7"/>
    </w:p>
    <w:p w14:paraId="64157371">
      <w:pPr>
        <w:pStyle w:val="26"/>
        <w:widowControl/>
        <w:numPr>
          <w:ilvl w:val="0"/>
          <w:numId w:val="73"/>
        </w:numPr>
        <w:tabs>
          <w:tab w:val="left" w:pos="993"/>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8" w:name="_Hlk170237986"/>
      <w:r>
        <w:rPr>
          <w:rFonts w:ascii="宋体" w:hAnsi="宋体" w:eastAsia="宋体" w:cs="Times New Roman"/>
          <w:color w:val="auto"/>
          <w:kern w:val="0"/>
          <w:szCs w:val="21"/>
          <w:highlight w:val="none"/>
          <w:lang w:eastAsia="zh-Hans"/>
        </w:rPr>
        <w:t>签订补充合同的必须按规定备案。</w:t>
      </w:r>
    </w:p>
    <w:bookmarkEnd w:id="18"/>
    <w:p w14:paraId="42A670A1">
      <w:pPr>
        <w:pageBreakBefore/>
        <w:widowControl/>
        <w:jc w:val="center"/>
        <w:outlineLvl w:val="1"/>
        <w:rPr>
          <w:rFonts w:ascii="Calibri" w:hAnsi="Calibri" w:eastAsia="宋体" w:cs="Times New Roman"/>
          <w:color w:val="auto"/>
          <w:kern w:val="0"/>
          <w:sz w:val="20"/>
          <w:szCs w:val="20"/>
          <w:highlight w:val="none"/>
          <w:lang w:eastAsia="zh-Hans"/>
        </w:rPr>
      </w:pPr>
      <w:bookmarkStart w:id="19" w:name="_Toc11208"/>
      <w:bookmarkStart w:id="20" w:name="_Toc169799781"/>
      <w:r>
        <w:rPr>
          <w:rFonts w:ascii="Calibri" w:hAnsi="Calibri" w:eastAsia="宋体" w:cs="Times New Roman"/>
          <w:b/>
          <w:color w:val="auto"/>
          <w:kern w:val="0"/>
          <w:sz w:val="36"/>
          <w:szCs w:val="20"/>
          <w:highlight w:val="none"/>
          <w:lang w:eastAsia="zh-Hans"/>
        </w:rPr>
        <w:t>第四章 评标</w:t>
      </w:r>
      <w:bookmarkEnd w:id="19"/>
      <w:bookmarkEnd w:id="20"/>
    </w:p>
    <w:p w14:paraId="7D212DF9">
      <w:pPr>
        <w:pStyle w:val="26"/>
        <w:numPr>
          <w:ilvl w:val="0"/>
          <w:numId w:val="74"/>
        </w:numPr>
        <w:ind w:firstLineChars="0"/>
        <w:rPr>
          <w:rFonts w:hint="eastAsia" w:ascii="宋体" w:hAnsi="宋体" w:eastAsia="宋体"/>
          <w:b/>
          <w:bCs/>
          <w:color w:val="auto"/>
          <w:highlight w:val="none"/>
        </w:rPr>
      </w:pPr>
      <w:r>
        <w:rPr>
          <w:rFonts w:ascii="宋体" w:hAnsi="宋体" w:eastAsia="宋体"/>
          <w:b/>
          <w:bCs/>
          <w:color w:val="auto"/>
          <w:highlight w:val="none"/>
        </w:rPr>
        <w:t>评标要求</w:t>
      </w:r>
    </w:p>
    <w:p w14:paraId="7E3FE63F">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4263A48">
      <w:pPr>
        <w:pStyle w:val="26"/>
        <w:widowControl/>
        <w:numPr>
          <w:ilvl w:val="0"/>
          <w:numId w:val="76"/>
        </w:numPr>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r>
        <w:rPr>
          <w:rFonts w:hint="eastAsia" w:ascii="宋体" w:hAnsi="宋体" w:eastAsia="宋体" w:cs="Times New Roman"/>
          <w:color w:val="auto"/>
          <w:kern w:val="0"/>
          <w:szCs w:val="21"/>
          <w:highlight w:val="none"/>
          <w:lang w:eastAsia="zh-CN"/>
        </w:rPr>
        <w:t>。</w:t>
      </w:r>
    </w:p>
    <w:p w14:paraId="4D550B9A">
      <w:pPr>
        <w:pStyle w:val="26"/>
        <w:widowControl/>
        <w:numPr>
          <w:ilvl w:val="0"/>
          <w:numId w:val="76"/>
        </w:numPr>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342968A5">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22B8267F">
      <w:pPr>
        <w:pStyle w:val="26"/>
        <w:widowControl/>
        <w:numPr>
          <w:ilvl w:val="0"/>
          <w:numId w:val="77"/>
        </w:numPr>
        <w:tabs>
          <w:tab w:val="left" w:pos="426"/>
          <w:tab w:val="left" w:pos="709"/>
          <w:tab w:val="left" w:pos="993"/>
        </w:tabs>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4EDC171">
      <w:pPr>
        <w:pStyle w:val="26"/>
        <w:widowControl/>
        <w:numPr>
          <w:ilvl w:val="0"/>
          <w:numId w:val="77"/>
        </w:numPr>
        <w:tabs>
          <w:tab w:val="left" w:pos="426"/>
          <w:tab w:val="left" w:pos="709"/>
          <w:tab w:val="left" w:pos="993"/>
        </w:tabs>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6B712253">
      <w:pPr>
        <w:pStyle w:val="26"/>
        <w:widowControl/>
        <w:numPr>
          <w:ilvl w:val="0"/>
          <w:numId w:val="77"/>
        </w:numPr>
        <w:tabs>
          <w:tab w:val="left" w:pos="426"/>
          <w:tab w:val="left" w:pos="709"/>
          <w:tab w:val="left" w:pos="993"/>
        </w:tabs>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合格投标人不足须知前附表中约定的有效供应商家数的，不得评标。</w:t>
      </w:r>
    </w:p>
    <w:p w14:paraId="5E862DCA">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42E36711">
      <w:pPr>
        <w:pStyle w:val="26"/>
        <w:widowControl/>
        <w:numPr>
          <w:ilvl w:val="0"/>
          <w:numId w:val="78"/>
        </w:numPr>
        <w:tabs>
          <w:tab w:val="left" w:pos="284"/>
          <w:tab w:val="left" w:pos="426"/>
          <w:tab w:val="left" w:pos="851"/>
          <w:tab w:val="left" w:pos="1134"/>
          <w:tab w:val="left" w:pos="1560"/>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757C583D">
      <w:pPr>
        <w:pStyle w:val="26"/>
        <w:widowControl/>
        <w:numPr>
          <w:ilvl w:val="0"/>
          <w:numId w:val="78"/>
        </w:numPr>
        <w:tabs>
          <w:tab w:val="left" w:pos="284"/>
          <w:tab w:val="left" w:pos="426"/>
          <w:tab w:val="left" w:pos="851"/>
          <w:tab w:val="left" w:pos="1134"/>
          <w:tab w:val="left" w:pos="1560"/>
        </w:tabs>
        <w:ind w:left="426" w:hanging="426" w:firstLineChars="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评标委员会成员人数应当为5人以上单数，其中评审专家不得少于成员总数的2/3。</w:t>
      </w:r>
    </w:p>
    <w:p w14:paraId="48B897E1">
      <w:pPr>
        <w:pStyle w:val="26"/>
        <w:widowControl/>
        <w:numPr>
          <w:ilvl w:val="0"/>
          <w:numId w:val="78"/>
        </w:numPr>
        <w:tabs>
          <w:tab w:val="left" w:pos="284"/>
          <w:tab w:val="left" w:pos="426"/>
          <w:tab w:val="left" w:pos="851"/>
          <w:tab w:val="left" w:pos="1134"/>
          <w:tab w:val="left" w:pos="1560"/>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7D56066E">
      <w:pPr>
        <w:pStyle w:val="26"/>
        <w:widowControl/>
        <w:numPr>
          <w:ilvl w:val="0"/>
          <w:numId w:val="79"/>
        </w:numPr>
        <w:tabs>
          <w:tab w:val="left" w:pos="709"/>
          <w:tab w:val="left" w:pos="851"/>
          <w:tab w:val="left" w:pos="1418"/>
        </w:tabs>
        <w:ind w:left="2240" w:leftChars="0"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17CEBE8C">
      <w:pPr>
        <w:pStyle w:val="26"/>
        <w:widowControl/>
        <w:numPr>
          <w:ilvl w:val="0"/>
          <w:numId w:val="79"/>
        </w:numPr>
        <w:tabs>
          <w:tab w:val="left" w:pos="709"/>
          <w:tab w:val="left" w:pos="851"/>
          <w:tab w:val="left" w:pos="1418"/>
        </w:tabs>
        <w:ind w:left="2240" w:leftChars="0"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1C43B578">
      <w:pPr>
        <w:pStyle w:val="26"/>
        <w:widowControl/>
        <w:numPr>
          <w:ilvl w:val="0"/>
          <w:numId w:val="79"/>
        </w:numPr>
        <w:tabs>
          <w:tab w:val="left" w:pos="709"/>
          <w:tab w:val="left" w:pos="851"/>
          <w:tab w:val="left" w:pos="1418"/>
        </w:tabs>
        <w:ind w:left="2240" w:leftChars="0"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983D20C">
      <w:pPr>
        <w:pStyle w:val="26"/>
        <w:widowControl/>
        <w:numPr>
          <w:ilvl w:val="0"/>
          <w:numId w:val="79"/>
        </w:numPr>
        <w:tabs>
          <w:tab w:val="left" w:pos="709"/>
          <w:tab w:val="left" w:pos="851"/>
          <w:tab w:val="left" w:pos="1418"/>
        </w:tabs>
        <w:ind w:left="2240" w:leftChars="0" w:hanging="2240" w:firstLineChars="0"/>
        <w:jc w:val="left"/>
        <w:rPr>
          <w:rFonts w:hint="eastAsia"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4AAED874">
      <w:pPr>
        <w:pStyle w:val="26"/>
        <w:widowControl/>
        <w:numPr>
          <w:ilvl w:val="0"/>
          <w:numId w:val="79"/>
        </w:numPr>
        <w:tabs>
          <w:tab w:val="left" w:pos="709"/>
          <w:tab w:val="left" w:pos="851"/>
          <w:tab w:val="left" w:pos="1418"/>
        </w:tabs>
        <w:ind w:left="2240" w:leftChars="0"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132A7E25">
      <w:pPr>
        <w:pStyle w:val="26"/>
        <w:widowControl/>
        <w:numPr>
          <w:ilvl w:val="0"/>
          <w:numId w:val="78"/>
        </w:numPr>
        <w:tabs>
          <w:tab w:val="left" w:pos="284"/>
          <w:tab w:val="left" w:pos="426"/>
          <w:tab w:val="left" w:pos="851"/>
          <w:tab w:val="left" w:pos="1134"/>
          <w:tab w:val="left" w:pos="1560"/>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5010A7E8">
      <w:pPr>
        <w:pStyle w:val="26"/>
        <w:widowControl/>
        <w:numPr>
          <w:ilvl w:val="0"/>
          <w:numId w:val="80"/>
        </w:numPr>
        <w:tabs>
          <w:tab w:val="left" w:pos="709"/>
          <w:tab w:val="left" w:pos="851"/>
          <w:tab w:val="left" w:pos="1134"/>
          <w:tab w:val="left" w:pos="1418"/>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085B6DA">
      <w:pPr>
        <w:pStyle w:val="26"/>
        <w:widowControl/>
        <w:numPr>
          <w:ilvl w:val="0"/>
          <w:numId w:val="80"/>
        </w:numPr>
        <w:tabs>
          <w:tab w:val="left" w:pos="709"/>
          <w:tab w:val="left" w:pos="851"/>
          <w:tab w:val="left" w:pos="1134"/>
          <w:tab w:val="left" w:pos="1418"/>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6A0F27CC">
      <w:pPr>
        <w:pStyle w:val="26"/>
        <w:widowControl/>
        <w:numPr>
          <w:ilvl w:val="0"/>
          <w:numId w:val="80"/>
        </w:numPr>
        <w:tabs>
          <w:tab w:val="left" w:pos="709"/>
          <w:tab w:val="left" w:pos="851"/>
          <w:tab w:val="left" w:pos="1134"/>
          <w:tab w:val="left" w:pos="1418"/>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53D6A2B0">
      <w:pPr>
        <w:pStyle w:val="26"/>
        <w:widowControl/>
        <w:numPr>
          <w:ilvl w:val="0"/>
          <w:numId w:val="80"/>
        </w:numPr>
        <w:tabs>
          <w:tab w:val="left" w:pos="709"/>
          <w:tab w:val="left" w:pos="851"/>
          <w:tab w:val="left" w:pos="1134"/>
          <w:tab w:val="left" w:pos="1418"/>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319DB7AD">
      <w:pPr>
        <w:pStyle w:val="26"/>
        <w:widowControl/>
        <w:numPr>
          <w:ilvl w:val="0"/>
          <w:numId w:val="80"/>
        </w:numPr>
        <w:tabs>
          <w:tab w:val="left" w:pos="709"/>
          <w:tab w:val="left" w:pos="851"/>
          <w:tab w:val="left" w:pos="1134"/>
          <w:tab w:val="left" w:pos="1418"/>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0C2A2422">
      <w:pPr>
        <w:pStyle w:val="26"/>
        <w:widowControl/>
        <w:numPr>
          <w:ilvl w:val="0"/>
          <w:numId w:val="80"/>
        </w:numPr>
        <w:tabs>
          <w:tab w:val="left" w:pos="709"/>
          <w:tab w:val="left" w:pos="851"/>
          <w:tab w:val="left" w:pos="1134"/>
          <w:tab w:val="left" w:pos="1418"/>
          <w:tab w:val="left" w:pos="1701"/>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6EDD7DB">
      <w:pPr>
        <w:pStyle w:val="26"/>
        <w:widowControl/>
        <w:numPr>
          <w:ilvl w:val="0"/>
          <w:numId w:val="80"/>
        </w:numPr>
        <w:tabs>
          <w:tab w:val="left" w:pos="709"/>
          <w:tab w:val="left" w:pos="851"/>
          <w:tab w:val="left" w:pos="1134"/>
          <w:tab w:val="left" w:pos="1418"/>
          <w:tab w:val="left" w:pos="1701"/>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7C698014">
      <w:pPr>
        <w:pStyle w:val="26"/>
        <w:widowControl/>
        <w:numPr>
          <w:ilvl w:val="0"/>
          <w:numId w:val="80"/>
        </w:numPr>
        <w:tabs>
          <w:tab w:val="left" w:pos="567"/>
          <w:tab w:val="left" w:pos="709"/>
          <w:tab w:val="left" w:pos="1134"/>
          <w:tab w:val="left" w:pos="1418"/>
          <w:tab w:val="left" w:pos="1701"/>
        </w:tabs>
        <w:ind w:left="822" w:leftChars="0" w:hanging="822"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0F46C32F">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51C428B0">
      <w:pPr>
        <w:pStyle w:val="26"/>
        <w:numPr>
          <w:ilvl w:val="0"/>
          <w:numId w:val="81"/>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1527696D">
      <w:pPr>
        <w:pStyle w:val="26"/>
        <w:numPr>
          <w:ilvl w:val="0"/>
          <w:numId w:val="81"/>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CA047A8">
      <w:pPr>
        <w:pStyle w:val="26"/>
        <w:numPr>
          <w:ilvl w:val="0"/>
          <w:numId w:val="81"/>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6469CA00">
      <w:pPr>
        <w:pStyle w:val="26"/>
        <w:numPr>
          <w:ilvl w:val="0"/>
          <w:numId w:val="81"/>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8FD68FA">
      <w:pPr>
        <w:pStyle w:val="26"/>
        <w:numPr>
          <w:ilvl w:val="0"/>
          <w:numId w:val="81"/>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8DD5A22">
      <w:pPr>
        <w:pStyle w:val="26"/>
        <w:numPr>
          <w:ilvl w:val="0"/>
          <w:numId w:val="81"/>
        </w:numPr>
        <w:tabs>
          <w:tab w:val="left" w:pos="426"/>
          <w:tab w:val="left" w:pos="1276"/>
        </w:tabs>
        <w:ind w:hanging="2240" w:firstLineChars="0"/>
        <w:jc w:val="left"/>
        <w:rPr>
          <w:rFonts w:hint="eastAsia"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1AFD6E71">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CB3821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0C592FDE">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185CA641">
      <w:pPr>
        <w:pStyle w:val="26"/>
        <w:widowControl/>
        <w:numPr>
          <w:ilvl w:val="0"/>
          <w:numId w:val="82"/>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3F1B4F24">
      <w:pPr>
        <w:pStyle w:val="26"/>
        <w:widowControl/>
        <w:numPr>
          <w:ilvl w:val="3"/>
          <w:numId w:val="75"/>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2CB23658">
      <w:pPr>
        <w:pStyle w:val="26"/>
        <w:widowControl/>
        <w:numPr>
          <w:ilvl w:val="0"/>
          <w:numId w:val="83"/>
        </w:numPr>
        <w:tabs>
          <w:tab w:val="left" w:pos="426"/>
          <w:tab w:val="left" w:pos="993"/>
          <w:tab w:val="left" w:pos="1276"/>
        </w:tabs>
        <w:ind w:hanging="2240"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4F4685EE">
      <w:pPr>
        <w:pStyle w:val="26"/>
        <w:widowControl/>
        <w:numPr>
          <w:ilvl w:val="0"/>
          <w:numId w:val="84"/>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7888C622">
      <w:pPr>
        <w:pStyle w:val="26"/>
        <w:widowControl/>
        <w:numPr>
          <w:ilvl w:val="0"/>
          <w:numId w:val="84"/>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0A0145C3">
      <w:pPr>
        <w:pStyle w:val="26"/>
        <w:widowControl/>
        <w:numPr>
          <w:ilvl w:val="0"/>
          <w:numId w:val="84"/>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469D529B">
      <w:pPr>
        <w:pStyle w:val="26"/>
        <w:widowControl/>
        <w:numPr>
          <w:ilvl w:val="0"/>
          <w:numId w:val="84"/>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03F70BE8">
      <w:pPr>
        <w:widowControl/>
        <w:jc w:val="left"/>
        <w:rPr>
          <w:rFonts w:hint="eastAsia" w:ascii="宋体" w:hAnsi="宋体" w:eastAsia="宋体"/>
          <w:color w:val="auto"/>
          <w:szCs w:val="21"/>
          <w:highlight w:val="none"/>
          <w:shd w:val="clear" w:color="auto" w:fill="FFFFFF"/>
        </w:rPr>
      </w:pPr>
      <w:bookmarkStart w:id="21"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1"/>
    <w:p w14:paraId="4BEC0DDB">
      <w:pPr>
        <w:pStyle w:val="26"/>
        <w:widowControl/>
        <w:numPr>
          <w:ilvl w:val="0"/>
          <w:numId w:val="83"/>
        </w:numPr>
        <w:tabs>
          <w:tab w:val="left" w:pos="426"/>
          <w:tab w:val="left" w:pos="993"/>
          <w:tab w:val="left" w:pos="1276"/>
          <w:tab w:val="left" w:pos="1843"/>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53133C39">
      <w:pPr>
        <w:pStyle w:val="26"/>
        <w:numPr>
          <w:ilvl w:val="0"/>
          <w:numId w:val="74"/>
        </w:numPr>
        <w:ind w:firstLineChars="0"/>
        <w:rPr>
          <w:rFonts w:hint="eastAsia" w:ascii="宋体" w:hAnsi="宋体" w:eastAsia="宋体" w:cs="Times New Roman"/>
          <w:color w:val="auto"/>
          <w:kern w:val="0"/>
          <w:szCs w:val="21"/>
          <w:highlight w:val="none"/>
          <w:lang w:eastAsia="zh-Hans"/>
        </w:rPr>
      </w:pPr>
      <w:bookmarkStart w:id="22" w:name="_Toc169799782"/>
      <w:r>
        <w:rPr>
          <w:rFonts w:ascii="宋体" w:hAnsi="宋体" w:eastAsia="宋体"/>
          <w:b/>
          <w:bCs/>
          <w:color w:val="auto"/>
          <w:highlight w:val="none"/>
        </w:rPr>
        <w:t>政府采购政策落实</w:t>
      </w:r>
      <w:bookmarkEnd w:id="22"/>
    </w:p>
    <w:p w14:paraId="50435C10">
      <w:pPr>
        <w:pStyle w:val="26"/>
        <w:numPr>
          <w:ilvl w:val="1"/>
          <w:numId w:val="8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2EC124B9">
      <w:pPr>
        <w:pStyle w:val="26"/>
        <w:numPr>
          <w:ilvl w:val="2"/>
          <w:numId w:val="86"/>
        </w:numPr>
        <w:tabs>
          <w:tab w:val="left" w:pos="1418"/>
        </w:tabs>
        <w:ind w:left="426" w:hanging="426" w:firstLineChars="0"/>
        <w:rPr>
          <w:rFonts w:hint="eastAsia" w:ascii="宋体" w:hAnsi="宋体" w:eastAsia="宋体"/>
          <w:bCs/>
          <w:color w:val="auto"/>
          <w:szCs w:val="21"/>
          <w:highlight w:val="none"/>
        </w:rPr>
      </w:pPr>
      <w:bookmarkStart w:id="23"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3"/>
      <w:r>
        <w:rPr>
          <w:rFonts w:hint="eastAsia" w:ascii="宋体" w:hAnsi="宋体" w:eastAsia="宋体"/>
          <w:b/>
          <w:color w:val="auto"/>
          <w:szCs w:val="21"/>
          <w:highlight w:val="none"/>
          <w:u w:val="single"/>
        </w:rPr>
        <w:t>格式详见招标文件第六章投标文件格式）。</w:t>
      </w:r>
    </w:p>
    <w:p w14:paraId="1144EADC">
      <w:pPr>
        <w:pStyle w:val="26"/>
        <w:numPr>
          <w:ilvl w:val="1"/>
          <w:numId w:val="8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5B6ED200">
      <w:pPr>
        <w:pStyle w:val="26"/>
        <w:numPr>
          <w:ilvl w:val="2"/>
          <w:numId w:val="87"/>
        </w:numPr>
        <w:ind w:firstLineChars="0"/>
        <w:rPr>
          <w:rFonts w:hint="eastAsia"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FACDE3D">
      <w:pPr>
        <w:pStyle w:val="26"/>
        <w:numPr>
          <w:ilvl w:val="1"/>
          <w:numId w:val="85"/>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37FF2B00">
      <w:pPr>
        <w:pStyle w:val="26"/>
        <w:numPr>
          <w:ilvl w:val="2"/>
          <w:numId w:val="88"/>
        </w:numPr>
        <w:ind w:left="424" w:hanging="424" w:hangingChars="202"/>
        <w:rPr>
          <w:rFonts w:hint="eastAsia"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1A2D50CC">
      <w:pPr>
        <w:pStyle w:val="26"/>
        <w:numPr>
          <w:ilvl w:val="1"/>
          <w:numId w:val="85"/>
        </w:numPr>
        <w:ind w:left="426" w:hanging="426" w:firstLineChars="0"/>
        <w:jc w:val="left"/>
        <w:rPr>
          <w:rFonts w:hint="eastAsia"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27131234">
      <w:pPr>
        <w:pStyle w:val="26"/>
        <w:numPr>
          <w:ilvl w:val="1"/>
          <w:numId w:val="85"/>
        </w:numPr>
        <w:tabs>
          <w:tab w:val="left" w:pos="426"/>
          <w:tab w:val="left" w:pos="1418"/>
        </w:tabs>
        <w:ind w:left="851" w:hanging="851" w:firstLineChars="0"/>
        <w:rPr>
          <w:rFonts w:hint="eastAsia" w:ascii="宋体" w:hAnsi="宋体" w:eastAsia="宋体"/>
          <w:b/>
          <w:color w:val="auto"/>
          <w:szCs w:val="21"/>
          <w:highlight w:val="none"/>
        </w:rPr>
      </w:pPr>
      <w:bookmarkStart w:id="24" w:name="_Hlk86745708"/>
      <w:bookmarkStart w:id="25" w:name="_Hlk90987823"/>
      <w:r>
        <w:rPr>
          <w:rFonts w:hint="eastAsia" w:ascii="宋体" w:hAnsi="宋体" w:eastAsia="宋体"/>
          <w:b/>
          <w:bCs/>
          <w:color w:val="auto"/>
          <w:szCs w:val="21"/>
          <w:highlight w:val="none"/>
        </w:rPr>
        <w:t>监狱企业产品、残疾人福利性单位产品价格扣除</w:t>
      </w:r>
    </w:p>
    <w:p w14:paraId="2CED0A90">
      <w:pPr>
        <w:pStyle w:val="26"/>
        <w:ind w:left="-141" w:leftChars="-67" w:firstLine="567" w:firstLineChars="270"/>
        <w:rPr>
          <w:rFonts w:hint="eastAsia"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4"/>
    <w:p w14:paraId="3FC8F83A">
      <w:pPr>
        <w:rPr>
          <w:rFonts w:hint="eastAsia"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5"/>
    <w:p w14:paraId="0E1F4DD5">
      <w:pPr>
        <w:pStyle w:val="26"/>
        <w:numPr>
          <w:ilvl w:val="1"/>
          <w:numId w:val="85"/>
        </w:numPr>
        <w:ind w:left="426" w:hanging="426" w:firstLineChars="0"/>
        <w:rPr>
          <w:rFonts w:hint="eastAsia"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58B60264">
      <w:pPr>
        <w:pStyle w:val="26"/>
        <w:numPr>
          <w:ilvl w:val="0"/>
          <w:numId w:val="89"/>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0ED3F13B">
      <w:pPr>
        <w:pStyle w:val="26"/>
        <w:numPr>
          <w:ilvl w:val="0"/>
          <w:numId w:val="89"/>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5FB56B5B">
      <w:pPr>
        <w:pStyle w:val="26"/>
        <w:numPr>
          <w:ilvl w:val="1"/>
          <w:numId w:val="85"/>
        </w:numPr>
        <w:ind w:left="426" w:hanging="426"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r>
        <w:rPr>
          <w:rFonts w:ascii="宋体" w:hAnsi="宋体" w:eastAsia="宋体"/>
          <w:bCs/>
          <w:color w:val="auto"/>
          <w:szCs w:val="21"/>
          <w:highlight w:val="none"/>
        </w:rPr>
        <w:t>（四舍五入后保留小数点后两位）</w:t>
      </w: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555AB6B2">
      <w:pPr>
        <w:ind w:firstLine="404" w:firstLineChars="200"/>
        <w:jc w:val="left"/>
        <w:rPr>
          <w:rFonts w:hint="eastAsia"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注：因落实政府采购政策进行价格调整的，以调整后的价格计算评标基准价和投标报价。</w:t>
      </w:r>
    </w:p>
    <w:p w14:paraId="564665FE">
      <w:pPr>
        <w:pStyle w:val="26"/>
        <w:numPr>
          <w:ilvl w:val="1"/>
          <w:numId w:val="85"/>
        </w:numPr>
        <w:ind w:left="426" w:hanging="426"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8"/>
        <w:gridCol w:w="2008"/>
        <w:gridCol w:w="2008"/>
        <w:gridCol w:w="1450"/>
      </w:tblGrid>
      <w:tr w14:paraId="3BA34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5" w:type="pct"/>
            <w:vAlign w:val="center"/>
          </w:tcPr>
          <w:p w14:paraId="46D9BF66">
            <w:pPr>
              <w:jc w:val="center"/>
              <w:rPr>
                <w:rFonts w:hint="eastAsia" w:ascii="宋体" w:hAnsi="宋体" w:eastAsia="宋体"/>
                <w:color w:val="auto"/>
                <w:szCs w:val="21"/>
                <w:highlight w:val="none"/>
              </w:rPr>
            </w:pPr>
            <w:r>
              <w:rPr>
                <w:rFonts w:hint="eastAsia" w:ascii="宋体" w:hAnsi="宋体" w:eastAsia="宋体"/>
                <w:color w:val="auto"/>
                <w:szCs w:val="21"/>
                <w:highlight w:val="none"/>
              </w:rPr>
              <w:t>评分项目</w:t>
            </w:r>
          </w:p>
        </w:tc>
        <w:tc>
          <w:tcPr>
            <w:tcW w:w="1081" w:type="pct"/>
            <w:vAlign w:val="center"/>
          </w:tcPr>
          <w:p w14:paraId="275FFAD1">
            <w:pPr>
              <w:jc w:val="center"/>
              <w:rPr>
                <w:rFonts w:hint="eastAsia"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2F5E6849">
            <w:pPr>
              <w:jc w:val="center"/>
              <w:rPr>
                <w:rFonts w:hint="eastAsia"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64005374">
            <w:pPr>
              <w:jc w:val="center"/>
              <w:rPr>
                <w:rFonts w:hint="eastAsia"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36F61B03">
            <w:pPr>
              <w:jc w:val="center"/>
              <w:rPr>
                <w:rFonts w:hint="eastAsia" w:ascii="宋体" w:hAnsi="宋体" w:eastAsia="宋体"/>
                <w:color w:val="auto"/>
                <w:szCs w:val="21"/>
                <w:highlight w:val="none"/>
              </w:rPr>
            </w:pPr>
            <w:r>
              <w:rPr>
                <w:rFonts w:hint="eastAsia" w:ascii="宋体" w:hAnsi="宋体" w:eastAsia="宋体"/>
                <w:color w:val="auto"/>
                <w:szCs w:val="21"/>
                <w:highlight w:val="none"/>
              </w:rPr>
              <w:t>合计</w:t>
            </w:r>
          </w:p>
        </w:tc>
      </w:tr>
      <w:tr w14:paraId="52240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5" w:type="pct"/>
            <w:vAlign w:val="center"/>
          </w:tcPr>
          <w:p w14:paraId="6A112AB2">
            <w:pPr>
              <w:jc w:val="center"/>
              <w:rPr>
                <w:rFonts w:hint="eastAsia" w:ascii="宋体" w:hAnsi="宋体" w:eastAsia="宋体"/>
                <w:color w:val="auto"/>
                <w:szCs w:val="21"/>
                <w:highlight w:val="none"/>
              </w:rPr>
            </w:pPr>
            <w:r>
              <w:rPr>
                <w:rFonts w:hint="eastAsia" w:ascii="宋体" w:hAnsi="宋体" w:eastAsia="宋体"/>
                <w:color w:val="auto"/>
                <w:szCs w:val="21"/>
                <w:highlight w:val="none"/>
              </w:rPr>
              <w:t>权值</w:t>
            </w:r>
          </w:p>
        </w:tc>
        <w:tc>
          <w:tcPr>
            <w:tcW w:w="1081" w:type="pct"/>
            <w:vAlign w:val="center"/>
          </w:tcPr>
          <w:p w14:paraId="689A1433">
            <w:pPr>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2023DC7E">
            <w:pPr>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25</w:t>
            </w:r>
            <w:r>
              <w:rPr>
                <w:rFonts w:hint="eastAsia" w:ascii="宋体" w:hAnsi="宋体" w:eastAsia="宋体"/>
                <w:color w:val="auto"/>
                <w:szCs w:val="21"/>
                <w:highlight w:val="none"/>
              </w:rPr>
              <w:t>%</w:t>
            </w:r>
          </w:p>
        </w:tc>
        <w:tc>
          <w:tcPr>
            <w:tcW w:w="1081" w:type="pct"/>
            <w:vAlign w:val="center"/>
          </w:tcPr>
          <w:p w14:paraId="31B78778">
            <w:pPr>
              <w:jc w:val="center"/>
              <w:rPr>
                <w:rFonts w:hint="default" w:ascii="宋体" w:hAnsi="宋体" w:eastAsia="宋体"/>
                <w:i/>
                <w:color w:val="auto"/>
                <w:szCs w:val="21"/>
                <w:highlight w:val="none"/>
                <w:lang w:val="en-US"/>
              </w:rPr>
            </w:pPr>
            <w:r>
              <w:rPr>
                <w:rFonts w:hint="eastAsia" w:ascii="宋体" w:hAnsi="宋体" w:eastAsia="宋体"/>
                <w:color w:val="auto"/>
                <w:szCs w:val="21"/>
                <w:highlight w:val="none"/>
                <w:lang w:val="en-US" w:eastAsia="zh-CN"/>
              </w:rPr>
              <w:t>55</w:t>
            </w:r>
            <w:r>
              <w:rPr>
                <w:rFonts w:hint="eastAsia" w:ascii="宋体" w:hAnsi="宋体" w:eastAsia="宋体"/>
                <w:color w:val="auto"/>
                <w:szCs w:val="21"/>
                <w:highlight w:val="none"/>
              </w:rPr>
              <w:t>%</w:t>
            </w:r>
          </w:p>
        </w:tc>
        <w:tc>
          <w:tcPr>
            <w:tcW w:w="780" w:type="pct"/>
          </w:tcPr>
          <w:p w14:paraId="63947E3E">
            <w:pPr>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30A6EA1F">
      <w:pPr>
        <w:pStyle w:val="26"/>
        <w:numPr>
          <w:ilvl w:val="0"/>
          <w:numId w:val="90"/>
        </w:numPr>
        <w:ind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0D8DFE26">
      <w:pPr>
        <w:pStyle w:val="26"/>
        <w:numPr>
          <w:ilvl w:val="0"/>
          <w:numId w:val="74"/>
        </w:numPr>
        <w:spacing w:before="217" w:beforeLines="50"/>
        <w:ind w:left="442" w:hanging="442" w:firstLineChars="0"/>
        <w:rPr>
          <w:rFonts w:hint="eastAsia"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12304106">
      <w:pPr>
        <w:pStyle w:val="26"/>
        <w:widowControl/>
        <w:numPr>
          <w:ilvl w:val="3"/>
          <w:numId w:val="91"/>
        </w:numPr>
        <w:ind w:left="426" w:hanging="426"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10F9E5FE">
      <w:pPr>
        <w:pStyle w:val="26"/>
        <w:widowControl/>
        <w:numPr>
          <w:ilvl w:val="0"/>
          <w:numId w:val="92"/>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3A2A68F2">
      <w:pPr>
        <w:pStyle w:val="26"/>
        <w:widowControl/>
        <w:numPr>
          <w:ilvl w:val="0"/>
          <w:numId w:val="92"/>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65380E16">
      <w:pPr>
        <w:pStyle w:val="26"/>
        <w:widowControl/>
        <w:numPr>
          <w:ilvl w:val="0"/>
          <w:numId w:val="92"/>
        </w:numPr>
        <w:ind w:left="426" w:hanging="426" w:firstLineChars="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0A3F28C5">
      <w:pPr>
        <w:pStyle w:val="26"/>
        <w:widowControl/>
        <w:numPr>
          <w:ilvl w:val="0"/>
          <w:numId w:val="92"/>
        </w:numPr>
        <w:ind w:left="426" w:hanging="426" w:firstLineChars="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4ABECEF">
      <w:pPr>
        <w:pStyle w:val="26"/>
        <w:widowControl/>
        <w:numPr>
          <w:ilvl w:val="0"/>
          <w:numId w:val="92"/>
        </w:numPr>
        <w:ind w:left="426" w:hanging="426" w:firstLineChars="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AB160C3">
      <w:pPr>
        <w:widowControl/>
        <w:jc w:val="left"/>
        <w:rPr>
          <w:rFonts w:hint="eastAsia"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5D397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137F97A4">
            <w:pPr>
              <w:widowControl/>
              <w:jc w:val="center"/>
              <w:rPr>
                <w:rFonts w:hint="eastAsia" w:ascii="宋体" w:hAnsi="宋体" w:eastAsia="宋体" w:cs="Times New Roman"/>
                <w:b/>
                <w:bCs/>
                <w:color w:val="auto"/>
                <w:kern w:val="0"/>
                <w:szCs w:val="21"/>
                <w:highlight w:val="none"/>
                <w:lang w:eastAsia="zh-Hans"/>
              </w:rPr>
            </w:pPr>
            <w:bookmarkStart w:id="26"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76AC2A19">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0FFBF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3BF2953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528BF668">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66C1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1A66EC4">
            <w:pPr>
              <w:widowControl/>
              <w:jc w:val="center"/>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9B93985">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19744887">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F11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70A5D01">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6DA54881">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26654E3C">
            <w:pPr>
              <w:widowControl/>
              <w:rPr>
                <w:rFonts w:hint="eastAsia"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hint="eastAsia" w:ascii="宋体" w:hAnsi="宋体" w:eastAsia="宋体" w:cs="Times New Roman"/>
                <w:bCs/>
                <w:color w:val="auto"/>
                <w:kern w:val="0"/>
                <w:szCs w:val="21"/>
                <w:highlight w:val="none"/>
              </w:rPr>
              <w:t>2024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15424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C1517BA">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55795A1A">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35C4ACC4">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在投标文件中填报设备及专业技术能力情况或</w:t>
            </w:r>
            <w:r>
              <w:rPr>
                <w:rFonts w:ascii="宋体" w:hAnsi="宋体" w:eastAsia="宋体" w:cs="Times New Roman"/>
                <w:color w:val="auto"/>
                <w:kern w:val="0"/>
                <w:szCs w:val="21"/>
                <w:highlight w:val="none"/>
                <w:lang w:eastAsia="zh-Hans"/>
              </w:rPr>
              <w:t>投标文件中提供《资格条件承诺函》，格式详见招标文件《资格条件承诺函》。</w:t>
            </w:r>
          </w:p>
        </w:tc>
      </w:tr>
      <w:tr w14:paraId="12F9E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9C2ACA">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5B5B1423">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723FCC39">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w:t>
            </w:r>
            <w:r>
              <w:rPr>
                <w:rFonts w:ascii="宋体" w:hAnsi="宋体" w:eastAsia="宋体" w:cs="Times New Roman"/>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6个月内任意1个月依法缴纳税收和社会保障资金的相关材料；如依法免税或不需要缴纳社会保障资金的，提供相应证明材料。或提供资格条件承诺函（详见投标文件格式）。</w:t>
            </w:r>
          </w:p>
        </w:tc>
      </w:tr>
      <w:tr w14:paraId="4AB75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D23B3CC">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5E38AF18">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33249A27">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提供资格条件承诺函（详见投标文件格式）。</w:t>
            </w:r>
          </w:p>
          <w:p w14:paraId="2F917BFA">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54312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2DE217D">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10DD0B0D">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3F5B35E7">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无</w:t>
            </w:r>
          </w:p>
        </w:tc>
      </w:tr>
      <w:tr w14:paraId="568F3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34273C16">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27A54F95">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1E716ED0">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15CA8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C2097A">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29B65DA1">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ADC4AA8">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color w:val="auto"/>
                <w:kern w:val="0"/>
                <w:szCs w:val="21"/>
                <w:highlight w:val="none"/>
                <w:lang w:eastAsia="zh-Hans"/>
              </w:rPr>
              <w:t>资料）。</w:t>
            </w:r>
          </w:p>
        </w:tc>
      </w:tr>
      <w:tr w14:paraId="693B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7E133B5">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3318D2AA">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41C6827A">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color w:val="auto"/>
                <w:kern w:val="0"/>
                <w:szCs w:val="21"/>
                <w:highlight w:val="none"/>
                <w:lang w:eastAsia="zh-Hans"/>
              </w:rPr>
              <w:t>不得再参与本项目投标。</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p>
        </w:tc>
      </w:tr>
      <w:bookmarkEnd w:id="26"/>
    </w:tbl>
    <w:p w14:paraId="2DCFC1C5">
      <w:pPr>
        <w:pageBreakBefore/>
        <w:jc w:val="left"/>
        <w:rPr>
          <w:rFonts w:hint="eastAsia" w:ascii="宋体" w:hAnsi="宋体" w:eastAsia="宋体" w:cs="Times New Roman"/>
          <w:b/>
          <w:bCs/>
          <w:color w:val="auto"/>
          <w:kern w:val="0"/>
          <w:szCs w:val="21"/>
          <w:highlight w:val="none"/>
          <w:lang w:eastAsia="zh-Hans"/>
        </w:rPr>
      </w:pPr>
      <w:bookmarkStart w:id="27" w:name="_Hlk169888893"/>
      <w:r>
        <w:rPr>
          <w:rFonts w:ascii="宋体" w:hAnsi="宋体" w:eastAsia="宋体" w:cs="Times New Roman"/>
          <w:b/>
          <w:bCs/>
          <w:color w:val="auto"/>
          <w:kern w:val="0"/>
          <w:szCs w:val="21"/>
          <w:highlight w:val="none"/>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0C8C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1FD84FE">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3A9CF295">
            <w:pPr>
              <w:widowControl/>
              <w:jc w:val="left"/>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0FF73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437182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2EDBB4A6">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62613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DBCA3B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76E48C2F">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39DB8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750F2E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4991D33F">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19519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06734E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04B6097D">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74F7D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C973E1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138FB65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067B8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994C24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19981B3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3CC2D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C2AF99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2A78561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7"/>
    </w:tbl>
    <w:p w14:paraId="33AC3EAF">
      <w:pPr>
        <w:pStyle w:val="26"/>
        <w:numPr>
          <w:ilvl w:val="3"/>
          <w:numId w:val="91"/>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bookmarkStart w:id="28" w:name="_Hlk169889470"/>
      <w:r>
        <w:rPr>
          <w:rFonts w:ascii="宋体" w:hAnsi="宋体" w:eastAsia="宋体" w:cs="Times New Roman"/>
          <w:b/>
          <w:color w:val="auto"/>
          <w:kern w:val="0"/>
          <w:szCs w:val="21"/>
          <w:highlight w:val="none"/>
          <w:lang w:eastAsia="zh-Hans"/>
        </w:rPr>
        <w:t>详细评审</w:t>
      </w:r>
      <w:bookmarkEnd w:id="28"/>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58888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4BE14193">
            <w:pPr>
              <w:pStyle w:val="29"/>
              <w:spacing w:line="400" w:lineRule="exact"/>
              <w:ind w:firstLine="0" w:firstLineChars="0"/>
              <w:jc w:val="center"/>
              <w:rPr>
                <w:rFonts w:hint="eastAsia" w:ascii="宋体" w:hAnsi="宋体" w:eastAsia="宋体"/>
                <w:color w:val="auto"/>
                <w:szCs w:val="21"/>
                <w:highlight w:val="none"/>
                <w:lang w:val="en-US" w:eastAsia="zh-CN"/>
              </w:rPr>
            </w:pPr>
            <w:bookmarkStart w:id="29" w:name="_Hlk169889554"/>
            <w:r>
              <w:rPr>
                <w:rFonts w:hint="eastAsia" w:ascii="宋体" w:eastAsia="宋体"/>
                <w:b/>
                <w:color w:val="auto"/>
                <w:sz w:val="21"/>
                <w:szCs w:val="21"/>
                <w:highlight w:val="none"/>
              </w:rPr>
              <w:t>序号</w:t>
            </w:r>
          </w:p>
        </w:tc>
        <w:tc>
          <w:tcPr>
            <w:tcW w:w="830" w:type="pct"/>
            <w:gridSpan w:val="2"/>
            <w:vAlign w:val="center"/>
          </w:tcPr>
          <w:p w14:paraId="1AFB10A2">
            <w:pPr>
              <w:pStyle w:val="29"/>
              <w:spacing w:line="400" w:lineRule="exact"/>
              <w:ind w:firstLine="0" w:firstLineChars="0"/>
              <w:jc w:val="center"/>
              <w:rPr>
                <w:rFonts w:hint="eastAsia" w:ascii="宋体" w:hAnsi="宋体" w:eastAsia="宋体"/>
                <w:color w:val="auto"/>
                <w:szCs w:val="21"/>
                <w:highlight w:val="none"/>
                <w:lang w:val="en-US" w:eastAsia="zh-CN"/>
              </w:rPr>
            </w:pPr>
            <w:r>
              <w:rPr>
                <w:rFonts w:hint="eastAsia" w:ascii="宋体" w:eastAsia="宋体"/>
                <w:b/>
                <w:color w:val="auto"/>
                <w:sz w:val="21"/>
                <w:szCs w:val="21"/>
                <w:highlight w:val="none"/>
              </w:rPr>
              <w:t>评分内容</w:t>
            </w:r>
          </w:p>
        </w:tc>
        <w:tc>
          <w:tcPr>
            <w:tcW w:w="529" w:type="pct"/>
            <w:vAlign w:val="center"/>
          </w:tcPr>
          <w:p w14:paraId="4CE9728E">
            <w:pPr>
              <w:pStyle w:val="29"/>
              <w:spacing w:line="400" w:lineRule="exact"/>
              <w:ind w:firstLine="0" w:firstLineChars="0"/>
              <w:jc w:val="center"/>
              <w:rPr>
                <w:rFonts w:hint="eastAsia" w:ascii="宋体" w:hAnsi="宋体" w:eastAsia="宋体"/>
                <w:color w:val="auto"/>
                <w:szCs w:val="21"/>
                <w:highlight w:val="none"/>
                <w:lang w:val="en-US" w:eastAsia="zh-CN"/>
              </w:rPr>
            </w:pPr>
            <w:r>
              <w:rPr>
                <w:rFonts w:hint="eastAsia" w:ascii="宋体" w:eastAsia="宋体"/>
                <w:b/>
                <w:color w:val="auto"/>
                <w:sz w:val="21"/>
                <w:szCs w:val="21"/>
                <w:highlight w:val="none"/>
              </w:rPr>
              <w:t>分值</w:t>
            </w:r>
          </w:p>
        </w:tc>
        <w:tc>
          <w:tcPr>
            <w:tcW w:w="3161" w:type="pct"/>
            <w:vAlign w:val="center"/>
          </w:tcPr>
          <w:p w14:paraId="7B9FEA5A">
            <w:pPr>
              <w:pStyle w:val="29"/>
              <w:spacing w:line="400" w:lineRule="exact"/>
              <w:ind w:firstLine="0" w:firstLineChars="0"/>
              <w:jc w:val="center"/>
              <w:rPr>
                <w:rFonts w:hint="eastAsia" w:ascii="宋体" w:eastAsia="宋体"/>
                <w:b w:val="0"/>
                <w:bCs/>
                <w:color w:val="auto"/>
                <w:sz w:val="21"/>
                <w:szCs w:val="21"/>
                <w:highlight w:val="none"/>
              </w:rPr>
            </w:pPr>
            <w:r>
              <w:rPr>
                <w:rFonts w:hint="eastAsia" w:ascii="宋体" w:eastAsia="宋体"/>
                <w:b/>
                <w:color w:val="auto"/>
                <w:sz w:val="21"/>
                <w:szCs w:val="21"/>
                <w:highlight w:val="none"/>
              </w:rPr>
              <w:t>评审标准</w:t>
            </w:r>
          </w:p>
        </w:tc>
      </w:tr>
      <w:tr w14:paraId="5D968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5000" w:type="pct"/>
            <w:gridSpan w:val="5"/>
            <w:vAlign w:val="center"/>
          </w:tcPr>
          <w:p w14:paraId="09CCD2DA">
            <w:pPr>
              <w:pStyle w:val="29"/>
              <w:spacing w:line="400" w:lineRule="exact"/>
              <w:ind w:firstLine="0" w:firstLineChars="0"/>
              <w:jc w:val="center"/>
              <w:rPr>
                <w:rFonts w:hint="eastAsia" w:ascii="宋体" w:eastAsia="宋体"/>
                <w:b w:val="0"/>
                <w:bCs/>
                <w:color w:val="auto"/>
                <w:sz w:val="21"/>
                <w:szCs w:val="21"/>
                <w:highlight w:val="none"/>
              </w:rPr>
            </w:pPr>
            <w:r>
              <w:rPr>
                <w:rFonts w:hint="eastAsia" w:ascii="宋体" w:eastAsia="宋体"/>
                <w:b/>
                <w:color w:val="auto"/>
                <w:sz w:val="21"/>
                <w:szCs w:val="21"/>
                <w:highlight w:val="none"/>
                <w:lang w:val="en-US" w:eastAsia="zh-CN"/>
              </w:rPr>
              <w:t>价格</w:t>
            </w:r>
            <w:r>
              <w:rPr>
                <w:rFonts w:hint="eastAsia" w:ascii="宋体" w:eastAsia="宋体"/>
                <w:b/>
                <w:color w:val="auto"/>
                <w:sz w:val="21"/>
                <w:szCs w:val="21"/>
                <w:highlight w:val="none"/>
              </w:rPr>
              <w:t>评审细则（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2FBE8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77FDE336">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w:t>
            </w:r>
          </w:p>
        </w:tc>
        <w:tc>
          <w:tcPr>
            <w:tcW w:w="830" w:type="pct"/>
            <w:gridSpan w:val="2"/>
            <w:vAlign w:val="center"/>
          </w:tcPr>
          <w:p w14:paraId="56F4DFB4">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价格评审</w:t>
            </w:r>
          </w:p>
        </w:tc>
        <w:tc>
          <w:tcPr>
            <w:tcW w:w="529" w:type="pct"/>
            <w:vAlign w:val="center"/>
          </w:tcPr>
          <w:p w14:paraId="43798629">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分</w:t>
            </w:r>
          </w:p>
        </w:tc>
        <w:tc>
          <w:tcPr>
            <w:tcW w:w="3161" w:type="pct"/>
            <w:vAlign w:val="center"/>
          </w:tcPr>
          <w:p w14:paraId="65C9FC6A">
            <w:pPr>
              <w:pStyle w:val="29"/>
              <w:spacing w:line="400" w:lineRule="exact"/>
              <w:ind w:firstLine="0" w:firstLineChars="0"/>
              <w:jc w:val="left"/>
              <w:rPr>
                <w:rFonts w:hint="eastAsia" w:ascii="宋体" w:eastAsia="宋体"/>
                <w:b/>
                <w:color w:val="auto"/>
                <w:sz w:val="21"/>
                <w:szCs w:val="21"/>
                <w:highlight w:val="none"/>
              </w:rPr>
            </w:pPr>
            <w:r>
              <w:rPr>
                <w:rFonts w:hint="eastAsia" w:ascii="宋体" w:eastAsia="宋体"/>
                <w:b w:val="0"/>
                <w:bCs/>
                <w:color w:val="auto"/>
                <w:sz w:val="21"/>
                <w:szCs w:val="21"/>
                <w:highlight w:val="none"/>
              </w:rPr>
              <w:t>价格分应当采用低价优先法计算，即满足招标文件要求且投标价格最低的投标报价为评标基准价，其价格分为满分。其他投标人的价格分统一按照下列公式计算（四舍五入后保留小数点后两位）：投标人价格得分=(评标基准价／投标报价)×价格权值×100</w:t>
            </w:r>
          </w:p>
        </w:tc>
      </w:tr>
      <w:tr w14:paraId="0187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4DD16441">
            <w:pPr>
              <w:pStyle w:val="29"/>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25</w:t>
            </w:r>
            <w:r>
              <w:rPr>
                <w:rFonts w:hint="eastAsia" w:ascii="宋体" w:eastAsia="宋体"/>
                <w:b/>
                <w:color w:val="auto"/>
                <w:sz w:val="21"/>
                <w:szCs w:val="21"/>
                <w:highlight w:val="none"/>
              </w:rPr>
              <w:t>分）</w:t>
            </w:r>
          </w:p>
        </w:tc>
      </w:tr>
      <w:tr w14:paraId="5C41F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05A0877A">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821" w:type="pct"/>
            <w:vAlign w:val="center"/>
          </w:tcPr>
          <w:p w14:paraId="7E6F36B3">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业绩情况</w:t>
            </w:r>
          </w:p>
        </w:tc>
        <w:tc>
          <w:tcPr>
            <w:tcW w:w="537" w:type="pct"/>
            <w:gridSpan w:val="2"/>
            <w:vAlign w:val="center"/>
          </w:tcPr>
          <w:p w14:paraId="6F3DF178">
            <w:pPr>
              <w:widowControl/>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val="en-US" w:eastAsia="zh-CN"/>
              </w:rPr>
              <w:t>15</w:t>
            </w:r>
            <w:r>
              <w:rPr>
                <w:rFonts w:hint="eastAsia" w:ascii="宋体" w:hAnsi="宋体" w:eastAsia="宋体"/>
                <w:bCs/>
                <w:color w:val="auto"/>
                <w:szCs w:val="21"/>
                <w:highlight w:val="none"/>
              </w:rPr>
              <w:t>分</w:t>
            </w:r>
          </w:p>
        </w:tc>
        <w:tc>
          <w:tcPr>
            <w:tcW w:w="3161" w:type="pct"/>
            <w:vAlign w:val="center"/>
          </w:tcPr>
          <w:p w14:paraId="773F40E7">
            <w:pPr>
              <w:spacing w:line="400" w:lineRule="exact"/>
              <w:rPr>
                <w:rFonts w:hint="eastAsia" w:ascii="宋体" w:hAnsi="宋体" w:eastAsia="宋体"/>
                <w:b w:val="0"/>
                <w:bCs w:val="0"/>
                <w:color w:val="auto"/>
                <w:szCs w:val="21"/>
                <w:highlight w:val="none"/>
                <w:u w:val="none"/>
                <w:lang w:val="en-US" w:eastAsia="zh-Hans"/>
              </w:rPr>
            </w:pPr>
            <w:r>
              <w:rPr>
                <w:rFonts w:hint="eastAsia" w:ascii="宋体" w:hAnsi="宋体" w:eastAsia="宋体"/>
                <w:b w:val="0"/>
                <w:bCs w:val="0"/>
                <w:color w:val="auto"/>
                <w:szCs w:val="21"/>
                <w:highlight w:val="none"/>
                <w:u w:val="none"/>
                <w:lang w:val="en-US" w:eastAsia="zh-Hans"/>
              </w:rPr>
              <w:t>根据投标人具有的</w:t>
            </w:r>
            <w:r>
              <w:rPr>
                <w:rFonts w:hint="eastAsia" w:ascii="宋体" w:hAnsi="宋体" w:eastAsia="宋体"/>
                <w:b w:val="0"/>
                <w:bCs w:val="0"/>
                <w:color w:val="auto"/>
                <w:szCs w:val="21"/>
                <w:highlight w:val="none"/>
                <w:u w:val="none"/>
                <w:lang w:val="en-US" w:eastAsia="zh-CN"/>
              </w:rPr>
              <w:t>终端</w:t>
            </w:r>
            <w:r>
              <w:rPr>
                <w:rFonts w:hint="eastAsia" w:ascii="宋体" w:hAnsi="宋体" w:eastAsia="宋体"/>
                <w:b w:val="0"/>
                <w:bCs w:val="0"/>
                <w:color w:val="auto"/>
                <w:szCs w:val="21"/>
                <w:highlight w:val="none"/>
                <w:u w:val="none"/>
                <w:lang w:val="en-US" w:eastAsia="zh-Hans"/>
              </w:rPr>
              <w:t>运维类项目业绩进行评审，每提供一项得</w:t>
            </w:r>
            <w:r>
              <w:rPr>
                <w:rFonts w:hint="eastAsia" w:ascii="宋体" w:hAnsi="宋体" w:eastAsia="宋体"/>
                <w:b w:val="0"/>
                <w:bCs w:val="0"/>
                <w:color w:val="auto"/>
                <w:szCs w:val="21"/>
                <w:highlight w:val="none"/>
                <w:u w:val="none"/>
                <w:lang w:val="en-US" w:eastAsia="zh-CN"/>
              </w:rPr>
              <w:t>3</w:t>
            </w:r>
            <w:r>
              <w:rPr>
                <w:rFonts w:hint="eastAsia" w:ascii="宋体" w:hAnsi="宋体" w:eastAsia="宋体"/>
                <w:b w:val="0"/>
                <w:bCs w:val="0"/>
                <w:color w:val="auto"/>
                <w:szCs w:val="21"/>
                <w:highlight w:val="none"/>
                <w:u w:val="none"/>
                <w:lang w:val="en-US" w:eastAsia="zh-Hans"/>
              </w:rPr>
              <w:t>分，本项最高得1</w:t>
            </w:r>
            <w:r>
              <w:rPr>
                <w:rFonts w:hint="eastAsia" w:ascii="宋体" w:hAnsi="宋体" w:eastAsia="宋体"/>
                <w:b w:val="0"/>
                <w:bCs w:val="0"/>
                <w:color w:val="auto"/>
                <w:szCs w:val="21"/>
                <w:highlight w:val="none"/>
                <w:u w:val="none"/>
                <w:lang w:val="en-US" w:eastAsia="zh-CN"/>
              </w:rPr>
              <w:t>5</w:t>
            </w:r>
            <w:r>
              <w:rPr>
                <w:rFonts w:hint="eastAsia" w:ascii="宋体" w:hAnsi="宋体" w:eastAsia="宋体"/>
                <w:b w:val="0"/>
                <w:bCs w:val="0"/>
                <w:color w:val="auto"/>
                <w:szCs w:val="21"/>
                <w:highlight w:val="none"/>
                <w:u w:val="none"/>
                <w:lang w:val="en-US" w:eastAsia="zh-Hans"/>
              </w:rPr>
              <w:t>分。</w:t>
            </w:r>
          </w:p>
          <w:p w14:paraId="5C585226">
            <w:pPr>
              <w:spacing w:line="400" w:lineRule="exact"/>
              <w:rPr>
                <w:rFonts w:hint="eastAsia" w:ascii="宋体" w:hAnsi="宋体" w:eastAsia="宋体"/>
                <w:b/>
                <w:bCs/>
                <w:color w:val="auto"/>
                <w:szCs w:val="21"/>
                <w:highlight w:val="none"/>
                <w:u w:val="single"/>
              </w:rPr>
            </w:pPr>
            <w:r>
              <w:rPr>
                <w:rFonts w:hint="eastAsia" w:ascii="宋体" w:hAnsi="宋体" w:eastAsia="宋体"/>
                <w:b/>
                <w:bCs/>
                <w:color w:val="auto"/>
                <w:szCs w:val="21"/>
                <w:highlight w:val="none"/>
                <w:u w:val="single"/>
                <w:lang w:val="en-US" w:eastAsia="zh-Hans"/>
              </w:rPr>
              <w:t>注：须提供合同复印件加盖投标人公章。</w:t>
            </w:r>
          </w:p>
        </w:tc>
      </w:tr>
      <w:tr w14:paraId="43B8E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7E1E3C93">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2</w:t>
            </w:r>
          </w:p>
        </w:tc>
        <w:tc>
          <w:tcPr>
            <w:tcW w:w="821" w:type="pct"/>
            <w:vAlign w:val="center"/>
          </w:tcPr>
          <w:p w14:paraId="378B78C4">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val="en-GB"/>
              </w:rPr>
              <w:t>故障应急响应时间</w:t>
            </w:r>
          </w:p>
        </w:tc>
        <w:tc>
          <w:tcPr>
            <w:tcW w:w="537" w:type="pct"/>
            <w:gridSpan w:val="2"/>
            <w:vAlign w:val="center"/>
          </w:tcPr>
          <w:p w14:paraId="5F543436">
            <w:pPr>
              <w:widowControl/>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lang w:val="en-US" w:eastAsia="zh-CN"/>
              </w:rPr>
              <w:t>4</w:t>
            </w:r>
            <w:r>
              <w:rPr>
                <w:rFonts w:hint="eastAsia" w:ascii="宋体" w:hAnsi="宋体" w:eastAsia="宋体"/>
                <w:bCs/>
                <w:color w:val="auto"/>
                <w:szCs w:val="21"/>
                <w:highlight w:val="none"/>
              </w:rPr>
              <w:t>分</w:t>
            </w:r>
          </w:p>
        </w:tc>
        <w:tc>
          <w:tcPr>
            <w:tcW w:w="3161" w:type="pct"/>
            <w:vAlign w:val="center"/>
          </w:tcPr>
          <w:p w14:paraId="1486E28A">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根据投标人承诺</w:t>
            </w:r>
            <w:r>
              <w:rPr>
                <w:rFonts w:hint="eastAsia" w:ascii="宋体" w:hAnsi="宋体" w:eastAsia="宋体"/>
                <w:b w:val="0"/>
                <w:bCs w:val="0"/>
                <w:color w:val="auto"/>
                <w:szCs w:val="21"/>
                <w:highlight w:val="none"/>
                <w:u w:val="none"/>
                <w:lang w:val="en-US" w:eastAsia="zh-CN"/>
              </w:rPr>
              <w:t>出现</w:t>
            </w:r>
            <w:r>
              <w:rPr>
                <w:rFonts w:hint="eastAsia" w:ascii="宋体" w:hAnsi="宋体" w:eastAsia="宋体"/>
                <w:b w:val="0"/>
                <w:bCs w:val="0"/>
                <w:color w:val="auto"/>
                <w:szCs w:val="21"/>
                <w:highlight w:val="none"/>
                <w:u w:val="none"/>
                <w:lang w:val="en-GB"/>
              </w:rPr>
              <w:t>故障应急响应时间</w:t>
            </w:r>
            <w:r>
              <w:rPr>
                <w:rFonts w:hint="eastAsia" w:ascii="宋体" w:hAnsi="宋体" w:eastAsia="宋体"/>
                <w:b w:val="0"/>
                <w:bCs w:val="0"/>
                <w:color w:val="auto"/>
                <w:szCs w:val="21"/>
                <w:highlight w:val="none"/>
                <w:u w:val="none"/>
                <w:lang w:val="en-US" w:eastAsia="zh-CN"/>
              </w:rPr>
              <w:t>承诺</w:t>
            </w:r>
            <w:r>
              <w:rPr>
                <w:rFonts w:hint="eastAsia" w:ascii="宋体" w:hAnsi="宋体" w:eastAsia="宋体"/>
                <w:b w:val="0"/>
                <w:bCs w:val="0"/>
                <w:color w:val="auto"/>
                <w:szCs w:val="21"/>
                <w:highlight w:val="none"/>
                <w:u w:val="none"/>
              </w:rPr>
              <w:t>进行评审：</w:t>
            </w:r>
          </w:p>
          <w:p w14:paraId="09DB79E6">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1、投标人承诺在接到</w:t>
            </w:r>
            <w:r>
              <w:rPr>
                <w:rFonts w:hint="eastAsia" w:ascii="宋体" w:hAnsi="宋体" w:eastAsia="宋体"/>
                <w:b w:val="0"/>
                <w:bCs w:val="0"/>
                <w:color w:val="auto"/>
                <w:szCs w:val="21"/>
                <w:highlight w:val="none"/>
                <w:u w:val="none"/>
                <w:lang w:eastAsia="zh-CN"/>
              </w:rPr>
              <w:t>（发现）</w:t>
            </w:r>
            <w:r>
              <w:rPr>
                <w:rFonts w:hint="eastAsia" w:ascii="宋体" w:hAnsi="宋体" w:eastAsia="宋体"/>
                <w:b w:val="0"/>
                <w:bCs w:val="0"/>
                <w:color w:val="auto"/>
                <w:szCs w:val="21"/>
                <w:highlight w:val="none"/>
                <w:u w:val="none"/>
              </w:rPr>
              <w:t>采购人</w:t>
            </w:r>
            <w:r>
              <w:rPr>
                <w:rFonts w:hint="eastAsia" w:ascii="宋体" w:hAnsi="宋体" w:eastAsia="宋体"/>
                <w:b w:val="0"/>
                <w:bCs w:val="0"/>
                <w:color w:val="auto"/>
                <w:szCs w:val="21"/>
                <w:highlight w:val="none"/>
                <w:u w:val="none"/>
                <w:lang w:val="en-GB"/>
              </w:rPr>
              <w:t>终端设备发生硬件故障的</w:t>
            </w:r>
            <w:r>
              <w:rPr>
                <w:rFonts w:hint="eastAsia" w:ascii="宋体" w:hAnsi="宋体" w:eastAsia="宋体"/>
                <w:b w:val="0"/>
                <w:bCs w:val="0"/>
                <w:color w:val="auto"/>
                <w:szCs w:val="21"/>
                <w:highlight w:val="none"/>
                <w:u w:val="none"/>
              </w:rPr>
              <w:t>通知后</w:t>
            </w:r>
            <w:r>
              <w:rPr>
                <w:rFonts w:hint="eastAsia" w:ascii="宋体" w:hAnsi="宋体" w:eastAsia="宋体"/>
                <w:b w:val="0"/>
                <w:bCs w:val="0"/>
                <w:color w:val="auto"/>
                <w:szCs w:val="21"/>
                <w:highlight w:val="none"/>
                <w:u w:val="none"/>
                <w:lang w:val="en-US" w:eastAsia="zh-CN"/>
              </w:rPr>
              <w:t>2</w:t>
            </w:r>
            <w:r>
              <w:rPr>
                <w:rFonts w:hint="eastAsia" w:ascii="宋体" w:hAnsi="宋体" w:eastAsia="宋体"/>
                <w:b w:val="0"/>
                <w:bCs w:val="0"/>
                <w:color w:val="auto"/>
                <w:szCs w:val="21"/>
                <w:highlight w:val="none"/>
                <w:u w:val="none"/>
              </w:rPr>
              <w:t>小时（含）内到达</w:t>
            </w:r>
            <w:r>
              <w:rPr>
                <w:rFonts w:hint="eastAsia" w:ascii="宋体" w:hAnsi="宋体" w:eastAsia="宋体"/>
                <w:b w:val="0"/>
                <w:bCs w:val="0"/>
                <w:color w:val="auto"/>
                <w:szCs w:val="21"/>
                <w:highlight w:val="none"/>
                <w:u w:val="none"/>
                <w:lang w:val="en-US" w:eastAsia="zh-CN"/>
              </w:rPr>
              <w:t>采购人指定</w:t>
            </w:r>
            <w:r>
              <w:rPr>
                <w:rFonts w:hint="eastAsia" w:ascii="宋体" w:hAnsi="宋体" w:eastAsia="宋体"/>
                <w:b w:val="0"/>
                <w:bCs w:val="0"/>
                <w:color w:val="auto"/>
                <w:szCs w:val="21"/>
                <w:highlight w:val="none"/>
                <w:u w:val="none"/>
              </w:rPr>
              <w:t>现场的，得</w:t>
            </w:r>
            <w:r>
              <w:rPr>
                <w:rFonts w:hint="eastAsia" w:ascii="宋体" w:hAnsi="宋体" w:eastAsia="宋体"/>
                <w:b w:val="0"/>
                <w:bCs w:val="0"/>
                <w:color w:val="auto"/>
                <w:szCs w:val="21"/>
                <w:highlight w:val="none"/>
                <w:u w:val="none"/>
                <w:lang w:val="en-US" w:eastAsia="zh-CN"/>
              </w:rPr>
              <w:t>4</w:t>
            </w:r>
            <w:r>
              <w:rPr>
                <w:rFonts w:hint="eastAsia" w:ascii="宋体" w:hAnsi="宋体" w:eastAsia="宋体"/>
                <w:b w:val="0"/>
                <w:bCs w:val="0"/>
                <w:color w:val="auto"/>
                <w:szCs w:val="21"/>
                <w:highlight w:val="none"/>
                <w:u w:val="none"/>
              </w:rPr>
              <w:t>分；</w:t>
            </w:r>
          </w:p>
          <w:p w14:paraId="5C61BA2E">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2、投标人承诺在接到采购人</w:t>
            </w:r>
            <w:r>
              <w:rPr>
                <w:rFonts w:hint="eastAsia" w:ascii="宋体" w:hAnsi="宋体" w:eastAsia="宋体"/>
                <w:b w:val="0"/>
                <w:bCs w:val="0"/>
                <w:color w:val="auto"/>
                <w:szCs w:val="21"/>
                <w:highlight w:val="none"/>
                <w:u w:val="none"/>
                <w:lang w:val="en-GB"/>
              </w:rPr>
              <w:t>终端设备发生硬件故障的</w:t>
            </w:r>
            <w:r>
              <w:rPr>
                <w:rFonts w:hint="eastAsia" w:ascii="宋体" w:hAnsi="宋体" w:eastAsia="宋体"/>
                <w:b w:val="0"/>
                <w:bCs w:val="0"/>
                <w:color w:val="auto"/>
                <w:szCs w:val="21"/>
                <w:highlight w:val="none"/>
                <w:u w:val="none"/>
              </w:rPr>
              <w:t>通知后</w:t>
            </w:r>
            <w:r>
              <w:rPr>
                <w:rFonts w:hint="eastAsia" w:ascii="宋体" w:hAnsi="宋体" w:eastAsia="宋体"/>
                <w:b w:val="0"/>
                <w:bCs w:val="0"/>
                <w:color w:val="auto"/>
                <w:szCs w:val="21"/>
                <w:highlight w:val="none"/>
                <w:u w:val="none"/>
                <w:lang w:val="en-US" w:eastAsia="zh-CN"/>
              </w:rPr>
              <w:t>2</w:t>
            </w:r>
            <w:r>
              <w:rPr>
                <w:rFonts w:hint="eastAsia" w:ascii="宋体" w:hAnsi="宋体" w:eastAsia="宋体"/>
                <w:b w:val="0"/>
                <w:bCs w:val="0"/>
                <w:color w:val="auto"/>
                <w:szCs w:val="21"/>
                <w:highlight w:val="none"/>
                <w:u w:val="none"/>
              </w:rPr>
              <w:t>小时（</w:t>
            </w:r>
            <w:r>
              <w:rPr>
                <w:rFonts w:hint="eastAsia" w:ascii="宋体" w:hAnsi="宋体" w:eastAsia="宋体"/>
                <w:b w:val="0"/>
                <w:bCs w:val="0"/>
                <w:color w:val="auto"/>
                <w:szCs w:val="21"/>
                <w:highlight w:val="none"/>
                <w:u w:val="none"/>
                <w:lang w:val="en-US" w:eastAsia="zh-CN"/>
              </w:rPr>
              <w:t>不</w:t>
            </w:r>
            <w:r>
              <w:rPr>
                <w:rFonts w:hint="eastAsia" w:ascii="宋体" w:hAnsi="宋体" w:eastAsia="宋体"/>
                <w:b w:val="0"/>
                <w:bCs w:val="0"/>
                <w:color w:val="auto"/>
                <w:szCs w:val="21"/>
                <w:highlight w:val="none"/>
                <w:u w:val="none"/>
              </w:rPr>
              <w:t>含）</w:t>
            </w:r>
            <w:r>
              <w:rPr>
                <w:rFonts w:hint="eastAsia" w:ascii="宋体" w:hAnsi="宋体" w:eastAsia="宋体"/>
                <w:b w:val="0"/>
                <w:bCs w:val="0"/>
                <w:color w:val="auto"/>
                <w:szCs w:val="21"/>
                <w:highlight w:val="none"/>
                <w:u w:val="none"/>
                <w:lang w:val="en-US" w:eastAsia="zh-CN"/>
              </w:rPr>
              <w:t>至3小时（含）</w:t>
            </w:r>
            <w:r>
              <w:rPr>
                <w:rFonts w:hint="eastAsia" w:ascii="宋体" w:hAnsi="宋体" w:eastAsia="宋体"/>
                <w:b w:val="0"/>
                <w:bCs w:val="0"/>
                <w:color w:val="auto"/>
                <w:szCs w:val="21"/>
                <w:highlight w:val="none"/>
                <w:u w:val="none"/>
              </w:rPr>
              <w:t>内到达</w:t>
            </w:r>
            <w:r>
              <w:rPr>
                <w:rFonts w:hint="eastAsia" w:ascii="宋体" w:hAnsi="宋体" w:eastAsia="宋体"/>
                <w:b w:val="0"/>
                <w:bCs w:val="0"/>
                <w:color w:val="auto"/>
                <w:szCs w:val="21"/>
                <w:highlight w:val="none"/>
                <w:u w:val="none"/>
                <w:lang w:val="en-US" w:eastAsia="zh-CN"/>
              </w:rPr>
              <w:t>采购人指定</w:t>
            </w:r>
            <w:r>
              <w:rPr>
                <w:rFonts w:hint="eastAsia" w:ascii="宋体" w:hAnsi="宋体" w:eastAsia="宋体"/>
                <w:b w:val="0"/>
                <w:bCs w:val="0"/>
                <w:color w:val="auto"/>
                <w:szCs w:val="21"/>
                <w:highlight w:val="none"/>
                <w:u w:val="none"/>
              </w:rPr>
              <w:t>现场的，得</w:t>
            </w:r>
            <w:r>
              <w:rPr>
                <w:rFonts w:hint="eastAsia" w:ascii="宋体" w:hAnsi="宋体" w:eastAsia="宋体"/>
                <w:b w:val="0"/>
                <w:bCs w:val="0"/>
                <w:color w:val="auto"/>
                <w:szCs w:val="21"/>
                <w:highlight w:val="none"/>
                <w:u w:val="none"/>
                <w:lang w:val="en-US" w:eastAsia="zh-CN"/>
              </w:rPr>
              <w:t>2</w:t>
            </w:r>
            <w:r>
              <w:rPr>
                <w:rFonts w:hint="eastAsia" w:ascii="宋体" w:hAnsi="宋体" w:eastAsia="宋体"/>
                <w:b w:val="0"/>
                <w:bCs w:val="0"/>
                <w:color w:val="auto"/>
                <w:szCs w:val="21"/>
                <w:highlight w:val="none"/>
                <w:u w:val="none"/>
              </w:rPr>
              <w:t>分；</w:t>
            </w:r>
          </w:p>
          <w:p w14:paraId="46DD5E3C">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3、投标人承诺在接到采购人</w:t>
            </w:r>
            <w:r>
              <w:rPr>
                <w:rFonts w:hint="eastAsia" w:ascii="宋体" w:hAnsi="宋体" w:eastAsia="宋体"/>
                <w:b w:val="0"/>
                <w:bCs w:val="0"/>
                <w:color w:val="auto"/>
                <w:szCs w:val="21"/>
                <w:highlight w:val="none"/>
                <w:u w:val="none"/>
                <w:lang w:val="en-GB"/>
              </w:rPr>
              <w:t>终端设备发生硬件故障的</w:t>
            </w:r>
            <w:r>
              <w:rPr>
                <w:rFonts w:hint="eastAsia" w:ascii="宋体" w:hAnsi="宋体" w:eastAsia="宋体"/>
                <w:b w:val="0"/>
                <w:bCs w:val="0"/>
                <w:color w:val="auto"/>
                <w:szCs w:val="21"/>
                <w:highlight w:val="none"/>
                <w:u w:val="none"/>
              </w:rPr>
              <w:t>通知后</w:t>
            </w:r>
            <w:r>
              <w:rPr>
                <w:rFonts w:hint="eastAsia" w:ascii="宋体" w:hAnsi="宋体" w:eastAsia="宋体"/>
                <w:b w:val="0"/>
                <w:bCs w:val="0"/>
                <w:color w:val="auto"/>
                <w:szCs w:val="21"/>
                <w:highlight w:val="none"/>
                <w:u w:val="none"/>
                <w:lang w:val="en-US" w:eastAsia="zh-CN"/>
              </w:rPr>
              <w:t>3</w:t>
            </w:r>
            <w:r>
              <w:rPr>
                <w:rFonts w:hint="eastAsia" w:ascii="宋体" w:hAnsi="宋体" w:eastAsia="宋体"/>
                <w:b w:val="0"/>
                <w:bCs w:val="0"/>
                <w:color w:val="auto"/>
                <w:szCs w:val="21"/>
                <w:highlight w:val="none"/>
                <w:u w:val="none"/>
              </w:rPr>
              <w:t>小时（</w:t>
            </w:r>
            <w:r>
              <w:rPr>
                <w:rFonts w:hint="eastAsia" w:ascii="宋体" w:hAnsi="宋体" w:eastAsia="宋体"/>
                <w:b w:val="0"/>
                <w:bCs w:val="0"/>
                <w:color w:val="auto"/>
                <w:szCs w:val="21"/>
                <w:highlight w:val="none"/>
                <w:u w:val="none"/>
                <w:lang w:val="en-US" w:eastAsia="zh-CN"/>
              </w:rPr>
              <w:t>不</w:t>
            </w:r>
            <w:r>
              <w:rPr>
                <w:rFonts w:hint="eastAsia" w:ascii="宋体" w:hAnsi="宋体" w:eastAsia="宋体"/>
                <w:b w:val="0"/>
                <w:bCs w:val="0"/>
                <w:color w:val="auto"/>
                <w:szCs w:val="21"/>
                <w:highlight w:val="none"/>
                <w:u w:val="none"/>
              </w:rPr>
              <w:t>含）</w:t>
            </w:r>
            <w:r>
              <w:rPr>
                <w:rFonts w:hint="eastAsia" w:ascii="宋体" w:hAnsi="宋体" w:eastAsia="宋体"/>
                <w:b w:val="0"/>
                <w:bCs w:val="0"/>
                <w:color w:val="auto"/>
                <w:szCs w:val="21"/>
                <w:highlight w:val="none"/>
                <w:u w:val="none"/>
                <w:lang w:val="en-US" w:eastAsia="zh-CN"/>
              </w:rPr>
              <w:t>至4小时（含）</w:t>
            </w:r>
            <w:r>
              <w:rPr>
                <w:rFonts w:hint="eastAsia" w:ascii="宋体" w:hAnsi="宋体" w:eastAsia="宋体"/>
                <w:b w:val="0"/>
                <w:bCs w:val="0"/>
                <w:color w:val="auto"/>
                <w:szCs w:val="21"/>
                <w:highlight w:val="none"/>
                <w:u w:val="none"/>
              </w:rPr>
              <w:t>内到达</w:t>
            </w:r>
            <w:r>
              <w:rPr>
                <w:rFonts w:hint="eastAsia" w:ascii="宋体" w:hAnsi="宋体" w:eastAsia="宋体"/>
                <w:b w:val="0"/>
                <w:bCs w:val="0"/>
                <w:color w:val="auto"/>
                <w:szCs w:val="21"/>
                <w:highlight w:val="none"/>
                <w:u w:val="none"/>
                <w:lang w:val="en-US" w:eastAsia="zh-CN"/>
              </w:rPr>
              <w:t>采购人指定</w:t>
            </w:r>
            <w:r>
              <w:rPr>
                <w:rFonts w:hint="eastAsia" w:ascii="宋体" w:hAnsi="宋体" w:eastAsia="宋体"/>
                <w:b w:val="0"/>
                <w:bCs w:val="0"/>
                <w:color w:val="auto"/>
                <w:szCs w:val="21"/>
                <w:highlight w:val="none"/>
                <w:u w:val="none"/>
              </w:rPr>
              <w:t>现场的，得</w:t>
            </w:r>
            <w:r>
              <w:rPr>
                <w:rFonts w:hint="eastAsia" w:ascii="宋体" w:hAnsi="宋体" w:eastAsia="宋体"/>
                <w:b w:val="0"/>
                <w:bCs w:val="0"/>
                <w:color w:val="auto"/>
                <w:szCs w:val="21"/>
                <w:highlight w:val="none"/>
                <w:u w:val="none"/>
                <w:lang w:val="en-US" w:eastAsia="zh-CN"/>
              </w:rPr>
              <w:t>1</w:t>
            </w:r>
            <w:r>
              <w:rPr>
                <w:rFonts w:hint="eastAsia" w:ascii="宋体" w:hAnsi="宋体" w:eastAsia="宋体"/>
                <w:b w:val="0"/>
                <w:bCs w:val="0"/>
                <w:color w:val="auto"/>
                <w:szCs w:val="21"/>
                <w:highlight w:val="none"/>
                <w:u w:val="none"/>
              </w:rPr>
              <w:t>分；</w:t>
            </w:r>
          </w:p>
          <w:p w14:paraId="0F1444CE">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4、</w:t>
            </w:r>
            <w:r>
              <w:rPr>
                <w:rFonts w:hint="eastAsia" w:ascii="宋体" w:hAnsi="宋体" w:eastAsia="宋体"/>
                <w:b w:val="0"/>
                <w:bCs w:val="0"/>
                <w:color w:val="auto"/>
                <w:szCs w:val="21"/>
                <w:highlight w:val="none"/>
                <w:u w:val="none"/>
                <w:lang w:val="en-US" w:eastAsia="zh-CN"/>
              </w:rPr>
              <w:t>4</w:t>
            </w:r>
            <w:r>
              <w:rPr>
                <w:rFonts w:hint="eastAsia" w:ascii="宋体" w:hAnsi="宋体" w:eastAsia="宋体"/>
                <w:b w:val="0"/>
                <w:bCs w:val="0"/>
                <w:color w:val="auto"/>
                <w:szCs w:val="21"/>
                <w:highlight w:val="none"/>
                <w:u w:val="none"/>
              </w:rPr>
              <w:t>小时以上到达</w:t>
            </w:r>
            <w:r>
              <w:rPr>
                <w:rFonts w:hint="eastAsia" w:ascii="宋体" w:hAnsi="宋体" w:eastAsia="宋体"/>
                <w:b w:val="0"/>
                <w:bCs w:val="0"/>
                <w:color w:val="auto"/>
                <w:szCs w:val="21"/>
                <w:highlight w:val="none"/>
                <w:u w:val="none"/>
                <w:lang w:val="en-US" w:eastAsia="zh-CN"/>
              </w:rPr>
              <w:t>采购人指定</w:t>
            </w:r>
            <w:r>
              <w:rPr>
                <w:rFonts w:hint="eastAsia" w:ascii="宋体" w:hAnsi="宋体" w:eastAsia="宋体"/>
                <w:b w:val="0"/>
                <w:bCs w:val="0"/>
                <w:color w:val="auto"/>
                <w:szCs w:val="21"/>
                <w:highlight w:val="none"/>
                <w:u w:val="none"/>
              </w:rPr>
              <w:t>现场或其他情形的，得0分。</w:t>
            </w:r>
          </w:p>
          <w:p w14:paraId="39776320">
            <w:pPr>
              <w:spacing w:line="400" w:lineRule="exact"/>
              <w:rPr>
                <w:rFonts w:hint="eastAsia" w:ascii="宋体" w:hAnsi="宋体" w:eastAsia="宋体"/>
                <w:b/>
                <w:bCs/>
                <w:color w:val="auto"/>
                <w:szCs w:val="21"/>
                <w:highlight w:val="none"/>
                <w:u w:val="single"/>
              </w:rPr>
            </w:pPr>
            <w:r>
              <w:rPr>
                <w:rFonts w:hint="eastAsia" w:ascii="宋体" w:hAnsi="宋体" w:eastAsia="宋体"/>
                <w:b/>
                <w:bCs/>
                <w:color w:val="auto"/>
                <w:szCs w:val="21"/>
                <w:highlight w:val="none"/>
                <w:u w:val="single"/>
              </w:rPr>
              <w:t>注：须单独提供承诺书并加盖投标人公章。</w:t>
            </w:r>
          </w:p>
        </w:tc>
      </w:tr>
      <w:tr w14:paraId="3268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9EA9250">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821" w:type="pct"/>
            <w:vAlign w:val="center"/>
          </w:tcPr>
          <w:p w14:paraId="0A084CE5">
            <w:pPr>
              <w:spacing w:line="400" w:lineRule="exact"/>
              <w:jc w:val="center"/>
              <w:rPr>
                <w:rFonts w:hint="eastAsia" w:ascii="宋体" w:hAnsi="宋体" w:eastAsia="宋体"/>
                <w:bCs/>
                <w:color w:val="auto"/>
                <w:szCs w:val="21"/>
                <w:highlight w:val="none"/>
                <w:lang w:val="en-GB"/>
              </w:rPr>
            </w:pPr>
            <w:r>
              <w:rPr>
                <w:rFonts w:hint="eastAsia" w:ascii="宋体" w:hAnsi="宋体" w:eastAsia="宋体"/>
                <w:bCs/>
                <w:color w:val="auto"/>
                <w:szCs w:val="21"/>
                <w:highlight w:val="none"/>
                <w:lang w:val="en-GB" w:eastAsia="zh-CN"/>
              </w:rPr>
              <w:t>投入服务人员情况</w:t>
            </w:r>
          </w:p>
        </w:tc>
        <w:tc>
          <w:tcPr>
            <w:tcW w:w="537" w:type="pct"/>
            <w:gridSpan w:val="2"/>
            <w:vAlign w:val="center"/>
          </w:tcPr>
          <w:p w14:paraId="339AAFC4">
            <w:pPr>
              <w:widowControl/>
              <w:spacing w:line="400" w:lineRule="exact"/>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6</w:t>
            </w:r>
            <w:r>
              <w:rPr>
                <w:rFonts w:hint="eastAsia" w:ascii="宋体" w:hAnsi="宋体" w:eastAsia="宋体"/>
                <w:bCs/>
                <w:color w:val="auto"/>
                <w:szCs w:val="21"/>
                <w:highlight w:val="none"/>
              </w:rPr>
              <w:t>分</w:t>
            </w:r>
          </w:p>
        </w:tc>
        <w:tc>
          <w:tcPr>
            <w:tcW w:w="3161" w:type="pct"/>
            <w:vAlign w:val="center"/>
          </w:tcPr>
          <w:p w14:paraId="7F61342C">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根据投标人拟投入本项目的服务人员情况进行评审：</w:t>
            </w:r>
          </w:p>
          <w:p w14:paraId="2A85105F">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1、具有</w:t>
            </w:r>
            <w:r>
              <w:rPr>
                <w:rFonts w:hint="eastAsia" w:ascii="宋体" w:hAnsi="宋体" w:eastAsia="宋体"/>
                <w:b w:val="0"/>
                <w:bCs w:val="0"/>
                <w:color w:val="auto"/>
                <w:szCs w:val="21"/>
                <w:highlight w:val="none"/>
                <w:u w:val="none"/>
                <w:lang w:val="en-US" w:eastAsia="zh-CN"/>
              </w:rPr>
              <w:t>人社部及工信部</w:t>
            </w:r>
            <w:r>
              <w:rPr>
                <w:rFonts w:hint="eastAsia" w:ascii="宋体" w:hAnsi="宋体" w:eastAsia="宋体"/>
                <w:b w:val="0"/>
                <w:bCs w:val="0"/>
                <w:color w:val="auto"/>
                <w:szCs w:val="21"/>
                <w:highlight w:val="none"/>
                <w:u w:val="none"/>
              </w:rPr>
              <w:t>颁发的信息系统</w:t>
            </w:r>
            <w:r>
              <w:rPr>
                <w:rFonts w:hint="eastAsia" w:ascii="宋体" w:hAnsi="宋体" w:eastAsia="宋体"/>
                <w:b w:val="0"/>
                <w:bCs w:val="0"/>
                <w:color w:val="auto"/>
                <w:szCs w:val="21"/>
                <w:highlight w:val="none"/>
                <w:u w:val="none"/>
                <w:lang w:val="en-US" w:eastAsia="zh-CN"/>
              </w:rPr>
              <w:t>项目</w:t>
            </w:r>
            <w:r>
              <w:rPr>
                <w:rFonts w:hint="eastAsia" w:ascii="宋体" w:hAnsi="宋体" w:eastAsia="宋体"/>
                <w:b w:val="0"/>
                <w:bCs w:val="0"/>
                <w:color w:val="auto"/>
                <w:szCs w:val="21"/>
                <w:highlight w:val="none"/>
                <w:u w:val="none"/>
              </w:rPr>
              <w:t>管理师证书的，每提供1人，得</w:t>
            </w:r>
            <w:r>
              <w:rPr>
                <w:rFonts w:hint="eastAsia" w:ascii="宋体" w:hAnsi="宋体" w:eastAsia="宋体"/>
                <w:b w:val="0"/>
                <w:bCs w:val="0"/>
                <w:color w:val="auto"/>
                <w:szCs w:val="21"/>
                <w:highlight w:val="none"/>
                <w:u w:val="none"/>
                <w:lang w:val="en-US" w:eastAsia="zh-CN"/>
              </w:rPr>
              <w:t>3</w:t>
            </w:r>
            <w:r>
              <w:rPr>
                <w:rFonts w:hint="eastAsia" w:ascii="宋体" w:hAnsi="宋体" w:eastAsia="宋体"/>
                <w:b w:val="0"/>
                <w:bCs w:val="0"/>
                <w:color w:val="auto"/>
                <w:szCs w:val="21"/>
                <w:highlight w:val="none"/>
                <w:u w:val="none"/>
              </w:rPr>
              <w:t>分，本项最高得</w:t>
            </w:r>
            <w:r>
              <w:rPr>
                <w:rFonts w:hint="eastAsia" w:ascii="宋体" w:hAnsi="宋体" w:eastAsia="宋体"/>
                <w:b w:val="0"/>
                <w:bCs w:val="0"/>
                <w:color w:val="auto"/>
                <w:szCs w:val="21"/>
                <w:highlight w:val="none"/>
                <w:u w:val="none"/>
                <w:lang w:val="en-US" w:eastAsia="zh-CN"/>
              </w:rPr>
              <w:t>3</w:t>
            </w:r>
            <w:r>
              <w:rPr>
                <w:rFonts w:hint="eastAsia" w:ascii="宋体" w:hAnsi="宋体" w:eastAsia="宋体"/>
                <w:b w:val="0"/>
                <w:bCs w:val="0"/>
                <w:color w:val="auto"/>
                <w:szCs w:val="21"/>
                <w:highlight w:val="none"/>
                <w:u w:val="none"/>
              </w:rPr>
              <w:t>分；</w:t>
            </w:r>
          </w:p>
          <w:p w14:paraId="4F8D0AF7">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2、具有</w:t>
            </w:r>
            <w:r>
              <w:rPr>
                <w:rFonts w:hint="eastAsia" w:ascii="宋体" w:hAnsi="宋体" w:eastAsia="宋体"/>
                <w:b w:val="0"/>
                <w:bCs w:val="0"/>
                <w:color w:val="auto"/>
                <w:szCs w:val="21"/>
                <w:highlight w:val="none"/>
                <w:u w:val="none"/>
                <w:lang w:val="en-US" w:eastAsia="zh-CN"/>
              </w:rPr>
              <w:t>行政主管部门</w:t>
            </w:r>
            <w:r>
              <w:rPr>
                <w:rFonts w:hint="eastAsia" w:ascii="宋体" w:hAnsi="宋体" w:eastAsia="宋体"/>
                <w:b w:val="0"/>
                <w:bCs w:val="0"/>
                <w:color w:val="auto"/>
                <w:szCs w:val="21"/>
                <w:highlight w:val="none"/>
                <w:u w:val="none"/>
              </w:rPr>
              <w:t>颁发的中级（或以上）工程师证书（专业为通信类或网络类或电子类</w:t>
            </w:r>
            <w:r>
              <w:rPr>
                <w:rFonts w:hint="eastAsia" w:ascii="宋体" w:hAnsi="宋体" w:eastAsia="宋体"/>
                <w:b w:val="0"/>
                <w:bCs w:val="0"/>
                <w:color w:val="auto"/>
                <w:szCs w:val="21"/>
                <w:highlight w:val="none"/>
                <w:u w:val="none"/>
                <w:lang w:val="en-US" w:eastAsia="zh-CN"/>
              </w:rPr>
              <w:t>或港航类</w:t>
            </w:r>
            <w:r>
              <w:rPr>
                <w:rFonts w:hint="eastAsia" w:ascii="宋体" w:hAnsi="宋体" w:eastAsia="宋体"/>
                <w:b w:val="0"/>
                <w:bCs w:val="0"/>
                <w:color w:val="auto"/>
                <w:szCs w:val="21"/>
                <w:highlight w:val="none"/>
                <w:u w:val="none"/>
              </w:rPr>
              <w:t>）的，每提供1人，得</w:t>
            </w:r>
            <w:r>
              <w:rPr>
                <w:rFonts w:hint="eastAsia" w:ascii="宋体" w:hAnsi="宋体" w:eastAsia="宋体"/>
                <w:b w:val="0"/>
                <w:bCs w:val="0"/>
                <w:color w:val="auto"/>
                <w:szCs w:val="21"/>
                <w:highlight w:val="none"/>
                <w:u w:val="none"/>
                <w:lang w:val="en-US" w:eastAsia="zh-CN"/>
              </w:rPr>
              <w:t>1</w:t>
            </w:r>
            <w:r>
              <w:rPr>
                <w:rFonts w:hint="eastAsia" w:ascii="宋体" w:hAnsi="宋体" w:eastAsia="宋体"/>
                <w:b w:val="0"/>
                <w:bCs w:val="0"/>
                <w:color w:val="auto"/>
                <w:szCs w:val="21"/>
                <w:highlight w:val="none"/>
                <w:u w:val="none"/>
              </w:rPr>
              <w:t>分，本项最高得</w:t>
            </w:r>
            <w:r>
              <w:rPr>
                <w:rFonts w:hint="eastAsia" w:ascii="宋体" w:hAnsi="宋体" w:eastAsia="宋体"/>
                <w:b w:val="0"/>
                <w:bCs w:val="0"/>
                <w:color w:val="auto"/>
                <w:szCs w:val="21"/>
                <w:highlight w:val="none"/>
                <w:u w:val="none"/>
                <w:lang w:val="en-US" w:eastAsia="zh-CN"/>
              </w:rPr>
              <w:t>3</w:t>
            </w:r>
            <w:r>
              <w:rPr>
                <w:rFonts w:hint="eastAsia" w:ascii="宋体" w:hAnsi="宋体" w:eastAsia="宋体"/>
                <w:b w:val="0"/>
                <w:bCs w:val="0"/>
                <w:color w:val="auto"/>
                <w:szCs w:val="21"/>
                <w:highlight w:val="none"/>
                <w:u w:val="none"/>
              </w:rPr>
              <w:t>分；</w:t>
            </w:r>
          </w:p>
          <w:p w14:paraId="3907DCEA">
            <w:pPr>
              <w:spacing w:line="400" w:lineRule="exact"/>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同一人具有多个证书的不重复得分。</w:t>
            </w:r>
          </w:p>
          <w:p w14:paraId="1509B49E">
            <w:pPr>
              <w:spacing w:line="400" w:lineRule="exact"/>
              <w:rPr>
                <w:rFonts w:hint="eastAsia" w:ascii="宋体" w:hAnsi="宋体" w:eastAsia="宋体"/>
                <w:b/>
                <w:bCs/>
                <w:color w:val="auto"/>
                <w:szCs w:val="21"/>
                <w:highlight w:val="none"/>
                <w:u w:val="single"/>
              </w:rPr>
            </w:pPr>
            <w:r>
              <w:rPr>
                <w:rFonts w:hint="eastAsia" w:ascii="宋体" w:hAnsi="宋体" w:eastAsia="宋体"/>
                <w:b/>
                <w:bCs/>
                <w:color w:val="auto"/>
                <w:szCs w:val="21"/>
                <w:highlight w:val="none"/>
                <w:u w:val="single"/>
              </w:rPr>
              <w:t>注：投标人须提供对应人员证书复印件及开标前三个月任意一个月（含开标当月）投标人为其购买的社会保险证明材料复印件并加盖投标人公章。</w:t>
            </w:r>
          </w:p>
        </w:tc>
      </w:tr>
      <w:tr w14:paraId="41FC1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652A611">
            <w:pPr>
              <w:pStyle w:val="29"/>
              <w:spacing w:line="400" w:lineRule="exact"/>
              <w:ind w:firstLine="0" w:firstLineChars="0"/>
              <w:jc w:val="center"/>
              <w:rPr>
                <w:rFonts w:hint="eastAsia"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55</w:t>
            </w:r>
            <w:r>
              <w:rPr>
                <w:rFonts w:hint="eastAsia" w:ascii="宋体" w:eastAsia="宋体"/>
                <w:b/>
                <w:color w:val="auto"/>
                <w:sz w:val="21"/>
                <w:szCs w:val="21"/>
                <w:highlight w:val="none"/>
              </w:rPr>
              <w:t>分）</w:t>
            </w:r>
          </w:p>
        </w:tc>
      </w:tr>
      <w:tr w14:paraId="4D1E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0C1CC357">
            <w:pPr>
              <w:spacing w:line="40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821" w:type="pct"/>
            <w:vAlign w:val="center"/>
          </w:tcPr>
          <w:p w14:paraId="6D99F861">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对本项目关键性技术问题及应对措施</w:t>
            </w:r>
          </w:p>
        </w:tc>
        <w:tc>
          <w:tcPr>
            <w:tcW w:w="537" w:type="pct"/>
            <w:gridSpan w:val="2"/>
            <w:vAlign w:val="center"/>
          </w:tcPr>
          <w:p w14:paraId="0C79AE25">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tc>
        <w:tc>
          <w:tcPr>
            <w:tcW w:w="3161" w:type="pct"/>
            <w:vAlign w:val="center"/>
          </w:tcPr>
          <w:p w14:paraId="378D8307">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根据投标人对本项目关键性技术问题的识别及应对措施（包括但不限于：对终端设备故障维修的准备、维修操作方案、</w:t>
            </w:r>
            <w:r>
              <w:rPr>
                <w:rFonts w:hint="eastAsia" w:ascii="宋体" w:hAnsi="宋体" w:eastAsia="宋体"/>
                <w:color w:val="auto"/>
                <w:szCs w:val="21"/>
                <w:highlight w:val="none"/>
                <w:lang w:val="en-US" w:eastAsia="zh-CN"/>
              </w:rPr>
              <w:t>人员培训、</w:t>
            </w:r>
            <w:r>
              <w:rPr>
                <w:rFonts w:hint="eastAsia" w:ascii="宋体" w:hAnsi="宋体" w:eastAsia="宋体"/>
                <w:color w:val="auto"/>
                <w:szCs w:val="21"/>
                <w:highlight w:val="none"/>
              </w:rPr>
              <w:t>运维中出现各项问题的应对措施等）进行评审：</w:t>
            </w:r>
          </w:p>
          <w:p w14:paraId="0CFB475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对本项目中列举的全部终端设备非常熟悉，能列举出完整详细的维修操作方案，了解日常运维中会出现的所有技术问题并有周全完备的应对措施，培训方案具有针对性，各服务人员培训中有明确的职责划分、守密要求和安全教育，针对本项目涉及的系统及软硬件为采购人制定了科学的培训计划和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能完全结合项目实际情况且完全满足采购需求要求的，得15分；</w:t>
            </w:r>
          </w:p>
          <w:p w14:paraId="764DB4A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②对本项目中列举的全部终端设备基本知晓性能，能列举出完整的维修操作方案，大概了解日常运维中会出现的技术问题并有完备的应对措施</w:t>
            </w:r>
            <w:r>
              <w:rPr>
                <w:rFonts w:hint="eastAsia" w:ascii="宋体" w:hAnsi="宋体" w:eastAsia="宋体"/>
                <w:color w:val="auto"/>
                <w:szCs w:val="21"/>
                <w:highlight w:val="none"/>
                <w:lang w:eastAsia="zh-CN"/>
              </w:rPr>
              <w:t>，培训方案全面完善，各服务人员培训中有较为明确的职责划分、守密要求和安全教育，针对本项目涉及的系统及软硬件为采购人制定了完整的培训计划和方案</w:t>
            </w:r>
            <w:r>
              <w:rPr>
                <w:rFonts w:hint="eastAsia" w:ascii="宋体" w:hAnsi="宋体" w:eastAsia="宋体"/>
                <w:color w:val="auto"/>
                <w:szCs w:val="21"/>
                <w:highlight w:val="none"/>
              </w:rPr>
              <w:t>，能结合项目实际情况且满足采购需求要求的，得</w:t>
            </w:r>
            <w:r>
              <w:rPr>
                <w:rFonts w:hint="eastAsia" w:ascii="宋体" w:hAnsi="宋体" w:eastAsia="宋体"/>
                <w:color w:val="auto"/>
                <w:szCs w:val="21"/>
                <w:highlight w:val="none"/>
                <w:lang w:val="en-US" w:eastAsia="zh-CN"/>
              </w:rPr>
              <w:t>12</w:t>
            </w:r>
            <w:r>
              <w:rPr>
                <w:rFonts w:hint="eastAsia" w:ascii="宋体" w:hAnsi="宋体" w:eastAsia="宋体"/>
                <w:color w:val="auto"/>
                <w:szCs w:val="21"/>
                <w:highlight w:val="none"/>
              </w:rPr>
              <w:t>分；</w:t>
            </w:r>
          </w:p>
          <w:p w14:paraId="2ABB571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对本项目中列举的终端设备基本了解，清楚相应性能，能列举出维修操作方案，日常运维中会出现的技术问题并有基本的应对措施，各服务人员培训中有一定的职责划分、守密要求和安全教育，针对本项目涉及的系统及软硬件为采购人制定了部分培训计划和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部分满足采购需求要求的，得</w:t>
            </w:r>
            <w:r>
              <w:rPr>
                <w:rFonts w:hint="eastAsia" w:ascii="宋体" w:hAnsi="宋体" w:eastAsia="宋体"/>
                <w:color w:val="auto"/>
                <w:szCs w:val="21"/>
                <w:highlight w:val="none"/>
                <w:lang w:val="en-US" w:eastAsia="zh-CN"/>
              </w:rPr>
              <w:t>9</w:t>
            </w:r>
            <w:r>
              <w:rPr>
                <w:rFonts w:hint="eastAsia" w:ascii="宋体" w:hAnsi="宋体" w:eastAsia="宋体"/>
                <w:color w:val="auto"/>
                <w:szCs w:val="21"/>
                <w:highlight w:val="none"/>
              </w:rPr>
              <w:t>分；</w:t>
            </w:r>
          </w:p>
          <w:p w14:paraId="55B79BD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④对本项目中列举的终端设备了解，能列举出部分维修操作方案，日常运维中会出现的技术问题能基本应对，各服务人员培训中职责划分、守密要求和安全教育不够清晰，未为采购人制定培训计划和方案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无法</w:t>
            </w:r>
            <w:r>
              <w:rPr>
                <w:rFonts w:hint="eastAsia" w:ascii="宋体" w:hAnsi="宋体" w:eastAsia="宋体"/>
                <w:color w:val="auto"/>
                <w:szCs w:val="21"/>
                <w:highlight w:val="none"/>
              </w:rPr>
              <w:t>满足采购需求要求的，得</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分；</w:t>
            </w:r>
          </w:p>
          <w:p w14:paraId="007FBBD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⑤未提供相关方案或其它情况的，得0分。</w:t>
            </w:r>
          </w:p>
        </w:tc>
      </w:tr>
      <w:tr w14:paraId="12628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A55FAC6">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w:t>
            </w:r>
          </w:p>
        </w:tc>
        <w:tc>
          <w:tcPr>
            <w:tcW w:w="821" w:type="pct"/>
            <w:vAlign w:val="center"/>
          </w:tcPr>
          <w:p w14:paraId="38FCAB0B">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巡检</w:t>
            </w:r>
            <w:r>
              <w:rPr>
                <w:rFonts w:hint="eastAsia" w:ascii="宋体" w:hAnsi="宋体" w:eastAsia="宋体"/>
                <w:bCs/>
                <w:color w:val="auto"/>
                <w:szCs w:val="21"/>
                <w:highlight w:val="none"/>
                <w:lang w:val="en-US" w:eastAsia="zh-CN"/>
              </w:rPr>
              <w:t>服务</w:t>
            </w:r>
            <w:r>
              <w:rPr>
                <w:rFonts w:hint="eastAsia" w:ascii="宋体" w:hAnsi="宋体" w:eastAsia="宋体"/>
                <w:bCs/>
                <w:color w:val="auto"/>
                <w:szCs w:val="21"/>
                <w:highlight w:val="none"/>
              </w:rPr>
              <w:t>方案</w:t>
            </w:r>
          </w:p>
        </w:tc>
        <w:tc>
          <w:tcPr>
            <w:tcW w:w="537" w:type="pct"/>
            <w:gridSpan w:val="2"/>
            <w:vAlign w:val="center"/>
          </w:tcPr>
          <w:p w14:paraId="1AB431E2">
            <w:pPr>
              <w:widowControl/>
              <w:spacing w:line="400" w:lineRule="exact"/>
              <w:jc w:val="center"/>
              <w:rPr>
                <w:rFonts w:hint="eastAsia" w:ascii="宋体" w:hAnsi="宋体" w:eastAsia="宋体"/>
                <w:bCs/>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47130F10">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根据投标人为本项目提供的巡检</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方案（包括但不限于：巡检工作流程、</w:t>
            </w:r>
            <w:r>
              <w:rPr>
                <w:rFonts w:hint="eastAsia" w:ascii="宋体" w:hAnsi="宋体" w:eastAsia="宋体" w:cs="宋体"/>
                <w:color w:val="auto"/>
                <w:kern w:val="0"/>
                <w:szCs w:val="21"/>
                <w:highlight w:val="none"/>
                <w:lang w:val="en-US" w:eastAsia="zh-CN"/>
              </w:rPr>
              <w:t>日常巡检工作</w:t>
            </w:r>
            <w:r>
              <w:rPr>
                <w:rFonts w:hint="eastAsia" w:ascii="宋体" w:hAnsi="宋体" w:eastAsia="宋体" w:cs="宋体"/>
                <w:color w:val="auto"/>
                <w:kern w:val="0"/>
                <w:szCs w:val="21"/>
                <w:highlight w:val="none"/>
              </w:rPr>
              <w:t>、巡检工作重难点</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人员安排</w:t>
            </w:r>
            <w:r>
              <w:rPr>
                <w:rFonts w:hint="eastAsia" w:ascii="宋体" w:hAnsi="宋体" w:eastAsia="宋体" w:cs="宋体"/>
                <w:color w:val="auto"/>
                <w:kern w:val="0"/>
                <w:szCs w:val="21"/>
                <w:highlight w:val="none"/>
              </w:rPr>
              <w:t>等）进行评审：</w:t>
            </w:r>
          </w:p>
          <w:p w14:paraId="04BDA943">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①投标人提供了全面科学的巡检工作方案，巡检工作流程</w:t>
            </w:r>
            <w:r>
              <w:rPr>
                <w:rFonts w:hint="eastAsia" w:ascii="宋体" w:hAnsi="宋体" w:eastAsia="宋体" w:cs="宋体"/>
                <w:color w:val="auto"/>
                <w:kern w:val="0"/>
                <w:szCs w:val="21"/>
                <w:highlight w:val="none"/>
                <w:lang w:val="en-US" w:eastAsia="zh-CN"/>
              </w:rPr>
              <w:t>严谨合理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日常巡检工作完全符合项目需求</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人员安排充足，能根据项目需求列举出</w:t>
            </w:r>
            <w:r>
              <w:rPr>
                <w:rFonts w:hint="eastAsia" w:ascii="宋体" w:hAnsi="宋体" w:eastAsia="宋体" w:cs="宋体"/>
                <w:color w:val="auto"/>
                <w:kern w:val="0"/>
                <w:szCs w:val="21"/>
                <w:highlight w:val="none"/>
              </w:rPr>
              <w:t>巡检工作</w:t>
            </w:r>
            <w:r>
              <w:rPr>
                <w:rFonts w:hint="eastAsia" w:ascii="宋体" w:hAnsi="宋体" w:eastAsia="宋体" w:cs="宋体"/>
                <w:color w:val="auto"/>
                <w:kern w:val="0"/>
                <w:szCs w:val="21"/>
                <w:highlight w:val="none"/>
                <w:lang w:val="en-US" w:eastAsia="zh-CN"/>
              </w:rPr>
              <w:t>中的</w:t>
            </w:r>
            <w:r>
              <w:rPr>
                <w:rFonts w:hint="eastAsia" w:ascii="宋体" w:hAnsi="宋体" w:eastAsia="宋体" w:cs="宋体"/>
                <w:color w:val="auto"/>
                <w:kern w:val="0"/>
                <w:szCs w:val="21"/>
                <w:highlight w:val="none"/>
              </w:rPr>
              <w:t>重难点</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完全满足采购需求的，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rPr>
              <w:t>分；</w:t>
            </w:r>
          </w:p>
          <w:p w14:paraId="18A3F93B">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②投标人提供了全面的巡检工作方案，巡检工作流程</w:t>
            </w:r>
            <w:r>
              <w:rPr>
                <w:rFonts w:hint="eastAsia" w:ascii="宋体" w:hAnsi="宋体" w:eastAsia="宋体" w:cs="宋体"/>
                <w:color w:val="auto"/>
                <w:kern w:val="0"/>
                <w:szCs w:val="21"/>
                <w:highlight w:val="none"/>
                <w:lang w:val="en-US" w:eastAsia="zh-CN"/>
              </w:rPr>
              <w:t>合理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日常巡检工作部分符合项目需求</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人员安排足，能根据项目需求列举出</w:t>
            </w:r>
            <w:r>
              <w:rPr>
                <w:rFonts w:hint="eastAsia" w:ascii="宋体" w:hAnsi="宋体" w:eastAsia="宋体" w:cs="宋体"/>
                <w:color w:val="auto"/>
                <w:kern w:val="0"/>
                <w:szCs w:val="21"/>
                <w:highlight w:val="none"/>
              </w:rPr>
              <w:t>巡检工作</w:t>
            </w:r>
            <w:r>
              <w:rPr>
                <w:rFonts w:hint="eastAsia" w:ascii="宋体" w:hAnsi="宋体" w:eastAsia="宋体" w:cs="宋体"/>
                <w:color w:val="auto"/>
                <w:kern w:val="0"/>
                <w:szCs w:val="21"/>
                <w:highlight w:val="none"/>
                <w:lang w:val="en-US" w:eastAsia="zh-CN"/>
              </w:rPr>
              <w:t>中的</w:t>
            </w:r>
            <w:r>
              <w:rPr>
                <w:rFonts w:hint="eastAsia" w:ascii="宋体" w:hAnsi="宋体" w:eastAsia="宋体" w:cs="宋体"/>
                <w:color w:val="auto"/>
                <w:kern w:val="0"/>
                <w:szCs w:val="21"/>
                <w:highlight w:val="none"/>
              </w:rPr>
              <w:t>重点</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满足采购需求的，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分；</w:t>
            </w:r>
          </w:p>
          <w:p w14:paraId="5C80B7A8">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③投标人提供了较为全面的巡检工作方案，对</w:t>
            </w:r>
            <w:r>
              <w:rPr>
                <w:rFonts w:hint="eastAsia" w:ascii="宋体" w:hAnsi="宋体" w:eastAsia="宋体" w:cs="宋体"/>
                <w:color w:val="auto"/>
                <w:kern w:val="0"/>
                <w:szCs w:val="21"/>
                <w:highlight w:val="none"/>
                <w:lang w:val="en-US" w:eastAsia="zh-CN"/>
              </w:rPr>
              <w:t>日常巡检工作</w:t>
            </w:r>
            <w:r>
              <w:rPr>
                <w:rFonts w:hint="eastAsia" w:ascii="宋体" w:hAnsi="宋体" w:eastAsia="宋体" w:cs="宋体"/>
                <w:color w:val="auto"/>
                <w:kern w:val="0"/>
                <w:szCs w:val="21"/>
                <w:highlight w:val="none"/>
              </w:rPr>
              <w:t>有相应</w:t>
            </w:r>
            <w:r>
              <w:rPr>
                <w:rFonts w:hint="eastAsia" w:ascii="宋体" w:hAnsi="宋体" w:eastAsia="宋体" w:cs="宋体"/>
                <w:color w:val="auto"/>
                <w:kern w:val="0"/>
                <w:szCs w:val="21"/>
                <w:highlight w:val="none"/>
                <w:lang w:val="en-US" w:eastAsia="zh-CN"/>
              </w:rPr>
              <w:t>规章制度的</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人员安排合理，能根据项目需求列举出部分</w:t>
            </w:r>
            <w:r>
              <w:rPr>
                <w:rFonts w:hint="eastAsia" w:ascii="宋体" w:hAnsi="宋体" w:eastAsia="宋体" w:cs="宋体"/>
                <w:color w:val="auto"/>
                <w:kern w:val="0"/>
                <w:szCs w:val="21"/>
                <w:highlight w:val="none"/>
              </w:rPr>
              <w:t>巡检工作</w:t>
            </w:r>
            <w:r>
              <w:rPr>
                <w:rFonts w:hint="eastAsia" w:ascii="宋体" w:hAnsi="宋体" w:eastAsia="宋体" w:cs="宋体"/>
                <w:color w:val="auto"/>
                <w:kern w:val="0"/>
                <w:szCs w:val="21"/>
                <w:highlight w:val="none"/>
                <w:lang w:val="en-US" w:eastAsia="zh-CN"/>
              </w:rPr>
              <w:t>中的</w:t>
            </w:r>
            <w:r>
              <w:rPr>
                <w:rFonts w:hint="eastAsia" w:ascii="宋体" w:hAnsi="宋体" w:eastAsia="宋体" w:cs="宋体"/>
                <w:color w:val="auto"/>
                <w:kern w:val="0"/>
                <w:szCs w:val="21"/>
                <w:highlight w:val="none"/>
              </w:rPr>
              <w:t>重点，</w:t>
            </w:r>
            <w:r>
              <w:rPr>
                <w:rFonts w:hint="eastAsia" w:ascii="宋体" w:hAnsi="宋体" w:eastAsia="宋体" w:cs="宋体"/>
                <w:color w:val="auto"/>
                <w:kern w:val="0"/>
                <w:szCs w:val="21"/>
                <w:highlight w:val="none"/>
                <w:lang w:val="en-US" w:eastAsia="zh-CN"/>
              </w:rPr>
              <w:t>基本满足采购需求的，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分；</w:t>
            </w:r>
          </w:p>
          <w:p w14:paraId="250EE0D0">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④投标人提供了粗略的巡检工作方案，对</w:t>
            </w:r>
            <w:r>
              <w:rPr>
                <w:rFonts w:hint="eastAsia" w:ascii="宋体" w:hAnsi="宋体" w:eastAsia="宋体" w:cs="宋体"/>
                <w:color w:val="auto"/>
                <w:kern w:val="0"/>
                <w:szCs w:val="21"/>
                <w:highlight w:val="none"/>
                <w:lang w:val="en-US" w:eastAsia="zh-CN"/>
              </w:rPr>
              <w:t>日常巡检工作没有制定</w:t>
            </w:r>
            <w:r>
              <w:rPr>
                <w:rFonts w:hint="eastAsia" w:ascii="宋体" w:hAnsi="宋体" w:eastAsia="宋体" w:cs="宋体"/>
                <w:color w:val="auto"/>
                <w:kern w:val="0"/>
                <w:szCs w:val="21"/>
                <w:highlight w:val="none"/>
              </w:rPr>
              <w:t>相应</w:t>
            </w:r>
            <w:r>
              <w:rPr>
                <w:rFonts w:hint="eastAsia" w:ascii="宋体" w:hAnsi="宋体" w:eastAsia="宋体" w:cs="宋体"/>
                <w:color w:val="auto"/>
                <w:kern w:val="0"/>
                <w:szCs w:val="21"/>
                <w:highlight w:val="none"/>
                <w:lang w:val="en-US" w:eastAsia="zh-CN"/>
              </w:rPr>
              <w:t>规章制度</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人员安排合理，没有项目需求列举出分</w:t>
            </w:r>
            <w:r>
              <w:rPr>
                <w:rFonts w:hint="eastAsia" w:ascii="宋体" w:hAnsi="宋体" w:eastAsia="宋体" w:cs="宋体"/>
                <w:color w:val="auto"/>
                <w:kern w:val="0"/>
                <w:szCs w:val="21"/>
                <w:highlight w:val="none"/>
              </w:rPr>
              <w:t>巡检工作</w:t>
            </w:r>
            <w:r>
              <w:rPr>
                <w:rFonts w:hint="eastAsia" w:ascii="宋体" w:hAnsi="宋体" w:eastAsia="宋体" w:cs="宋体"/>
                <w:color w:val="auto"/>
                <w:kern w:val="0"/>
                <w:szCs w:val="21"/>
                <w:highlight w:val="none"/>
                <w:lang w:val="en-US" w:eastAsia="zh-CN"/>
              </w:rPr>
              <w:t>中的</w:t>
            </w:r>
            <w:r>
              <w:rPr>
                <w:rFonts w:hint="eastAsia" w:ascii="宋体" w:hAnsi="宋体" w:eastAsia="宋体" w:cs="宋体"/>
                <w:color w:val="auto"/>
                <w:kern w:val="0"/>
                <w:szCs w:val="21"/>
                <w:highlight w:val="none"/>
              </w:rPr>
              <w:t>重</w:t>
            </w:r>
            <w:r>
              <w:rPr>
                <w:rFonts w:hint="eastAsia" w:ascii="宋体" w:hAnsi="宋体" w:eastAsia="宋体" w:cs="宋体"/>
                <w:color w:val="auto"/>
                <w:kern w:val="0"/>
                <w:szCs w:val="21"/>
                <w:highlight w:val="none"/>
                <w:lang w:val="en-US" w:eastAsia="zh-CN"/>
              </w:rPr>
              <w:t>难</w:t>
            </w:r>
            <w:r>
              <w:rPr>
                <w:rFonts w:hint="eastAsia" w:ascii="宋体" w:hAnsi="宋体" w:eastAsia="宋体" w:cs="宋体"/>
                <w:color w:val="auto"/>
                <w:kern w:val="0"/>
                <w:szCs w:val="21"/>
                <w:highlight w:val="none"/>
              </w:rPr>
              <w:t>点</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部分满足采购需求的，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分；</w:t>
            </w:r>
          </w:p>
          <w:p w14:paraId="10F55BA0">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⑤未提供相关方案或其他情形的，得0分。</w:t>
            </w:r>
          </w:p>
        </w:tc>
      </w:tr>
      <w:tr w14:paraId="2E775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DCEEC2E">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821" w:type="pct"/>
            <w:vAlign w:val="center"/>
          </w:tcPr>
          <w:p w14:paraId="415BBBB5">
            <w:pPr>
              <w:spacing w:line="400" w:lineRule="exact"/>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rPr>
              <w:t>质量</w:t>
            </w:r>
            <w:r>
              <w:rPr>
                <w:rFonts w:hint="eastAsia" w:ascii="宋体" w:hAnsi="宋体" w:eastAsia="宋体"/>
                <w:bCs/>
                <w:color w:val="auto"/>
                <w:szCs w:val="21"/>
                <w:highlight w:val="none"/>
                <w:lang w:val="en-US" w:eastAsia="zh-CN"/>
              </w:rPr>
              <w:t>及安全</w:t>
            </w:r>
            <w:r>
              <w:rPr>
                <w:rFonts w:hint="eastAsia" w:ascii="宋体" w:hAnsi="宋体" w:eastAsia="宋体"/>
                <w:bCs/>
                <w:color w:val="auto"/>
                <w:szCs w:val="21"/>
                <w:highlight w:val="none"/>
              </w:rPr>
              <w:t>保证措施</w:t>
            </w:r>
            <w:r>
              <w:rPr>
                <w:rFonts w:hint="eastAsia" w:ascii="宋体" w:hAnsi="宋体" w:eastAsia="宋体"/>
                <w:bCs/>
                <w:color w:val="auto"/>
                <w:szCs w:val="21"/>
                <w:highlight w:val="none"/>
                <w:lang w:val="en-US" w:eastAsia="zh-CN"/>
              </w:rPr>
              <w:t>方案</w:t>
            </w:r>
          </w:p>
        </w:tc>
        <w:tc>
          <w:tcPr>
            <w:tcW w:w="537" w:type="pct"/>
            <w:gridSpan w:val="2"/>
            <w:vAlign w:val="center"/>
          </w:tcPr>
          <w:p w14:paraId="160E85F0">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60B5564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根据投标人针对本项目制定的</w:t>
            </w:r>
            <w:r>
              <w:rPr>
                <w:rFonts w:hint="eastAsia" w:ascii="宋体" w:hAnsi="宋体" w:eastAsia="宋体"/>
                <w:bCs/>
                <w:color w:val="auto"/>
                <w:szCs w:val="21"/>
                <w:highlight w:val="none"/>
              </w:rPr>
              <w:t>质量</w:t>
            </w:r>
            <w:r>
              <w:rPr>
                <w:rFonts w:hint="eastAsia" w:ascii="宋体" w:hAnsi="宋体" w:eastAsia="宋体"/>
                <w:bCs/>
                <w:color w:val="auto"/>
                <w:szCs w:val="21"/>
                <w:highlight w:val="none"/>
                <w:lang w:val="en-US" w:eastAsia="zh-CN"/>
              </w:rPr>
              <w:t>及安全</w:t>
            </w:r>
            <w:r>
              <w:rPr>
                <w:rFonts w:hint="eastAsia" w:ascii="宋体" w:hAnsi="宋体" w:eastAsia="宋体"/>
                <w:bCs/>
                <w:color w:val="auto"/>
                <w:szCs w:val="21"/>
                <w:highlight w:val="none"/>
              </w:rPr>
              <w:t>保证措施</w:t>
            </w:r>
            <w:r>
              <w:rPr>
                <w:rFonts w:hint="eastAsia" w:ascii="宋体" w:hAnsi="宋体" w:eastAsia="宋体"/>
                <w:bCs/>
                <w:color w:val="auto"/>
                <w:szCs w:val="21"/>
                <w:highlight w:val="none"/>
                <w:lang w:val="en-US" w:eastAsia="zh-CN"/>
              </w:rPr>
              <w:t>方案</w:t>
            </w:r>
            <w:r>
              <w:rPr>
                <w:rFonts w:hint="eastAsia" w:ascii="宋体" w:hAnsi="宋体" w:eastAsia="宋体"/>
                <w:color w:val="auto"/>
                <w:szCs w:val="21"/>
                <w:highlight w:val="none"/>
              </w:rPr>
              <w:t>(包括但不仅限于质量目标、项目管理方案、服务质量自检方案、质量控制措施、</w:t>
            </w:r>
            <w:r>
              <w:rPr>
                <w:rFonts w:hint="eastAsia" w:ascii="宋体" w:hAnsi="宋体" w:eastAsia="宋体"/>
                <w:color w:val="auto"/>
                <w:szCs w:val="21"/>
                <w:highlight w:val="none"/>
                <w:lang w:val="en-US" w:eastAsia="zh-CN"/>
              </w:rPr>
              <w:t>安全生产、安全经费投入、人员安全培训</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质量保障管理及制度等内容)进行综合评审：</w:t>
            </w:r>
          </w:p>
          <w:p w14:paraId="6A8CC27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①质量目标清晰明确，质量控制措施合理可行，质量保证体系系统科学、保证措施严谨规范，</w:t>
            </w:r>
            <w:r>
              <w:rPr>
                <w:rFonts w:hint="eastAsia" w:ascii="宋体" w:hAnsi="宋体" w:eastAsia="宋体"/>
                <w:color w:val="auto"/>
                <w:szCs w:val="21"/>
                <w:highlight w:val="none"/>
                <w:lang w:val="en-US" w:eastAsia="zh-CN"/>
              </w:rPr>
              <w:t>对安全生产有清晰的认识和理解，投入本项目的安全经费充足</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对人员的安全培训十分到位</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质量保障管理及制度科学合理具体，质量保证方案各项内容均具备，并能根据项目需求提出合理可行的建议的，得10分；</w:t>
            </w:r>
          </w:p>
          <w:p w14:paraId="495FC33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②质量目标明确，质量控制措施合理可行，质量保证体系及保证措施规范，</w:t>
            </w:r>
            <w:r>
              <w:rPr>
                <w:rFonts w:hint="eastAsia" w:ascii="宋体" w:hAnsi="宋体" w:eastAsia="宋体"/>
                <w:color w:val="auto"/>
                <w:szCs w:val="21"/>
                <w:highlight w:val="none"/>
                <w:lang w:val="en-US" w:eastAsia="zh-CN"/>
              </w:rPr>
              <w:t>对安全生产的理解较为明确，投入本项目的安全经费相对充足</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对人员的安全培训到位</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质量保障管理及制度科学合理，质量保证方案各项内容均具备的，得</w:t>
            </w:r>
            <w:r>
              <w:rPr>
                <w:rFonts w:hint="eastAsia" w:ascii="宋体" w:hAnsi="宋体" w:eastAsia="宋体"/>
                <w:color w:val="auto"/>
                <w:szCs w:val="21"/>
                <w:highlight w:val="none"/>
                <w:lang w:val="en-US" w:eastAsia="zh-CN"/>
              </w:rPr>
              <w:t>8</w:t>
            </w:r>
            <w:r>
              <w:rPr>
                <w:rFonts w:hint="eastAsia" w:ascii="宋体" w:hAnsi="宋体" w:eastAsia="宋体"/>
                <w:color w:val="auto"/>
                <w:szCs w:val="21"/>
                <w:highlight w:val="none"/>
              </w:rPr>
              <w:t>分；</w:t>
            </w:r>
          </w:p>
          <w:p w14:paraId="57BCDB1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③质量目标明确度一般，质量控制措施合理性较差，质量保证体系及保证措施不够规范，</w:t>
            </w:r>
            <w:r>
              <w:rPr>
                <w:rFonts w:hint="eastAsia" w:ascii="宋体" w:hAnsi="宋体" w:eastAsia="宋体"/>
                <w:color w:val="auto"/>
                <w:szCs w:val="21"/>
                <w:highlight w:val="none"/>
                <w:lang w:val="en-US" w:eastAsia="zh-CN"/>
              </w:rPr>
              <w:t>对安全生产的认识一般，有投入本项目的安全经费但不能覆盖整个项目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对人员有一定的安全培训到位</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质量保障管理及制度合理，质量保证方案各项内容都具备但是不够详细的，得</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分</w:t>
            </w:r>
          </w:p>
          <w:p w14:paraId="54E1107A">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④质量目标不够明确，但质量控制措施、质量保证体系及保证措施和质量保障管理及制度方案不合理不可行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没有对安全生产的认识，缺少投入本项目的安全经费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没有对人员的安全培训</w:t>
            </w:r>
            <w:r>
              <w:rPr>
                <w:rFonts w:hint="eastAsia" w:ascii="宋体" w:hAnsi="宋体" w:eastAsia="宋体"/>
                <w:color w:val="auto"/>
                <w:szCs w:val="21"/>
                <w:highlight w:val="none"/>
              </w:rPr>
              <w:t>，质量保证方案部分内容有缺漏的，得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35736EC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⑤未提供对应方案不得分。</w:t>
            </w:r>
          </w:p>
        </w:tc>
      </w:tr>
      <w:tr w14:paraId="6C550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DA9CCA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p>
        </w:tc>
        <w:tc>
          <w:tcPr>
            <w:tcW w:w="821" w:type="pct"/>
            <w:vAlign w:val="center"/>
          </w:tcPr>
          <w:p w14:paraId="347B514A">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守密措施</w:t>
            </w:r>
          </w:p>
        </w:tc>
        <w:tc>
          <w:tcPr>
            <w:tcW w:w="537" w:type="pct"/>
            <w:gridSpan w:val="2"/>
            <w:vAlign w:val="center"/>
          </w:tcPr>
          <w:p w14:paraId="387EB3C4">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228A63D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根据投标人提供的守密措施（包括但不限于守密制度、泄密情况的预防、应对及补救措施等）进行评审：</w:t>
            </w:r>
          </w:p>
          <w:p w14:paraId="330E833A">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①投标人守密制度合法可行，能很好地预见履约过程及结束后可能发生的泄密情况，并提出了完善的预防、应对及补救措施，能完全结合项目实际情况且完全满足采购需求要求的，得10分；</w:t>
            </w:r>
          </w:p>
          <w:p w14:paraId="121766F8">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②投标人守密制度合法合规，能较好地预见履约过程及结束后可能发生的泄密情况，并提出了较为完善的预防、应对及补救措施，能部分结合项目实际情况且满足采购需求要求的，得</w:t>
            </w:r>
            <w:r>
              <w:rPr>
                <w:rFonts w:hint="eastAsia" w:ascii="宋体" w:hAnsi="宋体" w:eastAsia="宋体"/>
                <w:color w:val="auto"/>
                <w:szCs w:val="21"/>
                <w:highlight w:val="none"/>
                <w:lang w:val="en-US" w:eastAsia="zh-CN"/>
              </w:rPr>
              <w:t>8</w:t>
            </w:r>
            <w:r>
              <w:rPr>
                <w:rFonts w:hint="eastAsia" w:ascii="宋体" w:hAnsi="宋体" w:eastAsia="宋体"/>
                <w:color w:val="auto"/>
                <w:szCs w:val="21"/>
                <w:highlight w:val="none"/>
              </w:rPr>
              <w:t>分；</w:t>
            </w:r>
          </w:p>
          <w:p w14:paraId="5D0EE5F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③投标人守密制度合法合规，能一定程度上预见履约过程及结束后可能发生的泄密情况，并提出了预防、应对及补救措施，未结合项目实际情况但基本满足采购需求要求的，得</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分；</w:t>
            </w:r>
          </w:p>
          <w:p w14:paraId="1EEFD13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④投标人守密制度合法合规，对履约过程及结束后可能发生的泄密情况提出的预防、应对及补救措施可行性不足，难以满足采购需求要求的，得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6876BD0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⑤未提供相关措施或其他情形的，得0分。</w:t>
            </w:r>
          </w:p>
        </w:tc>
      </w:tr>
      <w:tr w14:paraId="7A078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DEBBD02">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w:t>
            </w:r>
          </w:p>
        </w:tc>
        <w:tc>
          <w:tcPr>
            <w:tcW w:w="821" w:type="pct"/>
            <w:vAlign w:val="center"/>
          </w:tcPr>
          <w:p w14:paraId="289F49DD">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故障排除及应急方案</w:t>
            </w:r>
          </w:p>
        </w:tc>
        <w:tc>
          <w:tcPr>
            <w:tcW w:w="537" w:type="pct"/>
            <w:gridSpan w:val="2"/>
            <w:vAlign w:val="center"/>
          </w:tcPr>
          <w:p w14:paraId="0A139873">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20231C3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根据投标人对本项目的故障排除及应急方案（包括不限于服务承诺、备品备件方案、应急预案等）的进行评审：</w:t>
            </w:r>
          </w:p>
          <w:p w14:paraId="486233B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①投标人提供的服务承诺全面且具有针对性，备品备件的储备和调用方案完善、兼容性强，面对突发故障有科学的排查和应急预案，能完全结合项目实际情况且完全满足采购需求要求的，得10分；</w:t>
            </w:r>
          </w:p>
          <w:p w14:paraId="6C1EA72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②投标人提供的服务承诺全面，备品备件的储备和调用方案较为完善、兼容性较强，面对突发故障有较为科学的排查和应急预案，能部分结合项目实际情况且满足采购需求要求的，得</w:t>
            </w:r>
            <w:r>
              <w:rPr>
                <w:rFonts w:hint="eastAsia" w:ascii="宋体" w:hAnsi="宋体" w:eastAsia="宋体"/>
                <w:color w:val="auto"/>
                <w:szCs w:val="21"/>
                <w:highlight w:val="none"/>
                <w:lang w:val="en-US" w:eastAsia="zh-CN"/>
              </w:rPr>
              <w:t>8</w:t>
            </w:r>
            <w:r>
              <w:rPr>
                <w:rFonts w:hint="eastAsia" w:ascii="宋体" w:hAnsi="宋体" w:eastAsia="宋体"/>
                <w:color w:val="auto"/>
                <w:szCs w:val="21"/>
                <w:highlight w:val="none"/>
              </w:rPr>
              <w:t>分；</w:t>
            </w:r>
          </w:p>
          <w:p w14:paraId="066E744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③投标人提供的服务承诺一般，备品备件的储备和调用方案完整，面对突发故障有一定的排查和应急预案，未结合项目实际情况但能基本满足采购需求要求的，得</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分；</w:t>
            </w:r>
          </w:p>
          <w:p w14:paraId="2D28E29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④投标人提供的服务承诺不完善，备品备件的储备和调用方案粗略，面对突发故障未制定排查和应急预案，难以满足采购需求要求的，得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p>
          <w:p w14:paraId="470386A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⑤未提供相关方案或其他情形的，得0分。</w:t>
            </w:r>
          </w:p>
        </w:tc>
      </w:tr>
      <w:bookmarkEnd w:id="29"/>
    </w:tbl>
    <w:p w14:paraId="416959C6">
      <w:pPr>
        <w:pStyle w:val="26"/>
        <w:numPr>
          <w:ilvl w:val="3"/>
          <w:numId w:val="91"/>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27B6E966">
      <w:pPr>
        <w:pStyle w:val="26"/>
        <w:widowControl/>
        <w:numPr>
          <w:ilvl w:val="0"/>
          <w:numId w:val="93"/>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4E31DA33">
      <w:pPr>
        <w:pStyle w:val="26"/>
        <w:numPr>
          <w:ilvl w:val="3"/>
          <w:numId w:val="9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7CDFD4D2">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77E3990C">
      <w:pPr>
        <w:pStyle w:val="26"/>
        <w:numPr>
          <w:ilvl w:val="3"/>
          <w:numId w:val="9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F2638C7">
      <w:pPr>
        <w:pStyle w:val="26"/>
        <w:widowControl/>
        <w:numPr>
          <w:ilvl w:val="0"/>
          <w:numId w:val="9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0BD90947">
      <w:pPr>
        <w:pStyle w:val="26"/>
        <w:widowControl/>
        <w:numPr>
          <w:ilvl w:val="0"/>
          <w:numId w:val="9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02C305D9">
      <w:pPr>
        <w:pStyle w:val="26"/>
        <w:widowControl/>
        <w:numPr>
          <w:ilvl w:val="0"/>
          <w:numId w:val="9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710B8607">
      <w:pPr>
        <w:pStyle w:val="26"/>
        <w:widowControl/>
        <w:numPr>
          <w:ilvl w:val="0"/>
          <w:numId w:val="94"/>
        </w:numPr>
        <w:ind w:firstLineChars="0"/>
        <w:jc w:val="left"/>
        <w:rPr>
          <w:rFonts w:hint="eastAsia"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44C38E6B">
      <w:pPr>
        <w:pStyle w:val="26"/>
        <w:widowControl/>
        <w:numPr>
          <w:ilvl w:val="0"/>
          <w:numId w:val="9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30B11E4C">
      <w:pPr>
        <w:pStyle w:val="26"/>
        <w:widowControl/>
        <w:numPr>
          <w:ilvl w:val="0"/>
          <w:numId w:val="9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681730A6">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0C7D9F2D">
      <w:pPr>
        <w:pStyle w:val="20"/>
        <w:rPr>
          <w:color w:val="auto"/>
          <w:highlight w:val="none"/>
          <w:lang w:eastAsia="zh-CN"/>
        </w:rPr>
      </w:pPr>
    </w:p>
    <w:p w14:paraId="71BF7D63">
      <w:pPr>
        <w:pStyle w:val="20"/>
        <w:rPr>
          <w:color w:val="auto"/>
          <w:highlight w:val="none"/>
          <w:lang w:eastAsia="zh-CN"/>
        </w:rPr>
      </w:pPr>
    </w:p>
    <w:p w14:paraId="4D19E605">
      <w:pPr>
        <w:pStyle w:val="20"/>
        <w:rPr>
          <w:color w:val="auto"/>
          <w:highlight w:val="none"/>
          <w:lang w:eastAsia="zh-CN"/>
        </w:rPr>
      </w:pPr>
    </w:p>
    <w:p w14:paraId="56D36AF2">
      <w:pPr>
        <w:pageBreakBefore/>
        <w:widowControl/>
        <w:jc w:val="center"/>
        <w:outlineLvl w:val="1"/>
        <w:rPr>
          <w:rFonts w:hint="eastAsia" w:ascii="宋体" w:hAnsi="宋体" w:eastAsia="宋体"/>
          <w:color w:val="auto"/>
          <w:sz w:val="36"/>
          <w:szCs w:val="36"/>
          <w:highlight w:val="none"/>
        </w:rPr>
      </w:pPr>
      <w:bookmarkStart w:id="30" w:name="_Toc28724"/>
      <w:bookmarkStart w:id="31" w:name="_Toc169799783"/>
      <w:r>
        <w:rPr>
          <w:rFonts w:ascii="宋体" w:hAnsi="宋体" w:eastAsia="宋体" w:cs="Times New Roman"/>
          <w:b/>
          <w:color w:val="auto"/>
          <w:kern w:val="0"/>
          <w:sz w:val="36"/>
          <w:szCs w:val="36"/>
          <w:highlight w:val="none"/>
          <w:lang w:eastAsia="zh-Hans"/>
        </w:rPr>
        <w:t>第五章 合同文本</w:t>
      </w:r>
      <w:bookmarkEnd w:id="30"/>
      <w:bookmarkEnd w:id="31"/>
    </w:p>
    <w:p w14:paraId="4CE20B9A">
      <w:pPr>
        <w:keepLines/>
        <w:spacing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广东省珠江东航道事务中心东莞航道所</w:t>
      </w:r>
    </w:p>
    <w:p w14:paraId="3F8689EA">
      <w:pPr>
        <w:spacing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2D7F51A2">
      <w:pPr>
        <w:ind w:firstLine="420" w:firstLineChars="200"/>
        <w:rPr>
          <w:rFonts w:hint="eastAsia"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2" w:name="_Hlk90988984"/>
      <w:r>
        <w:rPr>
          <w:rFonts w:hint="eastAsia" w:ascii="宋体" w:hAnsi="宋体" w:eastAsia="宋体" w:cs="Times New Roman"/>
          <w:color w:val="auto"/>
          <w:szCs w:val="21"/>
          <w:highlight w:val="none"/>
        </w:rPr>
        <w:t>《中华人民共和国民法典</w:t>
      </w:r>
      <w:bookmarkEnd w:id="32"/>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7E1A9EB1">
      <w:pPr>
        <w:pStyle w:val="26"/>
        <w:numPr>
          <w:ilvl w:val="0"/>
          <w:numId w:val="95"/>
        </w:numPr>
        <w:ind w:firstLineChars="0"/>
        <w:rPr>
          <w:rFonts w:hint="eastAsia"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1C7E37A7">
      <w:pPr>
        <w:pStyle w:val="26"/>
        <w:numPr>
          <w:ilvl w:val="0"/>
          <w:numId w:val="96"/>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Hans"/>
        </w:rPr>
        <w:t>2025年东莞航道所外场业务感知终端运维项目</w:t>
      </w:r>
    </w:p>
    <w:p w14:paraId="29EF2646">
      <w:pPr>
        <w:pStyle w:val="26"/>
        <w:numPr>
          <w:ilvl w:val="0"/>
          <w:numId w:val="96"/>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ZHDGZC2025078</w:t>
      </w:r>
    </w:p>
    <w:p w14:paraId="64A3998A">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6E613F89">
      <w:pPr>
        <w:pStyle w:val="26"/>
        <w:numPr>
          <w:ilvl w:val="0"/>
          <w:numId w:val="97"/>
        </w:numPr>
        <w:autoSpaceDE w:val="0"/>
        <w:autoSpaceDN w:val="0"/>
        <w:adjustRightInd w:val="0"/>
        <w:ind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甲方权利和义务</w:t>
      </w:r>
    </w:p>
    <w:p w14:paraId="4FB5736F">
      <w:pPr>
        <w:pStyle w:val="26"/>
        <w:numPr>
          <w:ilvl w:val="0"/>
          <w:numId w:val="98"/>
        </w:numPr>
        <w:tabs>
          <w:tab w:val="left" w:pos="1080"/>
        </w:tabs>
        <w:ind w:firstLineChars="0"/>
        <w:rPr>
          <w:rFonts w:hint="eastAsia"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甲方有权随时检查乙方的服务履行情况，并向乙方提出修改。</w:t>
      </w:r>
    </w:p>
    <w:p w14:paraId="4CE0BCE1">
      <w:pPr>
        <w:pStyle w:val="26"/>
        <w:numPr>
          <w:ilvl w:val="0"/>
          <w:numId w:val="98"/>
        </w:numPr>
        <w:tabs>
          <w:tab w:val="left" w:pos="1080"/>
        </w:tabs>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 。</w:t>
      </w:r>
    </w:p>
    <w:p w14:paraId="69A2FAB4">
      <w:pPr>
        <w:pStyle w:val="26"/>
        <w:numPr>
          <w:ilvl w:val="0"/>
          <w:numId w:val="98"/>
        </w:numPr>
        <w:tabs>
          <w:tab w:val="left" w:pos="1080"/>
        </w:tabs>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585B7E0F">
      <w:pPr>
        <w:pStyle w:val="26"/>
        <w:numPr>
          <w:ilvl w:val="0"/>
          <w:numId w:val="98"/>
        </w:numPr>
        <w:tabs>
          <w:tab w:val="left" w:pos="1080"/>
        </w:tabs>
        <w:ind w:firstLineChars="0"/>
        <w:rPr>
          <w:rFonts w:hint="eastAsia"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1B851EE9">
      <w:pPr>
        <w:pStyle w:val="26"/>
        <w:numPr>
          <w:ilvl w:val="0"/>
          <w:numId w:val="97"/>
        </w:numPr>
        <w:autoSpaceDE w:val="0"/>
        <w:autoSpaceDN w:val="0"/>
        <w:adjustRightInd w:val="0"/>
        <w:ind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乙方权利和义务</w:t>
      </w:r>
    </w:p>
    <w:p w14:paraId="63CF6885">
      <w:pPr>
        <w:pStyle w:val="26"/>
        <w:numPr>
          <w:ilvl w:val="0"/>
          <w:numId w:val="99"/>
        </w:numPr>
        <w:tabs>
          <w:tab w:val="left" w:pos="1080"/>
        </w:tabs>
        <w:ind w:firstLineChars="0"/>
        <w:rPr>
          <w:rFonts w:hint="eastAsia"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p>
    <w:p w14:paraId="6C24E25B">
      <w:pPr>
        <w:pStyle w:val="26"/>
        <w:numPr>
          <w:ilvl w:val="0"/>
          <w:numId w:val="99"/>
        </w:numPr>
        <w:tabs>
          <w:tab w:val="left" w:pos="1080"/>
        </w:tabs>
        <w:ind w:firstLineChars="0"/>
        <w:rPr>
          <w:rFonts w:hint="eastAsia"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w:t>
      </w:r>
      <w:r>
        <w:rPr>
          <w:rFonts w:hint="eastAsia" w:ascii="宋体" w:hAnsi="宋体" w:eastAsia="宋体"/>
          <w:color w:val="auto"/>
          <w:szCs w:val="21"/>
          <w:highlight w:val="none"/>
          <w:lang w:eastAsia="zh-CN"/>
        </w:rPr>
        <w:t>的</w:t>
      </w:r>
      <w:r>
        <w:rPr>
          <w:rFonts w:hint="eastAsia" w:ascii="宋体" w:hAnsi="宋体" w:eastAsia="宋体"/>
          <w:color w:val="auto"/>
          <w:szCs w:val="21"/>
          <w:highlight w:val="none"/>
        </w:rPr>
        <w:t>支付应以符合</w:t>
      </w:r>
      <w:r>
        <w:rPr>
          <w:rFonts w:hint="eastAsia" w:ascii="宋体" w:hAnsi="宋体" w:eastAsia="宋体"/>
          <w:color w:val="auto"/>
          <w:szCs w:val="21"/>
          <w:highlight w:val="none"/>
          <w:lang w:eastAsia="zh-CN"/>
        </w:rPr>
        <w:t>广东省财政厅</w:t>
      </w:r>
      <w:r>
        <w:rPr>
          <w:rFonts w:hint="eastAsia" w:ascii="宋体" w:hAnsi="宋体" w:eastAsia="宋体"/>
          <w:color w:val="auto"/>
          <w:szCs w:val="21"/>
          <w:highlight w:val="none"/>
        </w:rPr>
        <w:t>的相关规定为前提。</w:t>
      </w:r>
    </w:p>
    <w:p w14:paraId="6F4E36F3">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50B20BB">
      <w:pPr>
        <w:pStyle w:val="26"/>
        <w:numPr>
          <w:ilvl w:val="0"/>
          <w:numId w:val="100"/>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56D41F7A">
      <w:pPr>
        <w:pStyle w:val="26"/>
        <w:numPr>
          <w:ilvl w:val="0"/>
          <w:numId w:val="100"/>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合同价</w:t>
      </w:r>
      <w:r>
        <w:rPr>
          <w:rFonts w:hint="eastAsia" w:ascii="宋体" w:hAnsi="宋体" w:eastAsia="宋体"/>
          <w:iCs/>
          <w:color w:val="auto"/>
          <w:szCs w:val="21"/>
          <w:highlight w:val="none"/>
        </w:rPr>
        <w:t>包含完成本项目所有服务内容的费用，包括人</w:t>
      </w:r>
      <w:r>
        <w:rPr>
          <w:rFonts w:hint="eastAsia" w:ascii="宋体" w:hAnsi="宋体" w:eastAsia="宋体"/>
          <w:iCs/>
          <w:color w:val="auto"/>
          <w:szCs w:val="21"/>
          <w:highlight w:val="none"/>
          <w:lang w:val="en-US" w:eastAsia="zh-CN"/>
        </w:rPr>
        <w:t>员工资</w:t>
      </w:r>
      <w:r>
        <w:rPr>
          <w:rFonts w:hint="eastAsia" w:ascii="宋体" w:hAnsi="宋体" w:eastAsia="宋体"/>
          <w:iCs/>
          <w:color w:val="auto"/>
          <w:szCs w:val="21"/>
          <w:highlight w:val="none"/>
        </w:rPr>
        <w:t>、</w:t>
      </w:r>
      <w:r>
        <w:rPr>
          <w:rFonts w:hint="eastAsia" w:ascii="宋体" w:hAnsi="宋体" w:eastAsia="宋体"/>
          <w:iCs/>
          <w:color w:val="auto"/>
          <w:szCs w:val="21"/>
          <w:highlight w:val="none"/>
          <w:lang w:val="en-US" w:eastAsia="zh-CN"/>
        </w:rPr>
        <w:t>保险</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rPr>
        <w:t>材料费、</w:t>
      </w:r>
      <w:r>
        <w:rPr>
          <w:rFonts w:hint="eastAsia" w:ascii="宋体" w:hAnsi="宋体" w:eastAsia="宋体"/>
          <w:iCs/>
          <w:color w:val="auto"/>
          <w:szCs w:val="21"/>
          <w:highlight w:val="none"/>
          <w:lang w:val="en-US" w:eastAsia="zh-CN"/>
        </w:rPr>
        <w:t>备品备件</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rPr>
        <w:t>各种税务费、必须的辅助材料费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额外产生的终端软件系统运维及调试费用</w:t>
      </w:r>
      <w:r>
        <w:rPr>
          <w:rFonts w:hint="eastAsia" w:ascii="宋体" w:hAnsi="宋体" w:eastAsia="宋体"/>
          <w:iCs/>
          <w:color w:val="auto"/>
          <w:szCs w:val="21"/>
          <w:highlight w:val="none"/>
        </w:rPr>
        <w:t>及合同实施过程中不可预见费用等全部费用。</w:t>
      </w:r>
    </w:p>
    <w:p w14:paraId="219E188D">
      <w:pPr>
        <w:pStyle w:val="26"/>
        <w:numPr>
          <w:ilvl w:val="0"/>
          <w:numId w:val="100"/>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本合同价为固定不变价。</w:t>
      </w:r>
    </w:p>
    <w:p w14:paraId="5B190566">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03096377">
      <w:pPr>
        <w:pStyle w:val="26"/>
        <w:numPr>
          <w:ilvl w:val="0"/>
          <w:numId w:val="10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GB" w:eastAsia="zh-CN"/>
        </w:rPr>
        <w:t>签订合同后，</w:t>
      </w:r>
      <w:r>
        <w:rPr>
          <w:rFonts w:hint="eastAsia" w:ascii="宋体" w:hAnsi="宋体" w:eastAsia="宋体"/>
          <w:iCs/>
          <w:color w:val="auto"/>
          <w:szCs w:val="21"/>
          <w:highlight w:val="none"/>
          <w:lang w:val="en-US" w:eastAsia="zh-CN"/>
        </w:rPr>
        <w:t>乙方</w:t>
      </w:r>
      <w:r>
        <w:rPr>
          <w:rFonts w:hint="eastAsia" w:ascii="宋体" w:hAnsi="宋体" w:eastAsia="宋体"/>
          <w:iCs/>
          <w:color w:val="auto"/>
          <w:szCs w:val="21"/>
          <w:highlight w:val="none"/>
          <w:lang w:val="en-GB" w:eastAsia="zh-CN"/>
        </w:rPr>
        <w:t>书面提交</w:t>
      </w:r>
      <w:r>
        <w:rPr>
          <w:rFonts w:hint="eastAsia" w:ascii="宋体" w:hAnsi="宋体" w:eastAsia="宋体"/>
          <w:iCs/>
          <w:color w:val="auto"/>
          <w:szCs w:val="21"/>
          <w:highlight w:val="none"/>
          <w:lang w:val="en-US" w:eastAsia="zh-CN"/>
        </w:rPr>
        <w:t>请款资料</w:t>
      </w:r>
      <w:r>
        <w:rPr>
          <w:rFonts w:hint="eastAsia" w:ascii="宋体" w:hAnsi="宋体" w:eastAsia="宋体"/>
          <w:iCs/>
          <w:color w:val="auto"/>
          <w:szCs w:val="21"/>
          <w:highlight w:val="none"/>
          <w:lang w:val="en-GB" w:eastAsia="zh-CN"/>
        </w:rPr>
        <w:t>及</w:t>
      </w:r>
      <w:r>
        <w:rPr>
          <w:rFonts w:hint="eastAsia" w:ascii="宋体" w:hAnsi="宋体" w:eastAsia="宋体"/>
          <w:iCs/>
          <w:color w:val="auto"/>
          <w:szCs w:val="21"/>
          <w:highlight w:val="none"/>
          <w:lang w:val="en-US" w:eastAsia="zh-CN"/>
        </w:rPr>
        <w:t>等额有效</w:t>
      </w:r>
      <w:r>
        <w:rPr>
          <w:rFonts w:hint="eastAsia" w:ascii="宋体" w:hAnsi="宋体" w:eastAsia="宋体"/>
          <w:iCs/>
          <w:color w:val="auto"/>
          <w:szCs w:val="21"/>
          <w:highlight w:val="none"/>
          <w:lang w:val="en-GB" w:eastAsia="zh-CN"/>
        </w:rPr>
        <w:t>发票</w:t>
      </w:r>
      <w:r>
        <w:rPr>
          <w:rFonts w:hint="eastAsia" w:ascii="宋体" w:hAnsi="宋体" w:eastAsia="宋体"/>
          <w:iCs/>
          <w:color w:val="auto"/>
          <w:szCs w:val="21"/>
          <w:highlight w:val="none"/>
          <w:lang w:val="en-US" w:eastAsia="zh-CN"/>
        </w:rPr>
        <w:t>至甲方处</w:t>
      </w:r>
      <w:r>
        <w:rPr>
          <w:rFonts w:hint="eastAsia" w:ascii="宋体" w:hAnsi="宋体" w:eastAsia="宋体"/>
          <w:iCs/>
          <w:color w:val="auto"/>
          <w:szCs w:val="21"/>
          <w:highlight w:val="none"/>
          <w:lang w:val="en-GB" w:eastAsia="zh-CN"/>
        </w:rPr>
        <w:t>，经</w:t>
      </w:r>
      <w:r>
        <w:rPr>
          <w:rFonts w:hint="eastAsia" w:ascii="宋体" w:hAnsi="宋体" w:eastAsia="宋体"/>
          <w:iCs/>
          <w:color w:val="auto"/>
          <w:szCs w:val="21"/>
          <w:highlight w:val="none"/>
          <w:lang w:val="en-US" w:eastAsia="zh-CN"/>
        </w:rPr>
        <w:t>甲方确认无误后于10个工作日内支付合同金额的</w:t>
      </w:r>
      <w:r>
        <w:rPr>
          <w:rFonts w:hint="eastAsia" w:ascii="宋体" w:hAnsi="宋体" w:eastAsia="宋体"/>
          <w:iCs/>
          <w:color w:val="auto"/>
          <w:szCs w:val="21"/>
          <w:highlight w:val="none"/>
          <w:lang w:val="en-GB" w:eastAsia="zh-CN"/>
        </w:rPr>
        <w:t>30%</w:t>
      </w:r>
      <w:r>
        <w:rPr>
          <w:rFonts w:hint="eastAsia" w:ascii="宋体" w:hAnsi="宋体" w:eastAsia="宋体"/>
          <w:iCs/>
          <w:color w:val="auto"/>
          <w:szCs w:val="21"/>
          <w:highlight w:val="none"/>
          <w:lang w:val="en-US" w:eastAsia="zh-CN"/>
        </w:rPr>
        <w:t>作为预付款；</w:t>
      </w:r>
    </w:p>
    <w:p w14:paraId="3F35F854">
      <w:pPr>
        <w:pStyle w:val="26"/>
        <w:numPr>
          <w:ilvl w:val="0"/>
          <w:numId w:val="10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US" w:eastAsia="zh-CN"/>
        </w:rPr>
        <w:t>本项目服务周期满6个月后，乙方提交请款资料及等额有效发票至甲方处，经甲方确认无误后于10个工作日内支付合同金额的20%；</w:t>
      </w:r>
    </w:p>
    <w:p w14:paraId="24920592">
      <w:pPr>
        <w:pStyle w:val="26"/>
        <w:numPr>
          <w:ilvl w:val="0"/>
          <w:numId w:val="10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US" w:eastAsia="zh-CN"/>
        </w:rPr>
        <w:t>本项目服务周期满9个月后，乙方提交请款资料及等额有效发票至甲方处，经甲方确认无误后于10个工作日内支付合同金额的20%；</w:t>
      </w:r>
    </w:p>
    <w:p w14:paraId="0ACD9C41">
      <w:pPr>
        <w:pStyle w:val="26"/>
        <w:numPr>
          <w:ilvl w:val="0"/>
          <w:numId w:val="101"/>
        </w:numPr>
        <w:snapToGrid w:val="0"/>
        <w:spacing w:line="360" w:lineRule="auto"/>
        <w:ind w:left="425" w:leftChars="0" w:hanging="425" w:firstLineChars="0"/>
        <w:contextualSpacing/>
        <w:rPr>
          <w:rFonts w:hint="eastAsia" w:ascii="宋体" w:hAnsi="宋体" w:eastAsia="宋体"/>
          <w:iCs/>
          <w:color w:val="auto"/>
          <w:szCs w:val="21"/>
          <w:highlight w:val="none"/>
          <w:lang w:val="en-GB" w:eastAsia="zh-CN"/>
        </w:rPr>
      </w:pPr>
      <w:r>
        <w:rPr>
          <w:rFonts w:hint="eastAsia" w:ascii="宋体" w:hAnsi="宋体" w:eastAsia="宋体"/>
          <w:iCs/>
          <w:color w:val="auto"/>
          <w:szCs w:val="21"/>
          <w:highlight w:val="none"/>
          <w:lang w:val="en-US" w:eastAsia="zh-CN"/>
        </w:rPr>
        <w:t>本项目服务周期满12个月并经甲方完成项目验收后，乙方书面提交请款资料及等额有效发票至甲方处，经甲方确认无误后于10个工作日内支付合同金额的30%</w:t>
      </w:r>
      <w:r>
        <w:rPr>
          <w:rFonts w:hint="eastAsia" w:ascii="宋体" w:hAnsi="宋体" w:eastAsia="宋体"/>
          <w:iCs/>
          <w:color w:val="auto"/>
          <w:szCs w:val="21"/>
          <w:highlight w:val="none"/>
          <w:lang w:val="en-GB" w:eastAsia="zh-CN"/>
        </w:rPr>
        <w:t>。</w:t>
      </w:r>
    </w:p>
    <w:p w14:paraId="4E94A776">
      <w:pPr>
        <w:pStyle w:val="26"/>
        <w:numPr>
          <w:ilvl w:val="0"/>
          <w:numId w:val="0"/>
        </w:numPr>
        <w:snapToGrid w:val="0"/>
        <w:spacing w:line="360" w:lineRule="auto"/>
        <w:ind w:left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注：</w:t>
      </w:r>
    </w:p>
    <w:p w14:paraId="269078B5">
      <w:pPr>
        <w:pStyle w:val="26"/>
        <w:numPr>
          <w:ilvl w:val="0"/>
          <w:numId w:val="10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本项目根据《运维考核评分表》进行每期服务费结算，上文2</w:t>
      </w:r>
      <w:r>
        <w:rPr>
          <w:rFonts w:hint="eastAsia" w:ascii="宋体" w:hAnsi="宋体" w:eastAsia="宋体"/>
          <w:iCs/>
          <w:color w:val="auto"/>
          <w:szCs w:val="21"/>
          <w:highlight w:val="none"/>
          <w:lang w:val="en-GB" w:eastAsia="zh-CN"/>
        </w:rPr>
        <w:t>进度款</w:t>
      </w:r>
      <w:r>
        <w:rPr>
          <w:rFonts w:hint="eastAsia" w:ascii="宋体" w:hAnsi="宋体" w:eastAsia="宋体"/>
          <w:iCs/>
          <w:color w:val="auto"/>
          <w:szCs w:val="21"/>
          <w:highlight w:val="none"/>
          <w:lang w:val="en-US" w:eastAsia="zh-CN"/>
        </w:rPr>
        <w:t>需根据甲方对乙方第1-2期的《运维考核评分表》情况进行支付；上文3</w:t>
      </w:r>
      <w:r>
        <w:rPr>
          <w:rFonts w:hint="eastAsia" w:ascii="宋体" w:hAnsi="宋体" w:eastAsia="宋体"/>
          <w:iCs/>
          <w:color w:val="auto"/>
          <w:szCs w:val="21"/>
          <w:highlight w:val="none"/>
          <w:lang w:val="en-GB" w:eastAsia="zh-CN"/>
        </w:rPr>
        <w:t>进度款</w:t>
      </w:r>
      <w:r>
        <w:rPr>
          <w:rFonts w:hint="eastAsia" w:ascii="宋体" w:hAnsi="宋体" w:eastAsia="宋体"/>
          <w:iCs/>
          <w:color w:val="auto"/>
          <w:szCs w:val="21"/>
          <w:highlight w:val="none"/>
          <w:lang w:val="en-US" w:eastAsia="zh-CN"/>
        </w:rPr>
        <w:t>需根据甲方对第3期《运维考核评分表》情况进行支付；上文4尾款需根据甲方对第4期《运维考核评分表》情况进行支付（考核要求详见下文《运维考核评分表》）；</w:t>
      </w:r>
    </w:p>
    <w:p w14:paraId="32300A27">
      <w:pPr>
        <w:pStyle w:val="26"/>
        <w:numPr>
          <w:ilvl w:val="0"/>
          <w:numId w:val="102"/>
        </w:numPr>
        <w:snapToGrid w:val="0"/>
        <w:spacing w:line="360" w:lineRule="auto"/>
        <w:ind w:left="425" w:leftChars="0" w:hanging="425"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val="en-GB" w:eastAsia="zh-CN"/>
        </w:rPr>
        <w:t>因甲方使用的是财政资金，上述规定的付款时间为甲方向财政部门提出办理支付申请手续的时间（不含财政部门审核的时间）乙方不得以未收取合同款项为由拒绝或延期履行合同义务，因财政审核或乙方提供的请款资料不符合要求导致超出合同约定付款期限的，甲方不承担相应的责任。</w:t>
      </w:r>
    </w:p>
    <w:p w14:paraId="568EEE9D">
      <w:pPr>
        <w:pStyle w:val="26"/>
        <w:numPr>
          <w:ilvl w:val="0"/>
          <w:numId w:val="103"/>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根据现行税法规定对甲方征收的与本合同有关的一切税费均应由甲方负担；</w:t>
      </w:r>
    </w:p>
    <w:p w14:paraId="2F17A1BD">
      <w:pPr>
        <w:pStyle w:val="26"/>
        <w:numPr>
          <w:ilvl w:val="0"/>
          <w:numId w:val="103"/>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3C15205E">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验收要求</w:t>
      </w:r>
    </w:p>
    <w:p w14:paraId="6D25B7F1">
      <w:pPr>
        <w:pStyle w:val="26"/>
        <w:numPr>
          <w:ilvl w:val="0"/>
          <w:numId w:val="104"/>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验收方式：每个月由甲方进行考核验收；</w:t>
      </w:r>
    </w:p>
    <w:p w14:paraId="67F47758">
      <w:pPr>
        <w:pStyle w:val="26"/>
        <w:numPr>
          <w:ilvl w:val="0"/>
          <w:numId w:val="104"/>
        </w:numPr>
        <w:snapToGrid w:val="0"/>
        <w:spacing w:line="360" w:lineRule="auto"/>
        <w:ind w:left="425" w:leftChars="0" w:hanging="425" w:firstLineChars="0"/>
        <w:contextualSpacing/>
        <w:rPr>
          <w:rFonts w:hint="eastAsia" w:ascii="宋体" w:hAnsi="宋体" w:eastAsia="宋体"/>
          <w:b/>
          <w:color w:val="auto"/>
          <w:spacing w:val="20"/>
          <w:szCs w:val="21"/>
          <w:highlight w:val="none"/>
        </w:rPr>
      </w:pPr>
      <w:r>
        <w:rPr>
          <w:rFonts w:hint="eastAsia" w:ascii="宋体" w:hAnsi="宋体" w:eastAsia="宋体"/>
          <w:iCs/>
          <w:color w:val="auto"/>
          <w:szCs w:val="21"/>
          <w:highlight w:val="none"/>
          <w:lang w:val="en-US" w:eastAsia="zh-CN"/>
        </w:rPr>
        <w:t>履约验收内容及标准：根据《运维考核评分表》内容进行验收。</w:t>
      </w:r>
    </w:p>
    <w:p w14:paraId="2561E54C">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GB"/>
        </w:rPr>
        <w:t>外场感知终端现状</w:t>
      </w:r>
    </w:p>
    <w:p w14:paraId="367A84F1">
      <w:pPr>
        <w:pStyle w:val="26"/>
        <w:numPr>
          <w:ilvl w:val="0"/>
          <w:numId w:val="10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水位监测终端服务内容及要求</w:t>
      </w:r>
    </w:p>
    <w:p w14:paraId="1BC9FCB2">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eastAsia="zh-CN"/>
        </w:rPr>
        <w:t>本项目纳入日常维护的水位监测终端设备合计</w:t>
      </w:r>
      <w:r>
        <w:rPr>
          <w:rFonts w:hint="eastAsia" w:ascii="宋体" w:hAnsi="宋体" w:eastAsia="宋体"/>
          <w:color w:val="auto"/>
          <w:szCs w:val="21"/>
          <w:highlight w:val="none"/>
          <w:lang w:val="en-US" w:eastAsia="zh-CN"/>
        </w:rPr>
        <w:t>22套。</w:t>
      </w:r>
    </w:p>
    <w:p w14:paraId="45CF36BB">
      <w:pPr>
        <w:pStyle w:val="26"/>
        <w:numPr>
          <w:ilvl w:val="0"/>
          <w:numId w:val="10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GB" w:eastAsia="zh-CN"/>
        </w:rPr>
        <w:t>工程内容：</w:t>
      </w:r>
      <w:r>
        <w:rPr>
          <w:rFonts w:hint="eastAsia" w:ascii="宋体" w:hAnsi="宋体" w:eastAsia="宋体"/>
          <w:color w:val="auto"/>
          <w:szCs w:val="21"/>
          <w:highlight w:val="none"/>
          <w:lang w:val="en-US" w:eastAsia="zh-CN"/>
        </w:rPr>
        <w:t>终端设备定期维护、故障出检修复、零部件更换。</w:t>
      </w:r>
    </w:p>
    <w:p w14:paraId="4D1843B6">
      <w:pPr>
        <w:pStyle w:val="26"/>
        <w:numPr>
          <w:ilvl w:val="0"/>
          <w:numId w:val="10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终端设备定期维护：每月进行一次保养和每次汛期后进行一次检查养护，每个终端一年平均保养不少于15次。</w:t>
      </w:r>
      <w:r>
        <w:rPr>
          <w:rFonts w:hint="eastAsia" w:ascii="宋体" w:hAnsi="宋体" w:eastAsia="宋体"/>
          <w:color w:val="auto"/>
          <w:szCs w:val="21"/>
          <w:highlight w:val="none"/>
          <w:lang w:val="en-GB" w:eastAsia="zh-CN"/>
        </w:rPr>
        <w:t>每年对终端及配套设施进行除锈和刷漆</w:t>
      </w:r>
      <w:r>
        <w:rPr>
          <w:rFonts w:hint="eastAsia" w:ascii="宋体" w:hAnsi="宋体" w:eastAsia="宋体"/>
          <w:color w:val="auto"/>
          <w:szCs w:val="21"/>
          <w:highlight w:val="none"/>
          <w:lang w:val="en-US" w:eastAsia="zh-CN"/>
        </w:rPr>
        <w:t>1次。</w:t>
      </w:r>
      <w:r>
        <w:rPr>
          <w:rFonts w:hint="eastAsia" w:ascii="宋体" w:hAnsi="宋体" w:eastAsia="宋体"/>
          <w:color w:val="auto"/>
          <w:szCs w:val="21"/>
          <w:highlight w:val="none"/>
          <w:lang w:val="en-GB"/>
        </w:rPr>
        <w:t>使用</w:t>
      </w:r>
      <w:r>
        <w:rPr>
          <w:rFonts w:hint="eastAsia" w:ascii="宋体" w:hAnsi="宋体" w:eastAsia="宋体"/>
          <w:color w:val="auto"/>
          <w:szCs w:val="21"/>
          <w:highlight w:val="none"/>
        </w:rPr>
        <w:t>RTK及其他测量设备</w:t>
      </w:r>
      <w:r>
        <w:rPr>
          <w:rFonts w:hint="eastAsia" w:ascii="宋体" w:hAnsi="宋体" w:eastAsia="宋体"/>
          <w:color w:val="auto"/>
          <w:szCs w:val="21"/>
          <w:highlight w:val="none"/>
          <w:lang w:val="en-GB"/>
        </w:rPr>
        <w:t>每年对水位站监测数据进行至少1次校核比对。做好设备档案资料日常填报工作。</w:t>
      </w:r>
    </w:p>
    <w:p w14:paraId="6E923F16">
      <w:pPr>
        <w:pStyle w:val="26"/>
        <w:numPr>
          <w:ilvl w:val="0"/>
          <w:numId w:val="10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GB"/>
        </w:rPr>
        <w:t>检查养护内容</w:t>
      </w:r>
    </w:p>
    <w:p w14:paraId="1448E2D4">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外观检查。主要检查水位站平台、爬梯等设施是否稳固、生锈或破损，物理水尺刻度是否清晰可见，站桩是否有缠绕物和防盗窗及锁具是否完好等。</w:t>
      </w:r>
    </w:p>
    <w:p w14:paraId="28B27B48">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零部件检查。主要检查太阳能电池和蓄电池是否正常，水位计、平衡锤、浮子、钢丝绳等是否完好。</w:t>
      </w:r>
    </w:p>
    <w:p w14:paraId="2E3D9A4A">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采集终端检查。主要检查数采终端设备（RTU）、太阳能控制器、通信模块等是否运行正常；数据采集是否正常、显示是否正确、传输是否正常。</w:t>
      </w:r>
    </w:p>
    <w:p w14:paraId="2EE3C420">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水位数值验证。现场检验水位数值是否正确。</w:t>
      </w:r>
    </w:p>
    <w:p w14:paraId="67451477">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压力式水位计导气电缆线是否划伤、破损，导气管是否堵塞，探头是否有附着物需要清理。</w:t>
      </w:r>
    </w:p>
    <w:p w14:paraId="5DB9077F">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日常养护更换、拆卸标志部件时，必须正确记录部件的编号和与之配套的通讯卡号码及技术参数，更换完成后应及时更新标志参数设置。</w:t>
      </w:r>
    </w:p>
    <w:p w14:paraId="3D776232">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每次日常巡查需要进行拍照取证，对存在的问题及时现场整改，不能现场整改的进行说明备注，同时提供整改前后的对比相片。对需要更换配件的按要求在规定时间内完成修复。</w:t>
      </w:r>
    </w:p>
    <w:p w14:paraId="018F0316">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eastAsia="zh-CN"/>
        </w:rPr>
        <w:t>故障出检修复、零部件更换：</w:t>
      </w:r>
      <w:r>
        <w:rPr>
          <w:rFonts w:hint="eastAsia" w:ascii="宋体" w:hAnsi="宋体" w:eastAsia="宋体"/>
          <w:color w:val="auto"/>
          <w:szCs w:val="21"/>
          <w:highlight w:val="none"/>
          <w:lang w:val="en-GB"/>
        </w:rPr>
        <w:t>在水位监测终端无法正常报送数据</w:t>
      </w:r>
      <w:r>
        <w:rPr>
          <w:rFonts w:hint="eastAsia" w:ascii="宋体" w:hAnsi="宋体" w:eastAsia="宋体"/>
          <w:color w:val="auto"/>
          <w:szCs w:val="21"/>
          <w:highlight w:val="none"/>
          <w:lang w:val="en-GB" w:eastAsia="zh-CN"/>
        </w:rPr>
        <w:t>或省平台监测状态异常时</w:t>
      </w:r>
      <w:r>
        <w:rPr>
          <w:rFonts w:hint="eastAsia" w:ascii="宋体" w:hAnsi="宋体" w:eastAsia="宋体"/>
          <w:color w:val="auto"/>
          <w:szCs w:val="21"/>
          <w:highlight w:val="none"/>
          <w:lang w:val="en-GB"/>
        </w:rPr>
        <w:t>，</w:t>
      </w:r>
      <w:r>
        <w:rPr>
          <w:rFonts w:hint="eastAsia" w:ascii="宋体" w:hAnsi="宋体" w:eastAsia="宋体"/>
          <w:color w:val="auto"/>
          <w:szCs w:val="21"/>
          <w:highlight w:val="none"/>
          <w:lang w:val="en-GB" w:eastAsia="zh-CN"/>
        </w:rPr>
        <w:t>组织确认故障问题点，</w:t>
      </w:r>
      <w:r>
        <w:rPr>
          <w:rFonts w:hint="eastAsia" w:ascii="宋体" w:hAnsi="宋体" w:eastAsia="宋体"/>
          <w:color w:val="auto"/>
          <w:szCs w:val="21"/>
          <w:highlight w:val="none"/>
          <w:lang w:val="en-GB"/>
        </w:rPr>
        <w:t>及时出航检查、更换备件修复终端（含与省平台的数据对接调试恢复至正常状态）。</w:t>
      </w:r>
    </w:p>
    <w:p w14:paraId="2D144F8C">
      <w:pPr>
        <w:pStyle w:val="26"/>
        <w:numPr>
          <w:ilvl w:val="0"/>
          <w:numId w:val="107"/>
        </w:numPr>
        <w:snapToGrid w:val="0"/>
        <w:spacing w:line="360" w:lineRule="auto"/>
        <w:ind w:left="425" w:leftChars="0" w:hanging="425" w:firstLineChars="0"/>
        <w:contextualSpacing/>
        <w:rPr>
          <w:rFonts w:hint="eastAsia" w:ascii="宋体" w:hAnsi="宋体" w:eastAsia="宋体"/>
          <w:color w:val="auto"/>
          <w:szCs w:val="21"/>
          <w:highlight w:val="none"/>
          <w:lang w:val="en-GB"/>
        </w:rPr>
      </w:pPr>
      <w:r>
        <w:rPr>
          <w:rFonts w:hint="eastAsia" w:ascii="宋体" w:hAnsi="宋体" w:eastAsia="宋体"/>
          <w:color w:val="auto"/>
          <w:szCs w:val="21"/>
          <w:highlight w:val="none"/>
          <w:lang w:val="en-GB"/>
        </w:rPr>
        <w:t>终端设备图示</w:t>
      </w:r>
    </w:p>
    <w:p w14:paraId="19D8BF34">
      <w:pPr>
        <w:pStyle w:val="26"/>
        <w:numPr>
          <w:ilvl w:val="0"/>
          <w:numId w:val="0"/>
        </w:numPr>
        <w:snapToGrid w:val="0"/>
        <w:spacing w:line="360" w:lineRule="auto"/>
        <w:ind w:leftChars="0"/>
        <w:contextualSpacing/>
        <w:jc w:val="center"/>
        <w:rPr>
          <w:rFonts w:hint="eastAsia" w:ascii="宋体" w:hAnsi="宋体" w:eastAsia="宋体"/>
          <w:color w:val="auto"/>
          <w:szCs w:val="21"/>
          <w:highlight w:val="none"/>
          <w:lang w:val="en-GB"/>
        </w:rPr>
      </w:pPr>
      <w:r>
        <w:rPr>
          <w:rFonts w:hint="eastAsia"/>
          <w:color w:val="auto"/>
          <w:highlight w:val="none"/>
        </w:rPr>
        <w:drawing>
          <wp:inline distT="0" distB="0" distL="114300" distR="114300">
            <wp:extent cx="1826260" cy="2607945"/>
            <wp:effectExtent l="0" t="0" r="2540" b="190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7"/>
                    <a:stretch>
                      <a:fillRect/>
                    </a:stretch>
                  </pic:blipFill>
                  <pic:spPr>
                    <a:xfrm>
                      <a:off x="0" y="0"/>
                      <a:ext cx="1826260" cy="2607945"/>
                    </a:xfrm>
                    <a:prstGeom prst="rect">
                      <a:avLst/>
                    </a:prstGeom>
                    <a:noFill/>
                    <a:ln>
                      <a:noFill/>
                    </a:ln>
                  </pic:spPr>
                </pic:pic>
              </a:graphicData>
            </a:graphic>
          </wp:inline>
        </w:drawing>
      </w:r>
    </w:p>
    <w:p w14:paraId="5A6D4BEE">
      <w:pPr>
        <w:pStyle w:val="26"/>
        <w:numPr>
          <w:ilvl w:val="0"/>
          <w:numId w:val="10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船舶流量监测终端服务内容及要求</w:t>
      </w:r>
    </w:p>
    <w:p w14:paraId="61ED8CF5">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本项目纳入日常维护的船舶流量监测终端设备合计11套。</w:t>
      </w:r>
    </w:p>
    <w:p w14:paraId="44494C21">
      <w:pPr>
        <w:keepNext w:val="0"/>
        <w:keepLines w:val="0"/>
        <w:pageBreakBefore w:val="0"/>
        <w:widowControl/>
        <w:numPr>
          <w:ilvl w:val="0"/>
          <w:numId w:val="10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436BC5B2">
      <w:pPr>
        <w:keepNext w:val="0"/>
        <w:keepLines w:val="0"/>
        <w:pageBreakBefore w:val="0"/>
        <w:widowControl/>
        <w:numPr>
          <w:ilvl w:val="0"/>
          <w:numId w:val="10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后进行一次检查养护，每个终端一年平均保养不少于 15 次。每年对终端及配套设施进行除锈和刷漆至少1次。为船舶流量观测终端提供用电服务。做好设备档案资料日常填报工作。</w:t>
      </w:r>
    </w:p>
    <w:p w14:paraId="64839836">
      <w:pPr>
        <w:keepNext w:val="0"/>
        <w:keepLines w:val="0"/>
        <w:pageBreakBefore w:val="0"/>
        <w:widowControl/>
        <w:numPr>
          <w:ilvl w:val="0"/>
          <w:numId w:val="108"/>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检查养护内容</w:t>
      </w:r>
    </w:p>
    <w:p w14:paraId="632482AC">
      <w:pPr>
        <w:keepNext w:val="0"/>
        <w:keepLines w:val="0"/>
        <w:pageBreakBefore w:val="0"/>
        <w:widowControl/>
        <w:numPr>
          <w:ilvl w:val="0"/>
          <w:numId w:val="10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外观检查。主要检查设备安装是否固定，机箱和交接箱是否出现渗水或漏水；摄像机和激光扫描仪是否被遮挡；配套设施、摄像支架、机箱和防盗窗锁是否生锈需要除锈油漆。</w:t>
      </w:r>
    </w:p>
    <w:p w14:paraId="1C1B5D93">
      <w:pPr>
        <w:keepNext w:val="0"/>
        <w:keepLines w:val="0"/>
        <w:pageBreakBefore w:val="0"/>
        <w:widowControl/>
        <w:numPr>
          <w:ilvl w:val="0"/>
          <w:numId w:val="10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零配件检查。主要检查设备是否完整，防雷设备是否完好，防雷天线连接及腐蚀情况；摄像机、工控机、激光扫描机、路由器和交换机等前端设备是否正常运行，线路供电、光纤线路是否正常。</w:t>
      </w:r>
    </w:p>
    <w:p w14:paraId="7BB44AF0">
      <w:pPr>
        <w:keepNext w:val="0"/>
        <w:keepLines w:val="0"/>
        <w:pageBreakBefore w:val="0"/>
        <w:widowControl/>
        <w:numPr>
          <w:ilvl w:val="0"/>
          <w:numId w:val="10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w:t>
      </w:r>
    </w:p>
    <w:p w14:paraId="18B063ED">
      <w:pPr>
        <w:keepNext w:val="0"/>
        <w:keepLines w:val="0"/>
        <w:pageBreakBefore w:val="0"/>
        <w:widowControl/>
        <w:numPr>
          <w:ilvl w:val="0"/>
          <w:numId w:val="10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故障出检修复，零部件更换：在船舶流量观测终端无法正常报送数据时，及时出航检查、更换备件恢复终端（含与省平台的数据对接调试恢复至正常状态）。</w:t>
      </w:r>
    </w:p>
    <w:p w14:paraId="481690F1">
      <w:pPr>
        <w:keepNext w:val="0"/>
        <w:keepLines w:val="0"/>
        <w:pageBreakBefore w:val="0"/>
        <w:widowControl/>
        <w:numPr>
          <w:ilvl w:val="0"/>
          <w:numId w:val="109"/>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终端设备截图</w:t>
      </w:r>
    </w:p>
    <w:p w14:paraId="65E740E2">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jc w:val="center"/>
        <w:textAlignment w:val="auto"/>
        <w:rPr>
          <w:rFonts w:hint="eastAsia" w:ascii="宋体" w:hAnsi="宋体" w:eastAsia="宋体" w:cs="宋体"/>
          <w:color w:val="auto"/>
          <w:sz w:val="21"/>
          <w:szCs w:val="21"/>
          <w:highlight w:val="none"/>
          <w:lang w:val="en-GB" w:eastAsia="zh-Hans"/>
        </w:rPr>
      </w:pPr>
      <w:r>
        <w:rPr>
          <w:rFonts w:hint="eastAsia"/>
          <w:color w:val="auto"/>
          <w:sz w:val="24"/>
          <w:szCs w:val="24"/>
          <w:highlight w:val="none"/>
        </w:rPr>
        <w:drawing>
          <wp:inline distT="0" distB="0" distL="0" distR="0">
            <wp:extent cx="5278755" cy="2286000"/>
            <wp:effectExtent l="0" t="0" r="17145" b="0"/>
            <wp:docPr id="2" name="图片 79"/>
            <wp:cNvGraphicFramePr/>
            <a:graphic xmlns:a="http://schemas.openxmlformats.org/drawingml/2006/main">
              <a:graphicData uri="http://schemas.openxmlformats.org/drawingml/2006/picture">
                <pic:pic xmlns:pic="http://schemas.openxmlformats.org/drawingml/2006/picture">
                  <pic:nvPicPr>
                    <pic:cNvPr id="2" name="图片 79"/>
                    <pic:cNvPicPr/>
                  </pic:nvPicPr>
                  <pic:blipFill>
                    <a:blip r:embed="rId8"/>
                    <a:srcRect/>
                    <a:stretch>
                      <a:fillRect/>
                    </a:stretch>
                  </pic:blipFill>
                  <pic:spPr>
                    <a:xfrm>
                      <a:off x="0" y="0"/>
                      <a:ext cx="5278755" cy="2286000"/>
                    </a:xfrm>
                    <a:prstGeom prst="rect">
                      <a:avLst/>
                    </a:prstGeom>
                    <a:noFill/>
                    <a:ln>
                      <a:noFill/>
                    </a:ln>
                  </pic:spPr>
                </pic:pic>
              </a:graphicData>
            </a:graphic>
          </wp:inline>
        </w:drawing>
      </w:r>
    </w:p>
    <w:p w14:paraId="3C66DC87">
      <w:pPr>
        <w:pStyle w:val="26"/>
        <w:numPr>
          <w:ilvl w:val="0"/>
          <w:numId w:val="105"/>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桥梁净高监测终端服务内容及要求</w:t>
      </w:r>
    </w:p>
    <w:p w14:paraId="6B076BA3">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本项目纳入日常维护的桥梁净高监测终端设备合计34套。</w:t>
      </w:r>
    </w:p>
    <w:p w14:paraId="1BC96F1E">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3B1C2F7F">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后进行一次检查养护，每个终端一年平均保养不少于15次。每年对终端及配套设施进行除锈和刷漆至少1次。每年对净高监测数据进行至少1次测量校核比对。做好设备档案资料日常填报工作。</w:t>
      </w:r>
    </w:p>
    <w:p w14:paraId="72780EA5">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检查养护内容</w:t>
      </w:r>
    </w:p>
    <w:p w14:paraId="79678414">
      <w:pPr>
        <w:keepNext w:val="0"/>
        <w:keepLines w:val="0"/>
        <w:pageBreakBefore w:val="0"/>
        <w:widowControl/>
        <w:numPr>
          <w:ilvl w:val="0"/>
          <w:numId w:val="11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外观检查。主要检查显示屏、太阳能电池、电池箱及显示、水位计探头等是否有杂物、漂浮物堆积；设备是否固定安装在机箱和交接箱内，LED 显示器是否牢固，固定卡扣是否卡紧，支架、机箱和防盗窗锁是否生锈。</w:t>
      </w:r>
    </w:p>
    <w:p w14:paraId="238AAAE3">
      <w:pPr>
        <w:keepNext w:val="0"/>
        <w:keepLines w:val="0"/>
        <w:pageBreakBefore w:val="0"/>
        <w:widowControl/>
        <w:numPr>
          <w:ilvl w:val="0"/>
          <w:numId w:val="11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零部件检查。主要检查系统设备是否完整，防雷设备是否完好，防雷天线连接及腐蚀情况；各单元连接线及防水接头是否腐蚀、污染、受损或松动；遥测遥控通讯部件是否完好，蓄电池电源、太阳能电池电压或市电连接等是否正常。</w:t>
      </w:r>
    </w:p>
    <w:p w14:paraId="5A7D6CA0">
      <w:pPr>
        <w:keepNext w:val="0"/>
        <w:keepLines w:val="0"/>
        <w:pageBreakBefore w:val="0"/>
        <w:widowControl/>
        <w:numPr>
          <w:ilvl w:val="0"/>
          <w:numId w:val="11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有效性检查。主要检查显示屏、电源是否正常；净高显示模块显示是否正常；通讯模块和远程RTU模块是否运行正常等工作。</w:t>
      </w:r>
    </w:p>
    <w:p w14:paraId="3B2916A5">
      <w:pPr>
        <w:keepNext w:val="0"/>
        <w:keepLines w:val="0"/>
        <w:pageBreakBefore w:val="0"/>
        <w:widowControl/>
        <w:numPr>
          <w:ilvl w:val="0"/>
          <w:numId w:val="11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w:t>
      </w:r>
    </w:p>
    <w:p w14:paraId="51761DB1">
      <w:pPr>
        <w:keepNext w:val="0"/>
        <w:keepLines w:val="0"/>
        <w:pageBreakBefore w:val="0"/>
        <w:widowControl/>
        <w:numPr>
          <w:ilvl w:val="0"/>
          <w:numId w:val="11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故障出检修复，零部件更换：在桥梁净高显示终端无法正常报送数据时，及时出航检查修复、更换备件恢复终端（含与省平台的数据对接调试恢复至正常状态）。</w:t>
      </w:r>
    </w:p>
    <w:p w14:paraId="4C4B527E">
      <w:pPr>
        <w:pStyle w:val="26"/>
        <w:numPr>
          <w:ilvl w:val="0"/>
          <w:numId w:val="105"/>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流向流速监测终端服务内容及要求</w:t>
      </w:r>
    </w:p>
    <w:p w14:paraId="6AC44906">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本项目纳入日常维护的流向流速监测终端设备合计1套。</w:t>
      </w:r>
    </w:p>
    <w:p w14:paraId="00AB9112">
      <w:pPr>
        <w:keepNext w:val="0"/>
        <w:keepLines w:val="0"/>
        <w:pageBreakBefore w:val="0"/>
        <w:widowControl/>
        <w:numPr>
          <w:ilvl w:val="0"/>
          <w:numId w:val="11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2D37964C">
      <w:pPr>
        <w:keepNext w:val="0"/>
        <w:keepLines w:val="0"/>
        <w:pageBreakBefore w:val="0"/>
        <w:widowControl/>
        <w:numPr>
          <w:ilvl w:val="0"/>
          <w:numId w:val="11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后进行一次检查养护，终端一年平均保养不少于15次。每年对终端及配套设施进行除锈和刷漆至少1次。做好设备档案资料日常填报工作。</w:t>
      </w:r>
    </w:p>
    <w:p w14:paraId="10C8CC6B">
      <w:pPr>
        <w:keepNext w:val="0"/>
        <w:keepLines w:val="0"/>
        <w:pageBreakBefore w:val="0"/>
        <w:widowControl/>
        <w:numPr>
          <w:ilvl w:val="0"/>
          <w:numId w:val="11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检查养护内容</w:t>
      </w:r>
    </w:p>
    <w:p w14:paraId="5F005524">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对多普勒流向流速仪定期检查、校测、率定、鉴定，如有问题维修或者更换；</w:t>
      </w:r>
    </w:p>
    <w:p w14:paraId="591B12A7">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多普勒流向流速仪感知采集端、太阳能板各部件清洁；太阳能面板应完好正常，电压、通信保持正常，发现问题及时更换和处理；</w:t>
      </w:r>
    </w:p>
    <w:p w14:paraId="2029231D">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无线传输模块数据应定期读取、备份、摘录、分析；</w:t>
      </w:r>
    </w:p>
    <w:p w14:paraId="6FC3A936">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保障物联终端设备的通讯与数据传输等各模块正常工作；如故障及时恢复（含与省平台的数据对接调试恢复至正常状态）。</w:t>
      </w:r>
    </w:p>
    <w:p w14:paraId="515B4EB6">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查看基础设施（基础、立杆、中控设备箱等)，控制设备等有无遭到损坏和人为破坏（被撬、砸、拆、偷）以及是否整洁。</w:t>
      </w:r>
    </w:p>
    <w:p w14:paraId="466055BE">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做好设备档案资料日常填报工作。</w:t>
      </w:r>
    </w:p>
    <w:p w14:paraId="091C0AFF">
      <w:pPr>
        <w:keepNext w:val="0"/>
        <w:keepLines w:val="0"/>
        <w:pageBreakBefore w:val="0"/>
        <w:widowControl/>
        <w:numPr>
          <w:ilvl w:val="0"/>
          <w:numId w:val="11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终端设备图示</w:t>
      </w:r>
    </w:p>
    <w:p w14:paraId="12A3B2CC">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jc w:val="center"/>
        <w:textAlignment w:val="auto"/>
        <w:rPr>
          <w:rFonts w:ascii="宋体" w:hAnsi="宋体" w:eastAsia="宋体" w:cs="宋体"/>
          <w:color w:val="auto"/>
          <w:sz w:val="21"/>
          <w:szCs w:val="21"/>
          <w:highlight w:val="none"/>
          <w:lang w:eastAsia="zh-CN"/>
        </w:rPr>
      </w:pPr>
      <w:r>
        <w:rPr>
          <w:rFonts w:ascii="宋体" w:hAnsi="宋体" w:eastAsia="宋体" w:cs="宋体"/>
          <w:color w:val="auto"/>
          <w:sz w:val="21"/>
          <w:szCs w:val="21"/>
          <w:highlight w:val="none"/>
          <w:lang w:eastAsia="zh-CN"/>
        </w:rPr>
        <w:drawing>
          <wp:inline distT="0" distB="0" distL="114300" distR="114300">
            <wp:extent cx="3515360" cy="1892300"/>
            <wp:effectExtent l="0" t="0" r="8890"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3515360" cy="1892300"/>
                    </a:xfrm>
                    <a:prstGeom prst="rect">
                      <a:avLst/>
                    </a:prstGeom>
                    <a:noFill/>
                    <a:ln w="9525">
                      <a:noFill/>
                    </a:ln>
                  </pic:spPr>
                </pic:pic>
              </a:graphicData>
            </a:graphic>
          </wp:inline>
        </w:drawing>
      </w:r>
    </w:p>
    <w:p w14:paraId="6BF1C408">
      <w:pPr>
        <w:keepNext w:val="0"/>
        <w:keepLines w:val="0"/>
        <w:pageBreakBefore w:val="0"/>
        <w:widowControl/>
        <w:numPr>
          <w:ilvl w:val="0"/>
          <w:numId w:val="11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故障出检修复，零部件更换：终端无法正常报送数据时，及时出航检查修复、更换备件恢复终端（含与省平台的数据对接调试恢复至正常状态）。</w:t>
      </w:r>
    </w:p>
    <w:p w14:paraId="5EF718DB">
      <w:pPr>
        <w:pStyle w:val="26"/>
        <w:numPr>
          <w:ilvl w:val="0"/>
          <w:numId w:val="105"/>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航道外场视频监控终端服务内容及要求</w:t>
      </w:r>
    </w:p>
    <w:p w14:paraId="375E3EB6">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本项目纳入日常维护的</w:t>
      </w:r>
      <w:r>
        <w:rPr>
          <w:rFonts w:hint="eastAsia" w:ascii="宋体" w:hAnsi="宋体" w:eastAsia="宋体" w:cs="宋体"/>
          <w:color w:val="auto"/>
          <w:sz w:val="21"/>
          <w:szCs w:val="21"/>
          <w:highlight w:val="none"/>
          <w:lang w:val="en-US" w:eastAsia="zh-CN"/>
        </w:rPr>
        <w:t>航道外场视频监控终端</w:t>
      </w:r>
      <w:r>
        <w:rPr>
          <w:rFonts w:hint="eastAsia" w:ascii="宋体" w:hAnsi="宋体" w:eastAsia="宋体" w:cs="宋体"/>
          <w:color w:val="auto"/>
          <w:sz w:val="21"/>
          <w:szCs w:val="21"/>
          <w:highlight w:val="none"/>
          <w:lang w:eastAsia="zh-CN"/>
        </w:rPr>
        <w:t>设备合计</w:t>
      </w:r>
      <w:r>
        <w:rPr>
          <w:rFonts w:hint="eastAsia" w:ascii="宋体" w:hAnsi="宋体" w:eastAsia="宋体" w:cs="宋体"/>
          <w:color w:val="auto"/>
          <w:sz w:val="21"/>
          <w:szCs w:val="21"/>
          <w:highlight w:val="none"/>
          <w:lang w:val="en-US" w:eastAsia="zh-CN"/>
        </w:rPr>
        <w:t>3套。</w:t>
      </w:r>
    </w:p>
    <w:p w14:paraId="5E247E77">
      <w:pPr>
        <w:keepNext w:val="0"/>
        <w:keepLines w:val="0"/>
        <w:pageBreakBefore w:val="0"/>
        <w:widowControl/>
        <w:numPr>
          <w:ilvl w:val="0"/>
          <w:numId w:val="11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工程内容：终端设备定期维护，故障出检修复，零部件更换。</w:t>
      </w:r>
    </w:p>
    <w:p w14:paraId="2ACF8E25">
      <w:pPr>
        <w:keepNext w:val="0"/>
        <w:keepLines w:val="0"/>
        <w:pageBreakBefore w:val="0"/>
        <w:widowControl/>
        <w:numPr>
          <w:ilvl w:val="0"/>
          <w:numId w:val="11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终端设备定期维护：每月进行一次保养和每次</w:t>
      </w:r>
      <w:r>
        <w:rPr>
          <w:rFonts w:hint="eastAsia" w:ascii="宋体" w:hAnsi="宋体" w:eastAsia="宋体" w:cs="宋体"/>
          <w:color w:val="auto"/>
          <w:sz w:val="21"/>
          <w:szCs w:val="21"/>
          <w:highlight w:val="none"/>
          <w:lang w:val="en-GB" w:eastAsia="zh-CN"/>
        </w:rPr>
        <w:t>汛期</w:t>
      </w:r>
      <w:r>
        <w:rPr>
          <w:rFonts w:hint="eastAsia" w:ascii="宋体" w:hAnsi="宋体" w:eastAsia="宋体" w:cs="宋体"/>
          <w:color w:val="auto"/>
          <w:sz w:val="21"/>
          <w:szCs w:val="21"/>
          <w:highlight w:val="none"/>
          <w:lang w:val="en-GB" w:eastAsia="zh-Hans"/>
        </w:rPr>
        <w:t>后进行一次检查养护，每个终端一年平均保养不少于15次。每年对终端及配套设施进行除锈和刷漆至少1次。做好设备档案资料日常填报工作。</w:t>
      </w:r>
    </w:p>
    <w:p w14:paraId="52016D36">
      <w:pPr>
        <w:keepNext w:val="0"/>
        <w:keepLines w:val="0"/>
        <w:pageBreakBefore w:val="0"/>
        <w:widowControl/>
        <w:numPr>
          <w:ilvl w:val="0"/>
          <w:numId w:val="11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日常巡查和养护内容</w:t>
      </w:r>
    </w:p>
    <w:p w14:paraId="4E8BEFEF">
      <w:pPr>
        <w:keepNext w:val="0"/>
        <w:keepLines w:val="0"/>
        <w:pageBreakBefore w:val="0"/>
        <w:widowControl/>
        <w:numPr>
          <w:ilvl w:val="0"/>
          <w:numId w:val="116"/>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外观检查。主要检查设备及配套设施是否固定，通信设备是否安装在机箱和交接箱内；机箱和交接箱是否出现渗水或漏水；摄像机和激光扫描仪是否被遮挡；摄像支架、机箱和防盗窗锁是否生锈。</w:t>
      </w:r>
    </w:p>
    <w:p w14:paraId="58300065">
      <w:pPr>
        <w:keepNext w:val="0"/>
        <w:keepLines w:val="0"/>
        <w:pageBreakBefore w:val="0"/>
        <w:widowControl/>
        <w:numPr>
          <w:ilvl w:val="0"/>
          <w:numId w:val="116"/>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零配件检查。主要检查设备是否完整，防雷设备是否完好，防雷天线连接及腐蚀情况；摄像机、路由器和交换机等前端设备是否正常运行，线路供电、通讯模块是否正常以及存储设备是否正常。</w:t>
      </w:r>
    </w:p>
    <w:p w14:paraId="5EC16E26">
      <w:pPr>
        <w:keepNext w:val="0"/>
        <w:keepLines w:val="0"/>
        <w:pageBreakBefore w:val="0"/>
        <w:widowControl/>
        <w:numPr>
          <w:ilvl w:val="0"/>
          <w:numId w:val="116"/>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次日常巡查需要做好终端的清洁卫生工作并对维护现场进行拍照留档，对存在的问题及时现场整改，不能现场整改的进行说明备注，同时提供整改前后的对比相片。对需要更换配件的按要求在规定时间内完成修复。</w:t>
      </w:r>
    </w:p>
    <w:p w14:paraId="7E90A37F">
      <w:pPr>
        <w:keepNext w:val="0"/>
        <w:keepLines w:val="0"/>
        <w:pageBreakBefore w:val="0"/>
        <w:widowControl/>
        <w:numPr>
          <w:ilvl w:val="0"/>
          <w:numId w:val="116"/>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终端设备图示</w:t>
      </w:r>
    </w:p>
    <w:p w14:paraId="53E35020">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jc w:val="center"/>
        <w:textAlignment w:val="auto"/>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drawing>
          <wp:inline distT="0" distB="0" distL="114300" distR="114300">
            <wp:extent cx="2241550" cy="3370580"/>
            <wp:effectExtent l="0" t="0" r="6350" b="12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a:stretch>
                      <a:fillRect/>
                    </a:stretch>
                  </pic:blipFill>
                  <pic:spPr>
                    <a:xfrm>
                      <a:off x="0" y="0"/>
                      <a:ext cx="2241550" cy="3370580"/>
                    </a:xfrm>
                    <a:prstGeom prst="rect">
                      <a:avLst/>
                    </a:prstGeom>
                    <a:noFill/>
                    <a:ln>
                      <a:noFill/>
                    </a:ln>
                  </pic:spPr>
                </pic:pic>
              </a:graphicData>
            </a:graphic>
          </wp:inline>
        </w:drawing>
      </w:r>
    </w:p>
    <w:p w14:paraId="37803CBA">
      <w:pPr>
        <w:keepNext w:val="0"/>
        <w:keepLines w:val="0"/>
        <w:pageBreakBefore w:val="0"/>
        <w:widowControl/>
        <w:numPr>
          <w:ilvl w:val="0"/>
          <w:numId w:val="115"/>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故障出检修复，零部件更换：在视频监控终端无法正常报送数据时，及时出航检查、更换备件恢复终端（含与省平台的数据对接调试恢复至正常状态）。</w:t>
      </w:r>
    </w:p>
    <w:p w14:paraId="144B40E9">
      <w:pPr>
        <w:pStyle w:val="26"/>
        <w:numPr>
          <w:ilvl w:val="0"/>
          <w:numId w:val="105"/>
        </w:numPr>
        <w:snapToGrid w:val="0"/>
        <w:spacing w:line="360" w:lineRule="auto"/>
        <w:ind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外场业务感知终端维护总体服务要求</w:t>
      </w:r>
    </w:p>
    <w:p w14:paraId="58CB99D4">
      <w:pPr>
        <w:pStyle w:val="26"/>
        <w:numPr>
          <w:ilvl w:val="0"/>
          <w:numId w:val="11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外场业务感知终端数据是否能正常回传到省平台系统，并在平台系统上正常使用和查看，是作为设备维护正常的依据。</w:t>
      </w:r>
    </w:p>
    <w:p w14:paraId="0E7FB058">
      <w:pPr>
        <w:pStyle w:val="26"/>
        <w:numPr>
          <w:ilvl w:val="0"/>
          <w:numId w:val="11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每天定时在省平台系统上观测终端设备运行情况不少于2次并做好工作记录(详见附件:外场业务感知终端工作记录表)，对业务感知终端出现数据异常报警的，及时排查原因，进行相应的处置恢复正常。</w:t>
      </w:r>
    </w:p>
    <w:p w14:paraId="367078EA">
      <w:pPr>
        <w:pStyle w:val="26"/>
        <w:numPr>
          <w:ilvl w:val="0"/>
          <w:numId w:val="11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按上级工作要求，</w:t>
      </w:r>
      <w:r>
        <w:rPr>
          <w:rFonts w:hint="eastAsia" w:ascii="宋体" w:hAnsi="宋体" w:eastAsia="宋体" w:cs="宋体"/>
          <w:color w:val="auto"/>
          <w:sz w:val="21"/>
          <w:szCs w:val="21"/>
          <w:highlight w:val="none"/>
          <w:lang w:val="en-GB" w:eastAsia="zh-CN"/>
        </w:rPr>
        <w:t>乙方</w:t>
      </w:r>
      <w:r>
        <w:rPr>
          <w:rFonts w:hint="eastAsia" w:ascii="宋体" w:hAnsi="宋体" w:eastAsia="宋体" w:cs="宋体"/>
          <w:color w:val="auto"/>
          <w:sz w:val="21"/>
          <w:szCs w:val="21"/>
          <w:highlight w:val="none"/>
          <w:lang w:val="en-GB" w:eastAsia="zh-Hans"/>
        </w:rPr>
        <w:t>在开展外场业务感知终端维护工作时需储备相应的备品备件数量，以便及时安装和恢复（含与省平台的数据对接调试恢复至正常状态）故障终端。</w:t>
      </w:r>
    </w:p>
    <w:p w14:paraId="2CF6FEBA">
      <w:pPr>
        <w:pStyle w:val="26"/>
        <w:numPr>
          <w:ilvl w:val="0"/>
          <w:numId w:val="117"/>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本项目外场工作感知终端运维服务具体数量如下：</w:t>
      </w:r>
    </w:p>
    <w:tbl>
      <w:tblPr>
        <w:tblStyle w:val="13"/>
        <w:tblW w:w="4998" w:type="pct"/>
        <w:jc w:val="center"/>
        <w:tblLayout w:type="autofit"/>
        <w:tblCellMar>
          <w:top w:w="0" w:type="dxa"/>
          <w:left w:w="108" w:type="dxa"/>
          <w:bottom w:w="0" w:type="dxa"/>
          <w:right w:w="108" w:type="dxa"/>
        </w:tblCellMar>
      </w:tblPr>
      <w:tblGrid>
        <w:gridCol w:w="1196"/>
        <w:gridCol w:w="3863"/>
        <w:gridCol w:w="1796"/>
        <w:gridCol w:w="2427"/>
      </w:tblGrid>
      <w:tr w14:paraId="014C4711">
        <w:tblPrEx>
          <w:tblCellMar>
            <w:top w:w="0" w:type="dxa"/>
            <w:left w:w="108" w:type="dxa"/>
            <w:bottom w:w="0" w:type="dxa"/>
            <w:right w:w="108" w:type="dxa"/>
          </w:tblCellMar>
        </w:tblPrEx>
        <w:trPr>
          <w:trHeight w:val="609" w:hRule="atLeast"/>
          <w:jc w:val="center"/>
        </w:trPr>
        <w:tc>
          <w:tcPr>
            <w:tcW w:w="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E4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序号</w:t>
            </w:r>
          </w:p>
        </w:tc>
        <w:tc>
          <w:tcPr>
            <w:tcW w:w="20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49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设备名称</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E09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总数量</w:t>
            </w:r>
          </w:p>
        </w:tc>
        <w:tc>
          <w:tcPr>
            <w:tcW w:w="1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2D1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备注</w:t>
            </w:r>
          </w:p>
        </w:tc>
      </w:tr>
      <w:tr w14:paraId="2031A8BB">
        <w:tblPrEx>
          <w:tblCellMar>
            <w:top w:w="0" w:type="dxa"/>
            <w:left w:w="108" w:type="dxa"/>
            <w:bottom w:w="0" w:type="dxa"/>
            <w:right w:w="108" w:type="dxa"/>
          </w:tblCellMar>
        </w:tblPrEx>
        <w:trPr>
          <w:trHeight w:val="609" w:hRule="atLeast"/>
          <w:jc w:val="center"/>
        </w:trPr>
        <w:tc>
          <w:tcPr>
            <w:tcW w:w="6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370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20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C0F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水位监测终端</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680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GB" w:eastAsia="zh-Hans"/>
              </w:rPr>
              <w:t>22</w:t>
            </w:r>
          </w:p>
        </w:tc>
        <w:tc>
          <w:tcPr>
            <w:tcW w:w="1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3C0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US" w:eastAsia="zh-CN"/>
              </w:rPr>
            </w:pPr>
          </w:p>
        </w:tc>
      </w:tr>
      <w:tr w14:paraId="450A5600">
        <w:tblPrEx>
          <w:tblCellMar>
            <w:top w:w="0" w:type="dxa"/>
            <w:left w:w="108" w:type="dxa"/>
            <w:bottom w:w="0" w:type="dxa"/>
            <w:right w:w="108" w:type="dxa"/>
          </w:tblCellMar>
        </w:tblPrEx>
        <w:trPr>
          <w:trHeight w:val="609"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5D2809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CN"/>
              </w:rPr>
            </w:pPr>
            <w:r>
              <w:rPr>
                <w:rFonts w:hint="eastAsia" w:ascii="宋体" w:hAnsi="宋体" w:eastAsia="宋体" w:cs="宋体"/>
                <w:color w:val="auto"/>
                <w:sz w:val="21"/>
                <w:szCs w:val="21"/>
                <w:highlight w:val="none"/>
                <w:lang w:val="en-US" w:eastAsia="zh-CN"/>
              </w:rPr>
              <w:t>2</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0992A7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船舶流量</w:t>
            </w:r>
            <w:r>
              <w:rPr>
                <w:rFonts w:hint="eastAsia" w:ascii="宋体" w:hAnsi="宋体" w:eastAsia="宋体" w:cs="宋体"/>
                <w:color w:val="auto"/>
                <w:sz w:val="21"/>
                <w:szCs w:val="21"/>
                <w:highlight w:val="none"/>
                <w:lang w:val="en-GB" w:eastAsia="zh-CN"/>
              </w:rPr>
              <w:t>监测</w:t>
            </w:r>
            <w:r>
              <w:rPr>
                <w:rFonts w:hint="eastAsia" w:ascii="宋体" w:hAnsi="宋体" w:eastAsia="宋体" w:cs="宋体"/>
                <w:color w:val="auto"/>
                <w:sz w:val="21"/>
                <w:szCs w:val="21"/>
                <w:highlight w:val="none"/>
                <w:lang w:val="en-GB" w:eastAsia="zh-Hans"/>
              </w:rPr>
              <w:t>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670BCE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11</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267ADA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11DBE98A">
        <w:tblPrEx>
          <w:tblCellMar>
            <w:top w:w="0" w:type="dxa"/>
            <w:left w:w="108" w:type="dxa"/>
            <w:bottom w:w="0" w:type="dxa"/>
            <w:right w:w="108" w:type="dxa"/>
          </w:tblCellMar>
        </w:tblPrEx>
        <w:trPr>
          <w:trHeight w:val="558"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45E061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CN"/>
              </w:rPr>
            </w:pPr>
            <w:r>
              <w:rPr>
                <w:rFonts w:hint="eastAsia" w:ascii="宋体" w:hAnsi="宋体" w:eastAsia="宋体" w:cs="宋体"/>
                <w:color w:val="auto"/>
                <w:sz w:val="21"/>
                <w:szCs w:val="21"/>
                <w:highlight w:val="none"/>
                <w:lang w:val="en-US" w:eastAsia="zh-CN"/>
              </w:rPr>
              <w:t>3</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736EEC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桥梁净高</w:t>
            </w:r>
            <w:r>
              <w:rPr>
                <w:rFonts w:hint="eastAsia" w:ascii="宋体" w:hAnsi="宋体" w:eastAsia="宋体" w:cs="宋体"/>
                <w:color w:val="auto"/>
                <w:sz w:val="21"/>
                <w:szCs w:val="21"/>
                <w:highlight w:val="none"/>
                <w:lang w:val="en-GB" w:eastAsia="zh-CN"/>
              </w:rPr>
              <w:t>监测</w:t>
            </w:r>
            <w:r>
              <w:rPr>
                <w:rFonts w:hint="eastAsia" w:ascii="宋体" w:hAnsi="宋体" w:eastAsia="宋体" w:cs="宋体"/>
                <w:color w:val="auto"/>
                <w:sz w:val="21"/>
                <w:szCs w:val="21"/>
                <w:highlight w:val="none"/>
                <w:lang w:val="en-GB" w:eastAsia="zh-Hans"/>
              </w:rPr>
              <w:t>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349E55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34</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164EBF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2EE2DEF2">
        <w:tblPrEx>
          <w:tblCellMar>
            <w:top w:w="0" w:type="dxa"/>
            <w:left w:w="108" w:type="dxa"/>
            <w:bottom w:w="0" w:type="dxa"/>
            <w:right w:w="108" w:type="dxa"/>
          </w:tblCellMar>
        </w:tblPrEx>
        <w:trPr>
          <w:trHeight w:val="570"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61FFF3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CN"/>
              </w:rPr>
            </w:pPr>
            <w:r>
              <w:rPr>
                <w:rFonts w:hint="eastAsia" w:ascii="宋体" w:hAnsi="宋体" w:eastAsia="宋体" w:cs="宋体"/>
                <w:color w:val="auto"/>
                <w:sz w:val="21"/>
                <w:szCs w:val="21"/>
                <w:highlight w:val="none"/>
                <w:lang w:val="en-US" w:eastAsia="zh-CN"/>
              </w:rPr>
              <w:t>4</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4F4BE6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流向流速监测终端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79EFC6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1</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7C3560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005D3624">
        <w:tblPrEx>
          <w:tblCellMar>
            <w:top w:w="0" w:type="dxa"/>
            <w:left w:w="108" w:type="dxa"/>
            <w:bottom w:w="0" w:type="dxa"/>
            <w:right w:w="108" w:type="dxa"/>
          </w:tblCellMar>
        </w:tblPrEx>
        <w:trPr>
          <w:trHeight w:val="564" w:hRule="atLeast"/>
          <w:jc w:val="center"/>
        </w:trPr>
        <w:tc>
          <w:tcPr>
            <w:tcW w:w="644" w:type="pct"/>
            <w:tcBorders>
              <w:top w:val="single" w:color="000000" w:sz="4" w:space="0"/>
              <w:left w:val="single" w:color="000000" w:sz="4" w:space="0"/>
              <w:bottom w:val="single" w:color="000000" w:sz="4" w:space="0"/>
              <w:right w:val="single" w:color="000000" w:sz="4" w:space="0"/>
            </w:tcBorders>
            <w:noWrap/>
            <w:vAlign w:val="center"/>
          </w:tcPr>
          <w:p w14:paraId="601AC3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US" w:eastAsia="zh-CN"/>
              </w:rPr>
              <w:t>5</w:t>
            </w:r>
          </w:p>
        </w:tc>
        <w:tc>
          <w:tcPr>
            <w:tcW w:w="2079" w:type="pct"/>
            <w:tcBorders>
              <w:top w:val="single" w:color="000000" w:sz="4" w:space="0"/>
              <w:left w:val="single" w:color="000000" w:sz="4" w:space="0"/>
              <w:bottom w:val="single" w:color="000000" w:sz="4" w:space="0"/>
              <w:right w:val="single" w:color="000000" w:sz="4" w:space="0"/>
            </w:tcBorders>
            <w:noWrap/>
            <w:vAlign w:val="center"/>
          </w:tcPr>
          <w:p w14:paraId="2D1866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CN"/>
              </w:rPr>
              <w:t>航道外场</w:t>
            </w:r>
            <w:r>
              <w:rPr>
                <w:rFonts w:hint="eastAsia" w:ascii="宋体" w:hAnsi="宋体" w:eastAsia="宋体" w:cs="宋体"/>
                <w:color w:val="auto"/>
                <w:sz w:val="21"/>
                <w:szCs w:val="21"/>
                <w:highlight w:val="none"/>
                <w:lang w:val="en-GB" w:eastAsia="zh-Hans"/>
              </w:rPr>
              <w:t>视频监控终端</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67E42C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3</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23503E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r w14:paraId="095ED0AB">
        <w:tblPrEx>
          <w:tblCellMar>
            <w:top w:w="0" w:type="dxa"/>
            <w:left w:w="108" w:type="dxa"/>
            <w:bottom w:w="0" w:type="dxa"/>
            <w:right w:w="108" w:type="dxa"/>
          </w:tblCellMar>
        </w:tblPrEx>
        <w:trPr>
          <w:trHeight w:val="527" w:hRule="atLeast"/>
          <w:jc w:val="center"/>
        </w:trPr>
        <w:tc>
          <w:tcPr>
            <w:tcW w:w="2724" w:type="pct"/>
            <w:gridSpan w:val="2"/>
            <w:tcBorders>
              <w:top w:val="single" w:color="000000" w:sz="4" w:space="0"/>
              <w:left w:val="single" w:color="000000" w:sz="4" w:space="0"/>
              <w:bottom w:val="single" w:color="000000" w:sz="4" w:space="0"/>
              <w:right w:val="single" w:color="000000" w:sz="4" w:space="0"/>
            </w:tcBorders>
            <w:noWrap/>
            <w:vAlign w:val="center"/>
          </w:tcPr>
          <w:p w14:paraId="1E5578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合计</w:t>
            </w:r>
          </w:p>
        </w:tc>
        <w:tc>
          <w:tcPr>
            <w:tcW w:w="967" w:type="pct"/>
            <w:tcBorders>
              <w:top w:val="single" w:color="000000" w:sz="4" w:space="0"/>
              <w:left w:val="single" w:color="000000" w:sz="4" w:space="0"/>
              <w:bottom w:val="single" w:color="000000" w:sz="4" w:space="0"/>
              <w:right w:val="single" w:color="000000" w:sz="4" w:space="0"/>
            </w:tcBorders>
            <w:noWrap/>
            <w:vAlign w:val="center"/>
          </w:tcPr>
          <w:p w14:paraId="771FA3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71</w:t>
            </w:r>
          </w:p>
        </w:tc>
        <w:tc>
          <w:tcPr>
            <w:tcW w:w="1307" w:type="pct"/>
            <w:tcBorders>
              <w:top w:val="single" w:color="000000" w:sz="4" w:space="0"/>
              <w:left w:val="single" w:color="000000" w:sz="4" w:space="0"/>
              <w:bottom w:val="single" w:color="000000" w:sz="4" w:space="0"/>
              <w:right w:val="single" w:color="000000" w:sz="4" w:space="0"/>
            </w:tcBorders>
            <w:noWrap/>
            <w:vAlign w:val="center"/>
          </w:tcPr>
          <w:p w14:paraId="45F78E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1"/>
                <w:szCs w:val="21"/>
                <w:highlight w:val="none"/>
                <w:lang w:val="en-GB" w:eastAsia="zh-Hans"/>
              </w:rPr>
            </w:pPr>
          </w:p>
        </w:tc>
      </w:tr>
    </w:tbl>
    <w:p w14:paraId="4D1B0ADE">
      <w:pPr>
        <w:pStyle w:val="26"/>
        <w:numPr>
          <w:ilvl w:val="0"/>
          <w:numId w:val="0"/>
        </w:numPr>
        <w:spacing w:before="217" w:beforeLines="50"/>
        <w:ind w:leftChars="0"/>
        <w:rPr>
          <w:rFonts w:hint="eastAsia" w:ascii="宋体" w:hAnsi="宋体" w:eastAsia="宋体"/>
          <w:b/>
          <w:color w:val="auto"/>
          <w:spacing w:val="20"/>
          <w:szCs w:val="21"/>
          <w:highlight w:val="none"/>
        </w:rPr>
      </w:pPr>
      <w:r>
        <w:rPr>
          <w:rFonts w:hint="eastAsia" w:ascii="宋体" w:hAnsi="宋体" w:eastAsia="宋体" w:cs="宋体"/>
          <w:b/>
          <w:bCs/>
          <w:color w:val="auto"/>
          <w:sz w:val="21"/>
          <w:szCs w:val="21"/>
          <w:highlight w:val="none"/>
          <w:u w:val="single"/>
          <w:lang w:val="en-GB" w:eastAsia="zh-Hans"/>
        </w:rPr>
        <w:t>注：运维期间内流向流速监测终端核心模块（多普勒流向流速仪）、船舶流量监测终端核心模块（前置激光测量机、数据采集与分析系统（工控机））在运维期间出现故障由</w:t>
      </w:r>
      <w:r>
        <w:rPr>
          <w:rFonts w:hint="eastAsia" w:ascii="宋体" w:hAnsi="宋体" w:eastAsia="宋体" w:cs="宋体"/>
          <w:b/>
          <w:bCs/>
          <w:color w:val="auto"/>
          <w:sz w:val="21"/>
          <w:szCs w:val="21"/>
          <w:highlight w:val="none"/>
          <w:u w:val="single"/>
          <w:lang w:val="en-GB" w:eastAsia="zh-CN"/>
        </w:rPr>
        <w:t>乙方</w:t>
      </w:r>
      <w:r>
        <w:rPr>
          <w:rFonts w:hint="eastAsia" w:ascii="宋体" w:hAnsi="宋体" w:eastAsia="宋体" w:cs="宋体"/>
          <w:b/>
          <w:bCs/>
          <w:color w:val="auto"/>
          <w:sz w:val="21"/>
          <w:szCs w:val="21"/>
          <w:highlight w:val="none"/>
          <w:u w:val="single"/>
          <w:lang w:val="en-GB" w:eastAsia="zh-Hans"/>
        </w:rPr>
        <w:t>进行维修，如该设备无法进行维修的，需设备厂家出具无法维修的相关证明材料，待</w:t>
      </w:r>
      <w:r>
        <w:rPr>
          <w:rFonts w:hint="eastAsia" w:ascii="宋体" w:hAnsi="宋体" w:eastAsia="宋体" w:cs="宋体"/>
          <w:b/>
          <w:bCs/>
          <w:color w:val="auto"/>
          <w:sz w:val="21"/>
          <w:szCs w:val="21"/>
          <w:highlight w:val="none"/>
          <w:u w:val="single"/>
          <w:lang w:val="en-GB" w:eastAsia="zh-CN"/>
        </w:rPr>
        <w:t>甲方</w:t>
      </w:r>
      <w:r>
        <w:rPr>
          <w:rFonts w:hint="eastAsia" w:ascii="宋体" w:hAnsi="宋体" w:eastAsia="宋体" w:cs="宋体"/>
          <w:b/>
          <w:bCs/>
          <w:color w:val="auto"/>
          <w:sz w:val="21"/>
          <w:szCs w:val="21"/>
          <w:highlight w:val="none"/>
          <w:u w:val="single"/>
          <w:lang w:val="en-GB" w:eastAsia="zh-Hans"/>
        </w:rPr>
        <w:t>审核后由</w:t>
      </w:r>
      <w:r>
        <w:rPr>
          <w:rFonts w:hint="eastAsia" w:ascii="宋体" w:hAnsi="宋体" w:eastAsia="宋体" w:cs="宋体"/>
          <w:b/>
          <w:bCs/>
          <w:color w:val="auto"/>
          <w:sz w:val="21"/>
          <w:szCs w:val="21"/>
          <w:highlight w:val="none"/>
          <w:u w:val="single"/>
          <w:lang w:val="en-GB" w:eastAsia="zh-CN"/>
        </w:rPr>
        <w:t>甲方负责</w:t>
      </w:r>
      <w:r>
        <w:rPr>
          <w:rFonts w:hint="eastAsia" w:ascii="宋体" w:hAnsi="宋体" w:eastAsia="宋体" w:cs="宋体"/>
          <w:b/>
          <w:bCs/>
          <w:color w:val="auto"/>
          <w:sz w:val="21"/>
          <w:szCs w:val="21"/>
          <w:highlight w:val="none"/>
          <w:u w:val="single"/>
          <w:lang w:val="en-GB" w:eastAsia="zh-Hans"/>
        </w:rPr>
        <w:t>提供备品备件供</w:t>
      </w:r>
      <w:r>
        <w:rPr>
          <w:rFonts w:hint="eastAsia" w:ascii="宋体" w:hAnsi="宋体" w:eastAsia="宋体" w:cs="宋体"/>
          <w:b/>
          <w:bCs/>
          <w:color w:val="auto"/>
          <w:sz w:val="21"/>
          <w:szCs w:val="21"/>
          <w:highlight w:val="none"/>
          <w:u w:val="single"/>
          <w:lang w:val="en-GB" w:eastAsia="zh-CN"/>
        </w:rPr>
        <w:t>乙方</w:t>
      </w:r>
      <w:r>
        <w:rPr>
          <w:rFonts w:hint="eastAsia" w:ascii="宋体" w:hAnsi="宋体" w:eastAsia="宋体" w:cs="宋体"/>
          <w:b/>
          <w:bCs/>
          <w:color w:val="auto"/>
          <w:sz w:val="21"/>
          <w:szCs w:val="21"/>
          <w:highlight w:val="none"/>
          <w:u w:val="single"/>
          <w:lang w:val="en-GB" w:eastAsia="zh-Hans"/>
        </w:rPr>
        <w:t>进行更换。其他设备出现故障由</w:t>
      </w:r>
      <w:r>
        <w:rPr>
          <w:rFonts w:hint="eastAsia" w:ascii="宋体" w:hAnsi="宋体" w:eastAsia="宋体" w:cs="宋体"/>
          <w:b/>
          <w:bCs/>
          <w:color w:val="auto"/>
          <w:sz w:val="21"/>
          <w:szCs w:val="21"/>
          <w:highlight w:val="none"/>
          <w:u w:val="single"/>
          <w:lang w:val="en-GB" w:eastAsia="zh-CN"/>
        </w:rPr>
        <w:t>乙方</w:t>
      </w:r>
      <w:r>
        <w:rPr>
          <w:rFonts w:hint="eastAsia" w:ascii="宋体" w:hAnsi="宋体" w:eastAsia="宋体" w:cs="宋体"/>
          <w:b/>
          <w:bCs/>
          <w:color w:val="auto"/>
          <w:sz w:val="21"/>
          <w:szCs w:val="21"/>
          <w:highlight w:val="none"/>
          <w:u w:val="single"/>
          <w:lang w:val="en-GB" w:eastAsia="zh-Hans"/>
        </w:rPr>
        <w:t>进行维修及提供备品备件进行更换，所产生的费用由</w:t>
      </w:r>
      <w:r>
        <w:rPr>
          <w:rFonts w:hint="eastAsia" w:ascii="宋体" w:hAnsi="宋体" w:eastAsia="宋体" w:cs="宋体"/>
          <w:b/>
          <w:bCs/>
          <w:color w:val="auto"/>
          <w:sz w:val="21"/>
          <w:szCs w:val="21"/>
          <w:highlight w:val="none"/>
          <w:u w:val="single"/>
          <w:lang w:val="en-GB" w:eastAsia="zh-CN"/>
        </w:rPr>
        <w:t>乙方</w:t>
      </w:r>
      <w:r>
        <w:rPr>
          <w:rFonts w:hint="eastAsia" w:ascii="宋体" w:hAnsi="宋体" w:eastAsia="宋体" w:cs="宋体"/>
          <w:b/>
          <w:bCs/>
          <w:color w:val="auto"/>
          <w:sz w:val="21"/>
          <w:szCs w:val="21"/>
          <w:highlight w:val="none"/>
          <w:u w:val="single"/>
          <w:lang w:val="en-GB" w:eastAsia="zh-Hans"/>
        </w:rPr>
        <w:t>提供；另外本项目运维时产生的终端软件与省平台系统调试费用均由</w:t>
      </w:r>
      <w:r>
        <w:rPr>
          <w:rFonts w:hint="eastAsia" w:ascii="宋体" w:hAnsi="宋体" w:eastAsia="宋体" w:cs="宋体"/>
          <w:b/>
          <w:bCs/>
          <w:color w:val="auto"/>
          <w:sz w:val="21"/>
          <w:szCs w:val="21"/>
          <w:highlight w:val="none"/>
          <w:u w:val="single"/>
          <w:lang w:val="en-GB" w:eastAsia="zh-CN"/>
        </w:rPr>
        <w:t>乙方</w:t>
      </w:r>
      <w:r>
        <w:rPr>
          <w:rFonts w:hint="eastAsia" w:ascii="宋体" w:hAnsi="宋体" w:eastAsia="宋体" w:cs="宋体"/>
          <w:b/>
          <w:bCs/>
          <w:color w:val="auto"/>
          <w:sz w:val="21"/>
          <w:szCs w:val="21"/>
          <w:highlight w:val="none"/>
          <w:u w:val="single"/>
          <w:lang w:val="en-GB" w:eastAsia="zh-Hans"/>
        </w:rPr>
        <w:t>支出，</w:t>
      </w:r>
      <w:r>
        <w:rPr>
          <w:rFonts w:hint="eastAsia" w:ascii="宋体" w:hAnsi="宋体" w:eastAsia="宋体" w:cs="宋体"/>
          <w:b/>
          <w:bCs/>
          <w:color w:val="auto"/>
          <w:sz w:val="21"/>
          <w:szCs w:val="21"/>
          <w:highlight w:val="none"/>
          <w:u w:val="single"/>
          <w:lang w:val="en-GB" w:eastAsia="zh-CN"/>
        </w:rPr>
        <w:t>甲方</w:t>
      </w:r>
      <w:r>
        <w:rPr>
          <w:rFonts w:hint="eastAsia" w:ascii="宋体" w:hAnsi="宋体" w:eastAsia="宋体" w:cs="宋体"/>
          <w:b/>
          <w:bCs/>
          <w:color w:val="auto"/>
          <w:sz w:val="21"/>
          <w:szCs w:val="21"/>
          <w:highlight w:val="none"/>
          <w:u w:val="single"/>
          <w:lang w:val="en-GB" w:eastAsia="zh-Hans"/>
        </w:rPr>
        <w:t>不再另行支付任何费用。</w:t>
      </w:r>
    </w:p>
    <w:p w14:paraId="43F2452A">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GB" w:eastAsia="zh-Hans"/>
        </w:rPr>
        <w:t>人员技术支持服务</w:t>
      </w:r>
    </w:p>
    <w:p w14:paraId="6A54AA0E">
      <w:pPr>
        <w:pStyle w:val="26"/>
        <w:numPr>
          <w:ilvl w:val="0"/>
          <w:numId w:val="118"/>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组建专业专职维护服务队伍，提供7×24小时故障诊断、技术咨询等全方位的技术支持服务，以保障业务感知终端的正常运行。技术支持服务包括但不限于热线电话支持服务和现场技术支持服务，需要时可提供水上作业、高空作业和电工作业等服务。</w:t>
      </w:r>
      <w:r>
        <w:rPr>
          <w:rFonts w:hint="eastAsia" w:ascii="宋体" w:hAnsi="宋体" w:eastAsia="宋体" w:cs="宋体"/>
          <w:color w:val="auto"/>
          <w:sz w:val="21"/>
          <w:szCs w:val="21"/>
          <w:highlight w:val="none"/>
          <w:lang w:val="en-US" w:eastAsia="zh-CN"/>
        </w:rPr>
        <w:t>工作人员须持证上岗</w:t>
      </w:r>
      <w:r>
        <w:rPr>
          <w:rFonts w:hint="eastAsia" w:ascii="宋体" w:hAnsi="宋体" w:eastAsia="宋体" w:cs="宋体"/>
          <w:color w:val="auto"/>
          <w:sz w:val="21"/>
          <w:szCs w:val="21"/>
          <w:highlight w:val="none"/>
          <w:lang w:val="en-GB" w:eastAsia="zh-Hans"/>
        </w:rPr>
        <w:t>。</w:t>
      </w:r>
    </w:p>
    <w:p w14:paraId="47E474BC">
      <w:pPr>
        <w:pStyle w:val="26"/>
        <w:numPr>
          <w:ilvl w:val="0"/>
          <w:numId w:val="118"/>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US" w:eastAsia="zh-CN"/>
        </w:rPr>
        <w:t>投入本项目的人员需具备管理大型、复杂信息系统项目和多项目的经验和能力，能根据需求组织制订可行的项目管理计划；能够组织项目实施，对项目的人员、资金、设备、进度和质量等进行管理，并能根据实际情况及时做出调整。</w:t>
      </w:r>
    </w:p>
    <w:p w14:paraId="39993315">
      <w:pPr>
        <w:pStyle w:val="26"/>
        <w:numPr>
          <w:ilvl w:val="0"/>
          <w:numId w:val="118"/>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GB" w:eastAsia="zh-Hans"/>
        </w:rPr>
      </w:pPr>
      <w:r>
        <w:rPr>
          <w:rFonts w:hint="eastAsia" w:ascii="宋体" w:hAnsi="宋体" w:eastAsia="宋体" w:cs="宋体"/>
          <w:b/>
          <w:bCs/>
          <w:color w:val="auto"/>
          <w:sz w:val="21"/>
          <w:szCs w:val="21"/>
          <w:highlight w:val="none"/>
          <w:u w:val="single"/>
          <w:lang w:val="en-GB" w:eastAsia="zh-Hans"/>
        </w:rPr>
        <w:t>拟投入本项目的服务技术人员需与中标后服务期内的服务技术人员保存一致，如因人员离职、调岗等特殊原因导致需要更换的，</w:t>
      </w:r>
      <w:r>
        <w:rPr>
          <w:rFonts w:hint="eastAsia" w:ascii="宋体" w:hAnsi="宋体" w:eastAsia="宋体" w:cs="宋体"/>
          <w:b/>
          <w:bCs/>
          <w:color w:val="auto"/>
          <w:sz w:val="21"/>
          <w:szCs w:val="21"/>
          <w:highlight w:val="none"/>
          <w:u w:val="single"/>
          <w:lang w:val="en-US" w:eastAsia="zh-CN"/>
        </w:rPr>
        <w:t>乙方</w:t>
      </w:r>
      <w:r>
        <w:rPr>
          <w:rFonts w:hint="eastAsia" w:ascii="宋体" w:hAnsi="宋体" w:eastAsia="宋体" w:cs="宋体"/>
          <w:b/>
          <w:bCs/>
          <w:color w:val="auto"/>
          <w:sz w:val="21"/>
          <w:szCs w:val="21"/>
          <w:highlight w:val="none"/>
          <w:u w:val="single"/>
          <w:lang w:val="en-GB" w:eastAsia="zh-Hans"/>
        </w:rPr>
        <w:t>须提前10个工作日向采购人提交书面申请，说明理由并提供接替人员的资格证明，经</w:t>
      </w:r>
      <w:r>
        <w:rPr>
          <w:rFonts w:hint="eastAsia" w:ascii="宋体" w:hAnsi="宋体" w:eastAsia="宋体" w:cs="宋体"/>
          <w:b/>
          <w:bCs/>
          <w:color w:val="auto"/>
          <w:sz w:val="21"/>
          <w:szCs w:val="21"/>
          <w:highlight w:val="none"/>
          <w:u w:val="single"/>
          <w:lang w:val="en-US" w:eastAsia="zh-CN"/>
        </w:rPr>
        <w:t>甲方</w:t>
      </w:r>
      <w:r>
        <w:rPr>
          <w:rFonts w:hint="eastAsia" w:ascii="宋体" w:hAnsi="宋体" w:eastAsia="宋体" w:cs="宋体"/>
          <w:b/>
          <w:bCs/>
          <w:color w:val="auto"/>
          <w:sz w:val="21"/>
          <w:szCs w:val="21"/>
          <w:highlight w:val="none"/>
          <w:u w:val="single"/>
          <w:lang w:val="en-GB" w:eastAsia="zh-Hans"/>
        </w:rPr>
        <w:t>书面同意后方可执行。</w:t>
      </w:r>
    </w:p>
    <w:p w14:paraId="4D34D456">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GB" w:eastAsia="zh-Hans"/>
        </w:rPr>
        <w:t>培训方案</w:t>
      </w:r>
    </w:p>
    <w:p w14:paraId="58A92CCE">
      <w:pPr>
        <w:pStyle w:val="26"/>
        <w:numPr>
          <w:ilvl w:val="0"/>
          <w:numId w:val="119"/>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为投入本项目的服务人员提供专业详细的培训方案，明确服务人员的职责划分，确保投入本项目的团队能高效运作、各司其职、实现本项目采购需求要求。</w:t>
      </w:r>
    </w:p>
    <w:p w14:paraId="5370387A">
      <w:pPr>
        <w:pStyle w:val="26"/>
        <w:numPr>
          <w:ilvl w:val="0"/>
          <w:numId w:val="119"/>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由于本项目需要对终端设备进行维护以及对</w:t>
      </w:r>
      <w:r>
        <w:rPr>
          <w:rFonts w:hint="eastAsia" w:ascii="宋体" w:hAnsi="宋体" w:eastAsia="宋体" w:cs="宋体"/>
          <w:color w:val="auto"/>
          <w:sz w:val="21"/>
          <w:szCs w:val="21"/>
          <w:highlight w:val="none"/>
          <w:lang w:val="en-US" w:eastAsia="zh-Hans"/>
        </w:rPr>
        <w:t>配套基础设施的日常养护除锈和刷漆</w:t>
      </w:r>
      <w:r>
        <w:rPr>
          <w:rFonts w:hint="eastAsia" w:ascii="宋体" w:hAnsi="宋体" w:eastAsia="宋体" w:cs="宋体"/>
          <w:color w:val="auto"/>
          <w:sz w:val="21"/>
          <w:szCs w:val="21"/>
          <w:highlight w:val="none"/>
          <w:lang w:val="en-US" w:eastAsia="zh-CN"/>
        </w:rPr>
        <w:t>工作。具有一定的危险性。所以乙方需要对投入本项目的服务人员进行安全教育。确保服务人员具有相关的安全意识。</w:t>
      </w:r>
    </w:p>
    <w:p w14:paraId="33E6CBC2">
      <w:pPr>
        <w:pStyle w:val="26"/>
        <w:numPr>
          <w:ilvl w:val="0"/>
          <w:numId w:val="119"/>
        </w:numPr>
        <w:snapToGrid w:val="0"/>
        <w:spacing w:line="360" w:lineRule="auto"/>
        <w:ind w:left="425" w:leftChars="0" w:hanging="425" w:firstLineChars="0"/>
        <w:contextualSpacing/>
        <w:rPr>
          <w:rFonts w:hint="eastAsia" w:ascii="宋体" w:hAnsi="宋体" w:eastAsia="宋体"/>
          <w:b/>
          <w:color w:val="auto"/>
          <w:spacing w:val="20"/>
          <w:szCs w:val="21"/>
          <w:highlight w:val="none"/>
        </w:rPr>
      </w:pPr>
      <w:r>
        <w:rPr>
          <w:rFonts w:hint="eastAsia" w:ascii="宋体" w:hAnsi="宋体" w:eastAsia="宋体" w:cs="宋体"/>
          <w:color w:val="auto"/>
          <w:sz w:val="21"/>
          <w:szCs w:val="21"/>
          <w:highlight w:val="none"/>
          <w:lang w:val="en-US" w:eastAsia="zh-CN"/>
        </w:rPr>
        <w:t>乙方需要对对投入本项目的服务人员进行保密教育，如有出现</w:t>
      </w:r>
      <w:r>
        <w:rPr>
          <w:rFonts w:hint="eastAsia" w:ascii="宋体" w:hAnsi="宋体" w:eastAsia="宋体" w:cs="宋体"/>
          <w:color w:val="auto"/>
          <w:sz w:val="21"/>
          <w:szCs w:val="21"/>
          <w:highlight w:val="none"/>
          <w:lang w:val="en-GB" w:eastAsia="zh-Hans"/>
        </w:rPr>
        <w:t>终端数据</w:t>
      </w:r>
      <w:r>
        <w:rPr>
          <w:rFonts w:hint="eastAsia" w:ascii="宋体" w:hAnsi="宋体" w:eastAsia="宋体" w:cs="宋体"/>
          <w:color w:val="auto"/>
          <w:sz w:val="21"/>
          <w:szCs w:val="21"/>
          <w:highlight w:val="none"/>
          <w:lang w:val="en-US" w:eastAsia="zh-CN"/>
        </w:rPr>
        <w:t>泄漏的时间。一切责任由乙方承担。</w:t>
      </w:r>
    </w:p>
    <w:p w14:paraId="7C89BAEC">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质量保证措施</w:t>
      </w:r>
    </w:p>
    <w:p w14:paraId="5FB03D0F">
      <w:pPr>
        <w:pStyle w:val="26"/>
        <w:numPr>
          <w:ilvl w:val="0"/>
          <w:numId w:val="12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要明确质量目标，确保工作效率。在出现故障需要注意响应时间与修复时间。</w:t>
      </w:r>
    </w:p>
    <w:p w14:paraId="464153C8">
      <w:pPr>
        <w:pStyle w:val="26"/>
        <w:numPr>
          <w:ilvl w:val="0"/>
          <w:numId w:val="12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w:t>
      </w:r>
      <w:r>
        <w:rPr>
          <w:rFonts w:hint="default" w:ascii="宋体" w:hAnsi="宋体" w:eastAsia="宋体" w:cs="宋体"/>
          <w:color w:val="auto"/>
          <w:sz w:val="21"/>
          <w:szCs w:val="21"/>
          <w:highlight w:val="none"/>
          <w:lang w:val="en-US" w:eastAsia="zh-CN"/>
        </w:rPr>
        <w:t>需要通过流程标准化来实现质量控制磋商措施。在进行运维工作时需要具有充足的人员跟技术工具。</w:t>
      </w:r>
    </w:p>
    <w:p w14:paraId="58BFFDBB">
      <w:pPr>
        <w:pStyle w:val="26"/>
        <w:numPr>
          <w:ilvl w:val="0"/>
          <w:numId w:val="12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w:t>
      </w:r>
      <w:r>
        <w:rPr>
          <w:rFonts w:hint="default" w:ascii="宋体" w:hAnsi="宋体" w:eastAsia="宋体" w:cs="宋体"/>
          <w:color w:val="auto"/>
          <w:sz w:val="21"/>
          <w:szCs w:val="21"/>
          <w:highlight w:val="none"/>
          <w:lang w:val="en-US" w:eastAsia="zh-CN"/>
        </w:rPr>
        <w:t>能提供如质量管理体系证书类似的证书。确保有一定的内控制度。可以证明组织对质量的承诺和能力。</w:t>
      </w:r>
    </w:p>
    <w:p w14:paraId="1FC817DD">
      <w:pPr>
        <w:pStyle w:val="26"/>
        <w:numPr>
          <w:ilvl w:val="0"/>
          <w:numId w:val="120"/>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乙方在服务期间应严格遵守安全检查、安全生产教育、安全事故应急救援预案、环境保护等规定，建立规章制度和安全措施。若违反以上规定，由此造成的经济和法律责任，均由乙方负责。</w:t>
      </w:r>
    </w:p>
    <w:p w14:paraId="2B1B48C8">
      <w:pPr>
        <w:pStyle w:val="26"/>
        <w:numPr>
          <w:ilvl w:val="0"/>
          <w:numId w:val="120"/>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需按有关规定办理保险，服务时注意安全、防止对人身造成伤害，安全工作由乙方自行负责。在本项目的服务过程中，甲方对乙方雇员的人身死亡或伤残，或财产(设备)的损失或损害不予赔偿。甲方也不承担乙方与此有关的索赔、损害、赔偿及诉讼等费用和其他任何法律责任。</w:t>
      </w:r>
    </w:p>
    <w:p w14:paraId="7627F047">
      <w:pPr>
        <w:pStyle w:val="26"/>
        <w:numPr>
          <w:ilvl w:val="0"/>
          <w:numId w:val="120"/>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乙方应具有安全机构，能对服务人员的安全防护负责，同时应制定安全防护规程，定期召开安全会议进行安全教育。也应在服务范围内设置必要的标</w:t>
      </w:r>
      <w:r>
        <w:rPr>
          <w:rFonts w:hint="default" w:ascii="宋体" w:hAnsi="宋体" w:eastAsia="宋体" w:cs="宋体"/>
          <w:color w:val="auto"/>
          <w:sz w:val="21"/>
          <w:szCs w:val="21"/>
          <w:highlight w:val="none"/>
          <w:lang w:val="en-US" w:eastAsia="zh-CN"/>
        </w:rPr>
        <w:t>志和信号。</w:t>
      </w:r>
    </w:p>
    <w:p w14:paraId="15840224">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巡检服务</w:t>
      </w:r>
    </w:p>
    <w:p w14:paraId="127E584D">
      <w:pPr>
        <w:pStyle w:val="26"/>
        <w:numPr>
          <w:ilvl w:val="0"/>
          <w:numId w:val="121"/>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对桥梁净高显示系统、船舶流量观测系统、视频监控系统和水位站等进行巡检维护。按维护要求和《养护手册》落实各项维护措施，确保终端及其配件的正常使用，电线或太阳能板（含电池）的正常使用。</w:t>
      </w:r>
    </w:p>
    <w:p w14:paraId="2866D224">
      <w:pPr>
        <w:pStyle w:val="26"/>
        <w:numPr>
          <w:ilvl w:val="0"/>
          <w:numId w:val="121"/>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w:t>
      </w:r>
      <w:r>
        <w:rPr>
          <w:rFonts w:hint="default" w:ascii="宋体" w:hAnsi="宋体" w:eastAsia="宋体" w:cs="宋体"/>
          <w:color w:val="auto"/>
          <w:sz w:val="21"/>
          <w:szCs w:val="21"/>
          <w:highlight w:val="none"/>
          <w:lang w:val="en-US" w:eastAsia="zh-CN"/>
        </w:rPr>
        <w:t>须制定运行维护计划和月度巡查养护计划，报</w:t>
      </w:r>
      <w:r>
        <w:rPr>
          <w:rFonts w:hint="eastAsia" w:ascii="宋体" w:hAnsi="宋体" w:eastAsia="宋体" w:cs="宋体"/>
          <w:color w:val="auto"/>
          <w:sz w:val="21"/>
          <w:szCs w:val="21"/>
          <w:highlight w:val="none"/>
          <w:lang w:val="en-US" w:eastAsia="zh-CN"/>
        </w:rPr>
        <w:t>甲方</w:t>
      </w:r>
      <w:r>
        <w:rPr>
          <w:rFonts w:hint="default" w:ascii="宋体" w:hAnsi="宋体" w:eastAsia="宋体" w:cs="宋体"/>
          <w:color w:val="auto"/>
          <w:sz w:val="21"/>
          <w:szCs w:val="21"/>
          <w:highlight w:val="none"/>
          <w:lang w:val="en-US" w:eastAsia="zh-CN"/>
        </w:rPr>
        <w:t>审查同意后方可实施；</w:t>
      </w:r>
    </w:p>
    <w:p w14:paraId="61DA0B2F">
      <w:pPr>
        <w:pStyle w:val="26"/>
        <w:numPr>
          <w:ilvl w:val="0"/>
          <w:numId w:val="121"/>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外场监测终端按照要求进行周期性系统巡检，日常巡查养护周期每月不少于一次，遇台风、洪水等季节性危险天气，当危险天气结束后，24小时内派员开展巡查。根据节假日和上级需求适当增加巡查次数，每次巡查检修后按相关制度和表格做好巡检记录。</w:t>
      </w:r>
    </w:p>
    <w:p w14:paraId="1997C31F">
      <w:pPr>
        <w:pStyle w:val="26"/>
        <w:numPr>
          <w:ilvl w:val="0"/>
          <w:numId w:val="121"/>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每月5日前提供上个月的巡检报告汇编以及故障和问题处理技术报告汇编。</w:t>
      </w:r>
    </w:p>
    <w:p w14:paraId="697F9007">
      <w:pPr>
        <w:pStyle w:val="26"/>
        <w:numPr>
          <w:ilvl w:val="0"/>
          <w:numId w:val="121"/>
        </w:numPr>
        <w:snapToGrid w:val="0"/>
        <w:spacing w:line="360" w:lineRule="auto"/>
        <w:ind w:left="425" w:leftChars="0" w:hanging="425" w:firstLineChars="0"/>
        <w:contextualSpacing/>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每半年提供一次技术服务总结及巡检以及故障问题处理报告。</w:t>
      </w:r>
    </w:p>
    <w:p w14:paraId="0421EAFF">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GB" w:eastAsia="zh-Hans"/>
        </w:rPr>
        <w:t>守密要求</w:t>
      </w:r>
    </w:p>
    <w:p w14:paraId="3179ADEB">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乙方及其服务人员必须与甲方签订协议，不得泄露系统数据、密码、用户手册资料等内容；如有故障，乙方需要临时聘请专家进行现场解决的，须书面通知并征得甲方同意，同时须签订协议，不得泄密系统数据、密码、用户手册资料等内容。</w:t>
      </w:r>
    </w:p>
    <w:p w14:paraId="3508BDC0">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乙方对履行本合同期间知悉的甲方信息负有守密责任，且乙方的守密责任不因本项目合同的终止而终止。</w:t>
      </w:r>
    </w:p>
    <w:p w14:paraId="2C8680F7">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乙方不得向任何第三方透露甲方工作人员的信息。</w:t>
      </w:r>
    </w:p>
    <w:p w14:paraId="7BB82E7C">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未经甲方同意，乙方服务人员不得擅自记录、复印、拍摄、摘抄、收藏甲方单位的任何文件资料和信息，不得随意翻阅与工作无关的文件和资料，严禁将甲方单位内部会议、谈话内容泄露给第三方。</w:t>
      </w:r>
    </w:p>
    <w:p w14:paraId="0C40321E">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严禁私自下载、拷贝甲方计算机内的信息资料，不得擅自携带甲方记载工作内容的硬盘、软盘和打印资料外出；严禁将工作中使用计算机储存的敏感内容、内部程序、口令、密码等泄露给无关人员。</w:t>
      </w:r>
    </w:p>
    <w:p w14:paraId="3EBF15D6">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乙方不得带领无关人员进入办公场所。</w:t>
      </w:r>
    </w:p>
    <w:p w14:paraId="072E2124">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乙方不得利用项目实施期间获取的信息谋取不正当利益。</w:t>
      </w:r>
    </w:p>
    <w:p w14:paraId="2E82F59F">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b w:val="0"/>
          <w:bCs w:val="0"/>
          <w:color w:val="auto"/>
          <w:sz w:val="21"/>
          <w:szCs w:val="21"/>
          <w:highlight w:val="none"/>
          <w:lang w:val="en-GB" w:eastAsia="zh-CN"/>
        </w:rPr>
        <w:t>如乙方违反本守密义务的，甲方有权单方解除合同，并要求乙方赔偿甲方因此遭受的全部损失（包括直接损失和间接损失）。</w:t>
      </w:r>
    </w:p>
    <w:p w14:paraId="31F5A8DE">
      <w:pPr>
        <w:keepNext w:val="0"/>
        <w:keepLines w:val="0"/>
        <w:pageBreakBefore w:val="0"/>
        <w:widowControl/>
        <w:numPr>
          <w:ilvl w:val="0"/>
          <w:numId w:val="122"/>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 w:val="0"/>
          <w:bCs w:val="0"/>
          <w:color w:val="auto"/>
          <w:sz w:val="21"/>
          <w:szCs w:val="21"/>
          <w:highlight w:val="none"/>
          <w:lang w:val="en-GB" w:eastAsia="zh-CN"/>
        </w:rPr>
      </w:pPr>
      <w:r>
        <w:rPr>
          <w:rFonts w:hint="eastAsia" w:ascii="宋体" w:hAnsi="宋体" w:eastAsia="宋体" w:cs="宋体"/>
          <w:color w:val="auto"/>
          <w:sz w:val="21"/>
          <w:szCs w:val="21"/>
          <w:highlight w:val="none"/>
        </w:rPr>
        <w:t>如果因</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人为原因造成所维护范围内的重要敏感数据外泄，直接扣除合同金额的10%违约金</w:t>
      </w:r>
      <w:r>
        <w:rPr>
          <w:rFonts w:hint="eastAsia" w:ascii="宋体" w:hAnsi="宋体" w:eastAsia="宋体" w:cs="宋体"/>
          <w:color w:val="auto"/>
          <w:sz w:val="21"/>
          <w:szCs w:val="21"/>
          <w:highlight w:val="none"/>
          <w:lang w:eastAsia="zh-CN"/>
        </w:rPr>
        <w:t>并承担相应法律责任</w:t>
      </w:r>
      <w:r>
        <w:rPr>
          <w:rFonts w:hint="eastAsia" w:ascii="宋体" w:hAnsi="宋体" w:eastAsia="宋体" w:cs="宋体"/>
          <w:color w:val="auto"/>
          <w:sz w:val="21"/>
          <w:szCs w:val="21"/>
          <w:highlight w:val="none"/>
        </w:rPr>
        <w:t>。</w:t>
      </w:r>
    </w:p>
    <w:p w14:paraId="5598397D">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lang w:val="en-GB" w:eastAsia="zh-Hans"/>
        </w:rPr>
        <w:t>故障处理及应急方案</w:t>
      </w:r>
    </w:p>
    <w:p w14:paraId="162483B9">
      <w:pPr>
        <w:keepNext w:val="0"/>
        <w:keepLines w:val="0"/>
        <w:pageBreakBefore w:val="0"/>
        <w:widowControl/>
        <w:numPr>
          <w:ilvl w:val="0"/>
          <w:numId w:val="1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故障应急响应</w:t>
      </w:r>
    </w:p>
    <w:p w14:paraId="1A285919">
      <w:pPr>
        <w:keepNext w:val="0"/>
        <w:keepLines w:val="0"/>
        <w:pageBreakBefore w:val="0"/>
        <w:widowControl/>
        <w:numPr>
          <w:ilvl w:val="0"/>
          <w:numId w:val="1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提供故障处理手册、故障处理流程、排障方案、应急</w:t>
      </w:r>
      <w:r>
        <w:rPr>
          <w:rFonts w:hint="eastAsia" w:ascii="宋体" w:hAnsi="宋体" w:eastAsia="宋体" w:cs="宋体"/>
          <w:color w:val="auto"/>
          <w:sz w:val="21"/>
          <w:szCs w:val="21"/>
          <w:highlight w:val="none"/>
          <w:lang w:val="en-US" w:eastAsia="zh-CN"/>
        </w:rPr>
        <w:t>预</w:t>
      </w:r>
      <w:r>
        <w:rPr>
          <w:rFonts w:hint="eastAsia" w:ascii="宋体" w:hAnsi="宋体" w:eastAsia="宋体" w:cs="宋体"/>
          <w:color w:val="auto"/>
          <w:sz w:val="21"/>
          <w:szCs w:val="21"/>
          <w:highlight w:val="none"/>
          <w:lang w:val="en-GB" w:eastAsia="zh-Hans"/>
        </w:rPr>
        <w:t>案（包括应急流程、实现方式等）。对于系统一般问题，提供7×24小时本地电话技术热线支持，并可根据</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GB" w:eastAsia="zh-Hans"/>
        </w:rPr>
        <w:t>要求和实际情况到</w:t>
      </w:r>
      <w:r>
        <w:rPr>
          <w:rFonts w:hint="eastAsia" w:ascii="宋体" w:hAnsi="宋体" w:eastAsia="宋体" w:cs="宋体"/>
          <w:color w:val="auto"/>
          <w:sz w:val="21"/>
          <w:szCs w:val="21"/>
          <w:highlight w:val="none"/>
          <w:lang w:val="en-US" w:eastAsia="zh-CN"/>
        </w:rPr>
        <w:t>甲方指定</w:t>
      </w:r>
      <w:r>
        <w:rPr>
          <w:rFonts w:hint="eastAsia" w:ascii="宋体" w:hAnsi="宋体" w:eastAsia="宋体" w:cs="宋体"/>
          <w:color w:val="auto"/>
          <w:sz w:val="21"/>
          <w:szCs w:val="21"/>
          <w:highlight w:val="none"/>
          <w:lang w:val="en-GB" w:eastAsia="zh-Hans"/>
        </w:rPr>
        <w:t>现场提供服务。在故障发生时，根据</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GB" w:eastAsia="zh-Hans"/>
        </w:rPr>
        <w:t>要求，提供7×24小时现场服务，在规定时限内到达故障现场及时处理故障，并提供相关处理报告。对于系统重大问题（如硬件系统宕机、设备批量异常等）紧急情况，须</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val="en-GB" w:eastAsia="zh-Hans"/>
        </w:rPr>
        <w:t>人远程处理</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val="en-GB" w:eastAsia="zh-Hans"/>
        </w:rPr>
        <w:t>人赶到现场，并提出实现方式和承诺的故障响应时间、故障排除时间。</w:t>
      </w:r>
    </w:p>
    <w:p w14:paraId="519541F9">
      <w:pPr>
        <w:keepNext w:val="0"/>
        <w:keepLines w:val="0"/>
        <w:pageBreakBefore w:val="0"/>
        <w:widowControl/>
        <w:numPr>
          <w:ilvl w:val="0"/>
          <w:numId w:val="1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故障应急响应时间</w:t>
      </w:r>
    </w:p>
    <w:p w14:paraId="158995BC">
      <w:pPr>
        <w:keepNext w:val="0"/>
        <w:keepLines w:val="0"/>
        <w:pageBreakBefore w:val="0"/>
        <w:widowControl/>
        <w:numPr>
          <w:ilvl w:val="0"/>
          <w:numId w:val="1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终端设备发生硬件故障的，车辆可以抵达现场的，4小时内赶赴现场并确定故障类型。</w:t>
      </w:r>
    </w:p>
    <w:p w14:paraId="2FC3C257">
      <w:pPr>
        <w:keepNext w:val="0"/>
        <w:keepLines w:val="0"/>
        <w:pageBreakBefore w:val="0"/>
        <w:widowControl/>
        <w:numPr>
          <w:ilvl w:val="0"/>
          <w:numId w:val="1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需通过船舶抵达现场的，1个工作日内赶赴现场并确定故障类型。对于现场可处理的故障须在1个工作日内修复完毕。</w:t>
      </w:r>
    </w:p>
    <w:p w14:paraId="732267B5">
      <w:pPr>
        <w:keepNext w:val="0"/>
        <w:keepLines w:val="0"/>
        <w:pageBreakBefore w:val="0"/>
        <w:widowControl/>
        <w:numPr>
          <w:ilvl w:val="0"/>
          <w:numId w:val="124"/>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GB" w:eastAsia="zh-Hans"/>
        </w:rPr>
      </w:pPr>
      <w:r>
        <w:rPr>
          <w:rFonts w:hint="eastAsia" w:ascii="宋体" w:hAnsi="宋体" w:eastAsia="宋体" w:cs="宋体"/>
          <w:color w:val="auto"/>
          <w:sz w:val="21"/>
          <w:szCs w:val="21"/>
          <w:highlight w:val="none"/>
          <w:lang w:val="en-GB" w:eastAsia="zh-Hans"/>
        </w:rPr>
        <w:t>设备损坏需更换设备的，由</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val="en-GB" w:eastAsia="zh-Hans"/>
        </w:rPr>
        <w:t>在2个工作日</w:t>
      </w:r>
      <w:r>
        <w:rPr>
          <w:rFonts w:hint="eastAsia" w:ascii="宋体" w:hAnsi="宋体" w:eastAsia="宋体" w:cs="宋体"/>
          <w:color w:val="auto"/>
          <w:sz w:val="21"/>
          <w:szCs w:val="21"/>
          <w:highlight w:val="none"/>
          <w:lang w:val="en-GB" w:eastAsia="zh-CN"/>
        </w:rPr>
        <w:t>内排查</w:t>
      </w:r>
      <w:r>
        <w:rPr>
          <w:rFonts w:hint="eastAsia" w:ascii="宋体" w:hAnsi="宋体" w:eastAsia="宋体" w:cs="宋体"/>
          <w:color w:val="auto"/>
          <w:sz w:val="21"/>
          <w:szCs w:val="21"/>
          <w:highlight w:val="none"/>
          <w:lang w:val="en-GB" w:eastAsia="zh-Hans"/>
        </w:rPr>
        <w:t>确定需要</w:t>
      </w:r>
      <w:r>
        <w:rPr>
          <w:rFonts w:hint="eastAsia" w:ascii="宋体" w:hAnsi="宋体" w:eastAsia="宋体" w:cs="宋体"/>
          <w:color w:val="auto"/>
          <w:sz w:val="21"/>
          <w:szCs w:val="21"/>
          <w:highlight w:val="none"/>
          <w:lang w:val="en-US" w:eastAsia="zh-CN"/>
        </w:rPr>
        <w:t>更换</w:t>
      </w:r>
      <w:r>
        <w:rPr>
          <w:rFonts w:hint="eastAsia" w:ascii="宋体" w:hAnsi="宋体" w:eastAsia="宋体" w:cs="宋体"/>
          <w:color w:val="auto"/>
          <w:sz w:val="21"/>
          <w:szCs w:val="21"/>
          <w:highlight w:val="none"/>
          <w:lang w:val="en-GB" w:eastAsia="zh-Hans"/>
        </w:rPr>
        <w:t>的备品备件，并在</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val="en-GB" w:eastAsia="zh-Hans"/>
        </w:rPr>
        <w:t>个工作日内完成安装并恢复设备正常，如有特殊情况需要延长时间的，书面向</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val="en-GB" w:eastAsia="zh-Hans"/>
        </w:rPr>
        <w:t>提出申请。</w:t>
      </w:r>
    </w:p>
    <w:p w14:paraId="17EED53C">
      <w:pPr>
        <w:keepNext w:val="0"/>
        <w:keepLines w:val="0"/>
        <w:pageBreakBefore w:val="0"/>
        <w:widowControl/>
        <w:numPr>
          <w:ilvl w:val="0"/>
          <w:numId w:val="1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乙方须根据项目需求（第六条要求）准备数量充足的</w:t>
      </w:r>
      <w:r>
        <w:rPr>
          <w:rFonts w:hint="eastAsia" w:ascii="宋体" w:hAnsi="宋体" w:eastAsia="宋体" w:cs="宋体"/>
          <w:color w:val="auto"/>
          <w:sz w:val="21"/>
          <w:szCs w:val="21"/>
          <w:highlight w:val="none"/>
          <w:lang w:val="en-US" w:eastAsia="zh-Hans"/>
        </w:rPr>
        <w:t>备品备件</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Hans"/>
        </w:rPr>
        <w:t>备品备件</w:t>
      </w:r>
      <w:r>
        <w:rPr>
          <w:rFonts w:hint="eastAsia" w:ascii="宋体" w:hAnsi="宋体" w:eastAsia="宋体" w:cs="宋体"/>
          <w:color w:val="auto"/>
          <w:sz w:val="21"/>
          <w:szCs w:val="21"/>
          <w:highlight w:val="none"/>
          <w:lang w:val="en-US" w:eastAsia="zh-CN"/>
        </w:rPr>
        <w:t>应完全适配甲方原本的设备。</w:t>
      </w:r>
    </w:p>
    <w:p w14:paraId="0600F96D">
      <w:pPr>
        <w:keepNext w:val="0"/>
        <w:keepLines w:val="0"/>
        <w:pageBreakBefore w:val="0"/>
        <w:widowControl/>
        <w:numPr>
          <w:ilvl w:val="0"/>
          <w:numId w:val="123"/>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如有突发情况或者临时任务，项目负责人在接到甲方通知后须于30分钟响应内并</w:t>
      </w:r>
      <w:r>
        <w:rPr>
          <w:rFonts w:hint="eastAsia" w:ascii="宋体" w:hAnsi="宋体" w:eastAsia="宋体" w:cs="宋体"/>
          <w:color w:val="auto"/>
          <w:sz w:val="21"/>
          <w:szCs w:val="21"/>
          <w:highlight w:val="none"/>
          <w:lang w:val="en-US" w:eastAsia="zh-Hans"/>
        </w:rPr>
        <w:t>3小时内到达现场</w:t>
      </w:r>
      <w:r>
        <w:rPr>
          <w:rFonts w:hint="eastAsia" w:ascii="宋体" w:hAnsi="宋体" w:eastAsia="宋体" w:cs="宋体"/>
          <w:color w:val="auto"/>
          <w:sz w:val="21"/>
          <w:szCs w:val="21"/>
          <w:highlight w:val="none"/>
          <w:lang w:val="en-US" w:eastAsia="zh-CN"/>
        </w:rPr>
        <w:t>。</w:t>
      </w:r>
    </w:p>
    <w:p w14:paraId="1FF727C5">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 xml:space="preserve">分包与转包 </w:t>
      </w:r>
    </w:p>
    <w:p w14:paraId="1FA0D7E4">
      <w:pPr>
        <w:pStyle w:val="26"/>
        <w:numPr>
          <w:ilvl w:val="0"/>
          <w:numId w:val="125"/>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63ACDFAD">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26F60098">
      <w:pPr>
        <w:pStyle w:val="31"/>
        <w:numPr>
          <w:ilvl w:val="0"/>
          <w:numId w:val="126"/>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0113850F">
      <w:pPr>
        <w:pStyle w:val="31"/>
        <w:numPr>
          <w:ilvl w:val="0"/>
          <w:numId w:val="126"/>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2CD6830E">
      <w:pPr>
        <w:pStyle w:val="31"/>
        <w:numPr>
          <w:ilvl w:val="0"/>
          <w:numId w:val="126"/>
        </w:numPr>
        <w:tabs>
          <w:tab w:val="left" w:pos="840"/>
        </w:tabs>
        <w:ind w:firstLineChars="0"/>
        <w:rPr>
          <w:rFonts w:hint="eastAsia"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17CF793D">
      <w:pPr>
        <w:pStyle w:val="31"/>
        <w:numPr>
          <w:ilvl w:val="0"/>
          <w:numId w:val="126"/>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rPr>
        <w:t>甲方有权从未支付的款项或是履约保证金中直接扣除乙方的违约金，不足的部分由乙方另行补足。</w:t>
      </w:r>
    </w:p>
    <w:p w14:paraId="4833D015">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615CC77">
      <w:pPr>
        <w:numPr>
          <w:ilvl w:val="0"/>
          <w:numId w:val="127"/>
        </w:numP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凡与本合同有关而引起的一切争议，甲乙双方应首先通过友好协商解决，如经协商后仍不能达成协议时，任何一方可以向法院提出诉讼。</w:t>
      </w:r>
    </w:p>
    <w:p w14:paraId="16C4B95D">
      <w:pPr>
        <w:numPr>
          <w:ilvl w:val="0"/>
          <w:numId w:val="127"/>
        </w:numP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本合同发生的诉讼管辖地为东莞市有管辖权的法院。</w:t>
      </w:r>
    </w:p>
    <w:p w14:paraId="148192B0">
      <w:pPr>
        <w:numPr>
          <w:ilvl w:val="0"/>
          <w:numId w:val="127"/>
        </w:numP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6F17F695">
      <w:pPr>
        <w:numPr>
          <w:ilvl w:val="0"/>
          <w:numId w:val="127"/>
        </w:numP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3CB771C9">
      <w:pPr>
        <w:pStyle w:val="26"/>
        <w:numPr>
          <w:ilvl w:val="0"/>
          <w:numId w:val="95"/>
        </w:numPr>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6FB58C83">
      <w:pPr>
        <w:numPr>
          <w:ilvl w:val="0"/>
          <w:numId w:val="128"/>
        </w:numP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736D17E">
      <w:pPr>
        <w:numPr>
          <w:ilvl w:val="0"/>
          <w:numId w:val="128"/>
        </w:numP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28E6470">
      <w:pPr>
        <w:pStyle w:val="26"/>
        <w:numPr>
          <w:ilvl w:val="0"/>
          <w:numId w:val="95"/>
        </w:numPr>
        <w:tabs>
          <w:tab w:val="left" w:pos="567"/>
        </w:tabs>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438D3803">
      <w:pPr>
        <w:pStyle w:val="26"/>
        <w:numPr>
          <w:ilvl w:val="0"/>
          <w:numId w:val="129"/>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本合同由双方法定代表人或委托代理人签字盖章后立即生效，具有同等法律效力，服务期为合同签订日至</w:t>
      </w:r>
      <w:r>
        <w:rPr>
          <w:rFonts w:hint="eastAsia" w:ascii="宋体" w:hAnsi="宋体" w:eastAsia="宋体"/>
          <w:color w:val="auto"/>
          <w:szCs w:val="21"/>
          <w:highlight w:val="none"/>
          <w:u w:val="single"/>
        </w:rPr>
        <w:t xml:space="preserve">      年    月    日</w:t>
      </w:r>
      <w:r>
        <w:rPr>
          <w:rFonts w:hint="eastAsia" w:ascii="宋体" w:hAnsi="宋体" w:eastAsia="宋体"/>
          <w:color w:val="auto"/>
          <w:szCs w:val="21"/>
          <w:highlight w:val="none"/>
        </w:rPr>
        <w:t>，合同有效期随服务期结束而自然终止；</w:t>
      </w:r>
    </w:p>
    <w:p w14:paraId="71F320BB">
      <w:pPr>
        <w:pStyle w:val="26"/>
        <w:numPr>
          <w:ilvl w:val="0"/>
          <w:numId w:val="129"/>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21984E41">
      <w:pPr>
        <w:pStyle w:val="26"/>
        <w:numPr>
          <w:ilvl w:val="0"/>
          <w:numId w:val="95"/>
        </w:numPr>
        <w:tabs>
          <w:tab w:val="left" w:pos="567"/>
        </w:tabs>
        <w:spacing w:before="217" w:beforeLines="50"/>
        <w:ind w:firstLineChars="0"/>
        <w:rPr>
          <w:rFonts w:hint="eastAsia"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47DA5A36">
      <w:pPr>
        <w:pStyle w:val="26"/>
        <w:numPr>
          <w:ilvl w:val="0"/>
          <w:numId w:val="130"/>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27949929">
      <w:pPr>
        <w:pStyle w:val="26"/>
        <w:numPr>
          <w:ilvl w:val="0"/>
          <w:numId w:val="130"/>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3873ABDE">
      <w:pPr>
        <w:pStyle w:val="26"/>
        <w:numPr>
          <w:ilvl w:val="0"/>
          <w:numId w:val="130"/>
        </w:numPr>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58DFE830">
      <w:pPr>
        <w:rPr>
          <w:rFonts w:hint="eastAsia" w:ascii="宋体" w:hAnsi="宋体" w:eastAsia="宋体"/>
          <w:color w:val="auto"/>
          <w:szCs w:val="21"/>
          <w:highlight w:val="none"/>
          <w:lang w:val="en-US" w:eastAsia="zh-CN"/>
        </w:rPr>
      </w:pPr>
    </w:p>
    <w:p w14:paraId="3E6E15A3">
      <w:pP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附件1《运维考核评分表》</w:t>
      </w:r>
    </w:p>
    <w:p w14:paraId="42BAABBF">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附件2《外场业务感知终端工作记录表》</w:t>
      </w:r>
    </w:p>
    <w:p w14:paraId="35DA569E">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附件3《安全生产合同》</w:t>
      </w:r>
    </w:p>
    <w:p w14:paraId="5DCC642D">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附件4《廉政合同》</w:t>
      </w:r>
    </w:p>
    <w:p w14:paraId="00FC9D46">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附件5《招标文件》</w:t>
      </w:r>
    </w:p>
    <w:p w14:paraId="377CA35D">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附件6《中标文件》</w:t>
      </w:r>
    </w:p>
    <w:p w14:paraId="063D2B11">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附件7《中标通知书》</w:t>
      </w:r>
    </w:p>
    <w:p w14:paraId="1C84E3E7">
      <w:pPr>
        <w:rPr>
          <w:rFonts w:hint="default" w:ascii="宋体" w:hAnsi="宋体" w:eastAsia="宋体"/>
          <w:color w:val="auto"/>
          <w:szCs w:val="21"/>
          <w:highlight w:val="none"/>
          <w:lang w:val="en-US" w:eastAsia="zh-CN"/>
        </w:rPr>
      </w:pPr>
    </w:p>
    <w:p w14:paraId="56974A54">
      <w:pPr>
        <w:rPr>
          <w:rFonts w:hint="eastAsia" w:ascii="宋体" w:hAnsi="宋体" w:eastAsia="宋体"/>
          <w:color w:val="auto"/>
          <w:szCs w:val="21"/>
          <w:highlight w:val="none"/>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5439A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F05C44A">
            <w:pPr>
              <w:rPr>
                <w:rFonts w:hint="eastAsia"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2ED15980">
            <w:pPr>
              <w:rPr>
                <w:rFonts w:hint="eastAsia" w:ascii="宋体" w:hAnsi="宋体" w:eastAsia="宋体"/>
                <w:color w:val="auto"/>
                <w:szCs w:val="21"/>
                <w:highlight w:val="none"/>
              </w:rPr>
            </w:pPr>
            <w:r>
              <w:rPr>
                <w:rFonts w:hint="eastAsia" w:ascii="宋体" w:hAnsi="宋体" w:eastAsia="宋体"/>
                <w:color w:val="auto"/>
                <w:szCs w:val="21"/>
                <w:highlight w:val="none"/>
              </w:rPr>
              <w:t>乙方(盖章)：</w:t>
            </w:r>
          </w:p>
        </w:tc>
      </w:tr>
      <w:tr w14:paraId="562E9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50A654B">
            <w:pPr>
              <w:rPr>
                <w:rFonts w:hint="eastAsia"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303A553A">
            <w:pPr>
              <w:rPr>
                <w:rFonts w:hint="eastAsia"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42DBD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37DD3E4">
            <w:pPr>
              <w:rPr>
                <w:rFonts w:hint="eastAsia"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06F285DC">
            <w:pPr>
              <w:rPr>
                <w:rFonts w:hint="eastAsia" w:ascii="宋体" w:hAnsi="宋体" w:eastAsia="宋体"/>
                <w:color w:val="auto"/>
                <w:szCs w:val="21"/>
                <w:highlight w:val="none"/>
              </w:rPr>
            </w:pPr>
            <w:r>
              <w:rPr>
                <w:rFonts w:hint="eastAsia" w:ascii="宋体" w:hAnsi="宋体" w:eastAsia="宋体"/>
                <w:color w:val="auto"/>
                <w:szCs w:val="21"/>
                <w:highlight w:val="none"/>
              </w:rPr>
              <w:t>签字日期：</w:t>
            </w:r>
          </w:p>
        </w:tc>
      </w:tr>
      <w:tr w14:paraId="33A95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F34F941">
            <w:pPr>
              <w:rPr>
                <w:rFonts w:hint="eastAsia"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0AE99EEB">
            <w:pPr>
              <w:rPr>
                <w:rFonts w:hint="eastAsia" w:ascii="宋体" w:hAnsi="宋体" w:eastAsia="宋体"/>
                <w:color w:val="auto"/>
                <w:szCs w:val="21"/>
                <w:highlight w:val="none"/>
              </w:rPr>
            </w:pPr>
            <w:r>
              <w:rPr>
                <w:rFonts w:hint="eastAsia" w:ascii="宋体" w:hAnsi="宋体" w:eastAsia="宋体"/>
                <w:color w:val="auto"/>
                <w:szCs w:val="21"/>
                <w:highlight w:val="none"/>
              </w:rPr>
              <w:t>地址：</w:t>
            </w:r>
          </w:p>
        </w:tc>
      </w:tr>
      <w:tr w14:paraId="22383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0992BC">
            <w:pPr>
              <w:rPr>
                <w:rFonts w:hint="eastAsia"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5B8C8EF4">
            <w:pPr>
              <w:rPr>
                <w:rFonts w:hint="eastAsia" w:ascii="宋体" w:hAnsi="宋体" w:eastAsia="宋体"/>
                <w:color w:val="auto"/>
                <w:szCs w:val="21"/>
                <w:highlight w:val="none"/>
              </w:rPr>
            </w:pPr>
            <w:r>
              <w:rPr>
                <w:rFonts w:hint="eastAsia" w:ascii="宋体" w:hAnsi="宋体" w:eastAsia="宋体"/>
                <w:color w:val="auto"/>
                <w:szCs w:val="21"/>
                <w:highlight w:val="none"/>
              </w:rPr>
              <w:t>电话：</w:t>
            </w:r>
          </w:p>
        </w:tc>
      </w:tr>
      <w:tr w14:paraId="3DC45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3FDB9C9">
            <w:pPr>
              <w:rPr>
                <w:rFonts w:hint="eastAsia"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7514E65D">
            <w:pPr>
              <w:rPr>
                <w:rFonts w:hint="eastAsia" w:ascii="宋体" w:hAnsi="宋体" w:eastAsia="宋体"/>
                <w:color w:val="auto"/>
                <w:szCs w:val="21"/>
                <w:highlight w:val="none"/>
              </w:rPr>
            </w:pPr>
            <w:r>
              <w:rPr>
                <w:rFonts w:hint="eastAsia" w:ascii="宋体" w:hAnsi="宋体" w:eastAsia="宋体"/>
                <w:color w:val="auto"/>
                <w:szCs w:val="21"/>
                <w:highlight w:val="none"/>
              </w:rPr>
              <w:t>传真：</w:t>
            </w:r>
          </w:p>
        </w:tc>
      </w:tr>
      <w:tr w14:paraId="4B084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F82E002">
            <w:pPr>
              <w:rPr>
                <w:rFonts w:hint="eastAsia"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C94B7DC">
            <w:pPr>
              <w:rPr>
                <w:rFonts w:hint="eastAsia" w:ascii="宋体" w:hAnsi="宋体" w:eastAsia="宋体"/>
                <w:color w:val="auto"/>
                <w:szCs w:val="21"/>
                <w:highlight w:val="none"/>
              </w:rPr>
            </w:pPr>
            <w:r>
              <w:rPr>
                <w:rFonts w:hint="eastAsia" w:ascii="宋体" w:hAnsi="宋体" w:eastAsia="宋体"/>
                <w:color w:val="auto"/>
                <w:szCs w:val="21"/>
                <w:highlight w:val="none"/>
              </w:rPr>
              <w:t>开户银行：</w:t>
            </w:r>
          </w:p>
        </w:tc>
      </w:tr>
      <w:tr w14:paraId="62565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A9676AB">
            <w:pPr>
              <w:rPr>
                <w:rFonts w:hint="eastAsia"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7B8A3A59">
            <w:pPr>
              <w:rPr>
                <w:rFonts w:hint="eastAsia" w:ascii="宋体" w:hAnsi="宋体" w:eastAsia="宋体"/>
                <w:color w:val="auto"/>
                <w:szCs w:val="21"/>
                <w:highlight w:val="none"/>
              </w:rPr>
            </w:pPr>
            <w:r>
              <w:rPr>
                <w:rFonts w:hint="eastAsia" w:ascii="宋体" w:hAnsi="宋体" w:eastAsia="宋体"/>
                <w:color w:val="auto"/>
                <w:szCs w:val="21"/>
                <w:highlight w:val="none"/>
              </w:rPr>
              <w:t>银行账户：</w:t>
            </w:r>
          </w:p>
        </w:tc>
      </w:tr>
    </w:tbl>
    <w:p w14:paraId="6F333081">
      <w:pPr>
        <w:rPr>
          <w:rFonts w:hint="eastAsia" w:ascii="宋体" w:hAnsi="宋体" w:eastAsia="宋体"/>
          <w:color w:val="auto"/>
          <w:szCs w:val="21"/>
          <w:highlight w:val="none"/>
        </w:rPr>
      </w:pPr>
      <w:r>
        <w:rPr>
          <w:rFonts w:hint="eastAsia" w:ascii="宋体" w:hAnsi="宋体" w:eastAsia="宋体"/>
          <w:color w:val="auto"/>
          <w:szCs w:val="21"/>
          <w:highlight w:val="none"/>
        </w:rPr>
        <w:br w:type="page"/>
      </w:r>
    </w:p>
    <w:p w14:paraId="7099A646">
      <w:pPr>
        <w:keepNext w:val="0"/>
        <w:keepLines w:val="0"/>
        <w:pageBreakBefore w:val="0"/>
        <w:kinsoku/>
        <w:wordWrap/>
        <w:overflowPunct/>
        <w:topLinePunct w:val="0"/>
        <w:autoSpaceDE/>
        <w:autoSpaceDN/>
        <w:bidi w:val="0"/>
        <w:adjustRightInd/>
        <w:snapToGrid w:val="0"/>
        <w:spacing w:line="360" w:lineRule="auto"/>
        <w:jc w:val="both"/>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附件1</w:t>
      </w:r>
    </w:p>
    <w:p w14:paraId="4864C36B">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《运维考核评分表》</w:t>
      </w:r>
    </w:p>
    <w:tbl>
      <w:tblPr>
        <w:tblStyle w:val="13"/>
        <w:tblW w:w="4994" w:type="pct"/>
        <w:jc w:val="center"/>
        <w:tblLayout w:type="autofit"/>
        <w:tblCellMar>
          <w:top w:w="0" w:type="dxa"/>
          <w:left w:w="108" w:type="dxa"/>
          <w:bottom w:w="0" w:type="dxa"/>
          <w:right w:w="108" w:type="dxa"/>
        </w:tblCellMar>
      </w:tblPr>
      <w:tblGrid>
        <w:gridCol w:w="694"/>
        <w:gridCol w:w="1473"/>
        <w:gridCol w:w="1853"/>
        <w:gridCol w:w="703"/>
        <w:gridCol w:w="762"/>
        <w:gridCol w:w="3116"/>
        <w:gridCol w:w="674"/>
      </w:tblGrid>
      <w:tr w14:paraId="7A504C78">
        <w:tblPrEx>
          <w:tblCellMar>
            <w:top w:w="0" w:type="dxa"/>
            <w:left w:w="108" w:type="dxa"/>
            <w:bottom w:w="0" w:type="dxa"/>
            <w:right w:w="108" w:type="dxa"/>
          </w:tblCellMar>
        </w:tblPrEx>
        <w:trPr>
          <w:trHeight w:val="395" w:hRule="atLeast"/>
          <w:jc w:val="center"/>
        </w:trPr>
        <w:tc>
          <w:tcPr>
            <w:tcW w:w="1168" w:type="pct"/>
            <w:gridSpan w:val="2"/>
            <w:tcBorders>
              <w:top w:val="single" w:color="auto" w:sz="4" w:space="0"/>
              <w:left w:val="single" w:color="auto" w:sz="4" w:space="0"/>
              <w:bottom w:val="single" w:color="auto" w:sz="4" w:space="0"/>
              <w:right w:val="single" w:color="auto" w:sz="4" w:space="0"/>
            </w:tcBorders>
            <w:noWrap/>
            <w:vAlign w:val="center"/>
          </w:tcPr>
          <w:p w14:paraId="105C89AA">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考核时间</w:t>
            </w:r>
          </w:p>
        </w:tc>
        <w:tc>
          <w:tcPr>
            <w:tcW w:w="1377" w:type="pct"/>
            <w:gridSpan w:val="2"/>
            <w:tcBorders>
              <w:top w:val="single" w:color="auto" w:sz="4" w:space="0"/>
              <w:left w:val="nil"/>
              <w:bottom w:val="single" w:color="auto" w:sz="4" w:space="0"/>
              <w:right w:val="single" w:color="000000" w:sz="4" w:space="0"/>
            </w:tcBorders>
            <w:vAlign w:val="center"/>
          </w:tcPr>
          <w:p w14:paraId="7C948E2B">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411" w:type="pct"/>
            <w:tcBorders>
              <w:top w:val="single" w:color="auto" w:sz="4" w:space="0"/>
              <w:left w:val="nil"/>
              <w:bottom w:val="single" w:color="auto" w:sz="4" w:space="0"/>
              <w:right w:val="single" w:color="auto" w:sz="4" w:space="0"/>
            </w:tcBorders>
            <w:vAlign w:val="center"/>
          </w:tcPr>
          <w:p w14:paraId="34A8B8A8">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w:t>
            </w:r>
          </w:p>
          <w:p w14:paraId="4AB23EB8">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月份</w:t>
            </w:r>
          </w:p>
        </w:tc>
        <w:tc>
          <w:tcPr>
            <w:tcW w:w="2042" w:type="pct"/>
            <w:gridSpan w:val="2"/>
            <w:tcBorders>
              <w:top w:val="single" w:color="auto" w:sz="4" w:space="0"/>
              <w:left w:val="nil"/>
              <w:bottom w:val="single" w:color="auto" w:sz="4" w:space="0"/>
              <w:right w:val="single" w:color="000000" w:sz="4" w:space="0"/>
            </w:tcBorders>
            <w:vAlign w:val="center"/>
          </w:tcPr>
          <w:p w14:paraId="7E9F15E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r>
      <w:tr w14:paraId="681C4660">
        <w:tblPrEx>
          <w:tblCellMar>
            <w:top w:w="0" w:type="dxa"/>
            <w:left w:w="108" w:type="dxa"/>
            <w:bottom w:w="0" w:type="dxa"/>
            <w:right w:w="108" w:type="dxa"/>
          </w:tblCellMar>
        </w:tblPrEx>
        <w:trPr>
          <w:trHeight w:val="300"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44C45E2A">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A.考核评价―减分项评分表</w:t>
            </w:r>
          </w:p>
        </w:tc>
      </w:tr>
      <w:tr w14:paraId="1BA73BDC">
        <w:tblPrEx>
          <w:tblCellMar>
            <w:top w:w="0" w:type="dxa"/>
            <w:left w:w="108" w:type="dxa"/>
            <w:bottom w:w="0" w:type="dxa"/>
            <w:right w:w="108" w:type="dxa"/>
          </w:tblCellMar>
        </w:tblPrEx>
        <w:trPr>
          <w:trHeight w:val="600" w:hRule="atLeast"/>
          <w:jc w:val="center"/>
        </w:trPr>
        <w:tc>
          <w:tcPr>
            <w:tcW w:w="374" w:type="pct"/>
            <w:tcBorders>
              <w:top w:val="nil"/>
              <w:left w:val="single" w:color="auto" w:sz="4" w:space="0"/>
              <w:bottom w:val="single" w:color="auto" w:sz="4" w:space="0"/>
              <w:right w:val="single" w:color="auto" w:sz="4" w:space="0"/>
            </w:tcBorders>
            <w:vAlign w:val="center"/>
          </w:tcPr>
          <w:p w14:paraId="4425536C">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794" w:type="pct"/>
            <w:tcBorders>
              <w:top w:val="nil"/>
              <w:left w:val="nil"/>
              <w:bottom w:val="single" w:color="auto" w:sz="4" w:space="0"/>
              <w:right w:val="single" w:color="auto" w:sz="4" w:space="0"/>
            </w:tcBorders>
            <w:vAlign w:val="center"/>
          </w:tcPr>
          <w:p w14:paraId="1BAD80BB">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考核指标</w:t>
            </w:r>
          </w:p>
        </w:tc>
        <w:tc>
          <w:tcPr>
            <w:tcW w:w="999" w:type="pct"/>
            <w:tcBorders>
              <w:top w:val="nil"/>
              <w:left w:val="nil"/>
              <w:bottom w:val="single" w:color="auto" w:sz="4" w:space="0"/>
              <w:right w:val="single" w:color="auto" w:sz="4" w:space="0"/>
            </w:tcBorders>
            <w:noWrap/>
            <w:vAlign w:val="center"/>
          </w:tcPr>
          <w:p w14:paraId="2B5D73A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考核说明</w:t>
            </w:r>
          </w:p>
        </w:tc>
        <w:tc>
          <w:tcPr>
            <w:tcW w:w="378" w:type="pct"/>
            <w:tcBorders>
              <w:top w:val="nil"/>
              <w:left w:val="nil"/>
              <w:bottom w:val="single" w:color="auto" w:sz="4" w:space="0"/>
              <w:right w:val="single" w:color="auto" w:sz="4" w:space="0"/>
            </w:tcBorders>
            <w:vAlign w:val="center"/>
          </w:tcPr>
          <w:p w14:paraId="615AADAA">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c>
          <w:tcPr>
            <w:tcW w:w="411" w:type="pct"/>
            <w:tcBorders>
              <w:top w:val="nil"/>
              <w:left w:val="nil"/>
              <w:bottom w:val="single" w:color="auto" w:sz="4" w:space="0"/>
              <w:right w:val="single" w:color="auto" w:sz="4" w:space="0"/>
            </w:tcBorders>
            <w:vAlign w:val="center"/>
          </w:tcPr>
          <w:p w14:paraId="0136C495">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得分</w:t>
            </w:r>
          </w:p>
        </w:tc>
        <w:tc>
          <w:tcPr>
            <w:tcW w:w="1680" w:type="pct"/>
            <w:tcBorders>
              <w:top w:val="nil"/>
              <w:left w:val="nil"/>
              <w:bottom w:val="single" w:color="auto" w:sz="4" w:space="0"/>
              <w:right w:val="single" w:color="auto" w:sz="4" w:space="0"/>
            </w:tcBorders>
            <w:vAlign w:val="center"/>
          </w:tcPr>
          <w:p w14:paraId="7CCE796A">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考核方法</w:t>
            </w:r>
          </w:p>
        </w:tc>
        <w:tc>
          <w:tcPr>
            <w:tcW w:w="361" w:type="pct"/>
            <w:tcBorders>
              <w:top w:val="nil"/>
              <w:left w:val="nil"/>
              <w:bottom w:val="single" w:color="auto" w:sz="4" w:space="0"/>
              <w:right w:val="single" w:color="auto" w:sz="4" w:space="0"/>
            </w:tcBorders>
            <w:vAlign w:val="center"/>
          </w:tcPr>
          <w:p w14:paraId="6A92BFBC">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72F38BFB">
        <w:tblPrEx>
          <w:tblCellMar>
            <w:top w:w="0" w:type="dxa"/>
            <w:left w:w="108" w:type="dxa"/>
            <w:bottom w:w="0" w:type="dxa"/>
            <w:right w:w="108" w:type="dxa"/>
          </w:tblCellMar>
        </w:tblPrEx>
        <w:trPr>
          <w:trHeight w:val="432"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22C0490E">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一、运维质量（40分）</w:t>
            </w:r>
          </w:p>
        </w:tc>
      </w:tr>
      <w:tr w14:paraId="529F27DB">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11DF6A05">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94" w:type="pct"/>
            <w:tcBorders>
              <w:top w:val="nil"/>
              <w:left w:val="nil"/>
              <w:bottom w:val="single" w:color="auto" w:sz="4" w:space="0"/>
              <w:right w:val="single" w:color="auto" w:sz="4" w:space="0"/>
            </w:tcBorders>
            <w:vAlign w:val="center"/>
          </w:tcPr>
          <w:p w14:paraId="10CD730D">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日巡检工作执行</w:t>
            </w:r>
          </w:p>
        </w:tc>
        <w:tc>
          <w:tcPr>
            <w:tcW w:w="999" w:type="pct"/>
            <w:tcBorders>
              <w:top w:val="nil"/>
              <w:left w:val="nil"/>
              <w:bottom w:val="single" w:color="auto" w:sz="4" w:space="0"/>
              <w:right w:val="single" w:color="auto" w:sz="4" w:space="0"/>
            </w:tcBorders>
            <w:vAlign w:val="center"/>
          </w:tcPr>
          <w:p w14:paraId="6044427C">
            <w:pPr>
              <w:keepNext w:val="0"/>
              <w:keepLines w:val="0"/>
              <w:pageBreakBefore w:val="0"/>
              <w:kinsoku/>
              <w:wordWrap/>
              <w:overflowPunct/>
              <w:topLinePunct w:val="0"/>
              <w:autoSpaceDE/>
              <w:autoSpaceDN/>
              <w:bidi w:val="0"/>
              <w:adjustRightInd/>
              <w:snapToGrid w:val="0"/>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通过相关巡检日志或记录检查</w:t>
            </w:r>
          </w:p>
        </w:tc>
        <w:tc>
          <w:tcPr>
            <w:tcW w:w="378" w:type="pct"/>
            <w:tcBorders>
              <w:top w:val="nil"/>
              <w:left w:val="nil"/>
              <w:bottom w:val="single" w:color="auto" w:sz="4" w:space="0"/>
              <w:right w:val="single" w:color="auto" w:sz="4" w:space="0"/>
            </w:tcBorders>
            <w:vAlign w:val="center"/>
          </w:tcPr>
          <w:p w14:paraId="2CD2477F">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0C35EEA4">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4CCDA75A">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未按运维服务要求开展</w:t>
            </w:r>
            <w:r>
              <w:rPr>
                <w:rFonts w:hint="eastAsia" w:ascii="宋体" w:hAnsi="宋体" w:eastAsia="宋体" w:cs="宋体"/>
                <w:color w:val="auto"/>
                <w:sz w:val="21"/>
                <w:szCs w:val="21"/>
                <w:highlight w:val="none"/>
                <w:lang w:val="en-GB"/>
              </w:rPr>
              <w:t>每天定时在省平台系统上观测终端设备运行情况不少于</w:t>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GB"/>
              </w:rPr>
              <w:t>次并做好工作记录</w:t>
            </w:r>
            <w:r>
              <w:rPr>
                <w:rFonts w:hint="eastAsia" w:ascii="宋体" w:hAnsi="宋体" w:eastAsia="宋体" w:cs="宋体"/>
                <w:color w:val="auto"/>
                <w:sz w:val="21"/>
                <w:szCs w:val="21"/>
                <w:highlight w:val="none"/>
              </w:rPr>
              <w:t>，错、漏检一项每次扣1分。</w:t>
            </w:r>
          </w:p>
        </w:tc>
        <w:tc>
          <w:tcPr>
            <w:tcW w:w="361" w:type="pct"/>
            <w:vMerge w:val="restart"/>
            <w:tcBorders>
              <w:top w:val="nil"/>
              <w:left w:val="single" w:color="auto" w:sz="4" w:space="0"/>
              <w:bottom w:val="single" w:color="auto" w:sz="4" w:space="0"/>
              <w:right w:val="single" w:color="auto" w:sz="4" w:space="0"/>
            </w:tcBorders>
            <w:vAlign w:val="center"/>
          </w:tcPr>
          <w:p w14:paraId="4F9A86BE">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2F595415">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49CC14A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794" w:type="pct"/>
            <w:tcBorders>
              <w:top w:val="nil"/>
              <w:left w:val="nil"/>
              <w:bottom w:val="single" w:color="auto" w:sz="4" w:space="0"/>
              <w:right w:val="single" w:color="auto" w:sz="4" w:space="0"/>
            </w:tcBorders>
            <w:vAlign w:val="center"/>
          </w:tcPr>
          <w:p w14:paraId="744C996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运维月工作情况</w:t>
            </w:r>
          </w:p>
        </w:tc>
        <w:tc>
          <w:tcPr>
            <w:tcW w:w="999" w:type="pct"/>
            <w:tcBorders>
              <w:top w:val="nil"/>
              <w:left w:val="nil"/>
              <w:bottom w:val="single" w:color="auto" w:sz="4" w:space="0"/>
              <w:right w:val="single" w:color="auto" w:sz="4" w:space="0"/>
            </w:tcBorders>
            <w:vAlign w:val="center"/>
          </w:tcPr>
          <w:p w14:paraId="715B745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根据每月工作情况打分</w:t>
            </w:r>
          </w:p>
        </w:tc>
        <w:tc>
          <w:tcPr>
            <w:tcW w:w="378" w:type="pct"/>
            <w:tcBorders>
              <w:top w:val="nil"/>
              <w:left w:val="nil"/>
              <w:bottom w:val="single" w:color="auto" w:sz="4" w:space="0"/>
              <w:right w:val="single" w:color="auto" w:sz="4" w:space="0"/>
            </w:tcBorders>
            <w:vAlign w:val="center"/>
          </w:tcPr>
          <w:p w14:paraId="18CB741E">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0AF4FAD5">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3BBFF393">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每月28号下班前未按时完成上报本月维护工作情况，每次扣1分。</w:t>
            </w:r>
          </w:p>
        </w:tc>
        <w:tc>
          <w:tcPr>
            <w:tcW w:w="361" w:type="pct"/>
            <w:vMerge w:val="continue"/>
            <w:tcBorders>
              <w:top w:val="nil"/>
              <w:left w:val="single" w:color="auto" w:sz="4" w:space="0"/>
              <w:bottom w:val="single" w:color="auto" w:sz="4" w:space="0"/>
              <w:right w:val="single" w:color="auto" w:sz="4" w:space="0"/>
            </w:tcBorders>
            <w:vAlign w:val="center"/>
          </w:tcPr>
          <w:p w14:paraId="72ED30C4">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336C01F0">
        <w:tblPrEx>
          <w:tblCellMar>
            <w:top w:w="0" w:type="dxa"/>
            <w:left w:w="108" w:type="dxa"/>
            <w:bottom w:w="0" w:type="dxa"/>
            <w:right w:w="108" w:type="dxa"/>
          </w:tblCellMar>
        </w:tblPrEx>
        <w:trPr>
          <w:trHeight w:val="503" w:hRule="atLeast"/>
          <w:jc w:val="center"/>
        </w:trPr>
        <w:tc>
          <w:tcPr>
            <w:tcW w:w="374" w:type="pct"/>
            <w:tcBorders>
              <w:top w:val="nil"/>
              <w:left w:val="single" w:color="auto" w:sz="4" w:space="0"/>
              <w:bottom w:val="single" w:color="auto" w:sz="4" w:space="0"/>
              <w:right w:val="single" w:color="auto" w:sz="4" w:space="0"/>
            </w:tcBorders>
            <w:vAlign w:val="center"/>
          </w:tcPr>
          <w:p w14:paraId="64689EA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794" w:type="pct"/>
            <w:tcBorders>
              <w:top w:val="nil"/>
              <w:left w:val="single" w:color="auto" w:sz="4" w:space="0"/>
              <w:bottom w:val="single" w:color="auto" w:sz="4" w:space="0"/>
              <w:right w:val="single" w:color="auto" w:sz="4" w:space="0"/>
            </w:tcBorders>
            <w:vAlign w:val="center"/>
          </w:tcPr>
          <w:p w14:paraId="446C3FFB">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运维事件响应</w:t>
            </w:r>
          </w:p>
        </w:tc>
        <w:tc>
          <w:tcPr>
            <w:tcW w:w="999" w:type="pct"/>
            <w:tcBorders>
              <w:top w:val="nil"/>
              <w:left w:val="single" w:color="auto" w:sz="4" w:space="0"/>
              <w:bottom w:val="single" w:color="auto" w:sz="4" w:space="0"/>
              <w:right w:val="single" w:color="auto" w:sz="4" w:space="0"/>
            </w:tcBorders>
            <w:vAlign w:val="center"/>
          </w:tcPr>
          <w:p w14:paraId="6241776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检查事件处理报告及有关电话记录</w:t>
            </w:r>
          </w:p>
        </w:tc>
        <w:tc>
          <w:tcPr>
            <w:tcW w:w="378" w:type="pct"/>
            <w:tcBorders>
              <w:top w:val="nil"/>
              <w:left w:val="single" w:color="auto" w:sz="4" w:space="0"/>
              <w:bottom w:val="single" w:color="auto" w:sz="4" w:space="0"/>
              <w:right w:val="single" w:color="auto" w:sz="4" w:space="0"/>
            </w:tcBorders>
            <w:vAlign w:val="center"/>
          </w:tcPr>
          <w:p w14:paraId="0830883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single" w:color="auto" w:sz="4" w:space="0"/>
              <w:bottom w:val="single" w:color="auto" w:sz="4" w:space="0"/>
              <w:right w:val="single" w:color="auto" w:sz="4" w:space="0"/>
            </w:tcBorders>
            <w:vAlign w:val="center"/>
          </w:tcPr>
          <w:p w14:paraId="4741CBE4">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1E2F2936">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外场业务感知终端维护工作需符合招标文件所规定的技术标准，保障终端处于正常的技术状态。自接报障或发现故障，24小时内未到达现场处置的，每次扣0.5分。</w:t>
            </w:r>
          </w:p>
        </w:tc>
        <w:tc>
          <w:tcPr>
            <w:tcW w:w="361" w:type="pct"/>
            <w:vMerge w:val="continue"/>
            <w:tcBorders>
              <w:top w:val="nil"/>
              <w:left w:val="single" w:color="auto" w:sz="4" w:space="0"/>
              <w:bottom w:val="single" w:color="auto" w:sz="4" w:space="0"/>
              <w:right w:val="single" w:color="auto" w:sz="4" w:space="0"/>
            </w:tcBorders>
            <w:vAlign w:val="center"/>
          </w:tcPr>
          <w:p w14:paraId="59F05AAD">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24184674">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088B47AE">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794" w:type="pct"/>
            <w:tcBorders>
              <w:top w:val="nil"/>
              <w:left w:val="nil"/>
              <w:bottom w:val="single" w:color="auto" w:sz="4" w:space="0"/>
              <w:right w:val="single" w:color="auto" w:sz="4" w:space="0"/>
            </w:tcBorders>
            <w:vAlign w:val="center"/>
          </w:tcPr>
          <w:p w14:paraId="6C2F75E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运维报告的撰写和提交</w:t>
            </w:r>
          </w:p>
        </w:tc>
        <w:tc>
          <w:tcPr>
            <w:tcW w:w="999" w:type="pct"/>
            <w:tcBorders>
              <w:top w:val="nil"/>
              <w:left w:val="nil"/>
              <w:bottom w:val="single" w:color="auto" w:sz="4" w:space="0"/>
              <w:right w:val="single" w:color="auto" w:sz="4" w:space="0"/>
            </w:tcBorders>
            <w:vAlign w:val="center"/>
          </w:tcPr>
          <w:p w14:paraId="16F1F53D">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检查纸质版归档资料等</w:t>
            </w:r>
          </w:p>
        </w:tc>
        <w:tc>
          <w:tcPr>
            <w:tcW w:w="378" w:type="pct"/>
            <w:tcBorders>
              <w:top w:val="nil"/>
              <w:left w:val="nil"/>
              <w:bottom w:val="single" w:color="auto" w:sz="4" w:space="0"/>
              <w:right w:val="single" w:color="auto" w:sz="4" w:space="0"/>
            </w:tcBorders>
            <w:vAlign w:val="center"/>
          </w:tcPr>
          <w:p w14:paraId="477C797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5627DB55">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5B94F53D">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日常运维报告（含设备档案资料更新）检查中发现不完整，缺项，漏项，或未更新相关检查内容的，每次扣1分。</w:t>
            </w:r>
          </w:p>
        </w:tc>
        <w:tc>
          <w:tcPr>
            <w:tcW w:w="361" w:type="pct"/>
            <w:tcBorders>
              <w:top w:val="nil"/>
              <w:left w:val="nil"/>
              <w:bottom w:val="single" w:color="auto" w:sz="4" w:space="0"/>
              <w:right w:val="single" w:color="auto" w:sz="4" w:space="0"/>
            </w:tcBorders>
            <w:vAlign w:val="center"/>
          </w:tcPr>
          <w:p w14:paraId="3340DE38">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6CC0758F">
        <w:tblPrEx>
          <w:tblCellMar>
            <w:top w:w="0" w:type="dxa"/>
            <w:left w:w="108" w:type="dxa"/>
            <w:bottom w:w="0" w:type="dxa"/>
            <w:right w:w="108" w:type="dxa"/>
          </w:tblCellMar>
        </w:tblPrEx>
        <w:trPr>
          <w:trHeight w:val="462"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3D2D05EA">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二、运维服务（45分）</w:t>
            </w:r>
          </w:p>
        </w:tc>
      </w:tr>
      <w:tr w14:paraId="1CC96D15">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57262A9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94" w:type="pct"/>
            <w:tcBorders>
              <w:top w:val="nil"/>
              <w:left w:val="nil"/>
              <w:bottom w:val="single" w:color="auto" w:sz="4" w:space="0"/>
              <w:right w:val="single" w:color="auto" w:sz="4" w:space="0"/>
            </w:tcBorders>
            <w:vAlign w:val="center"/>
          </w:tcPr>
          <w:p w14:paraId="2E9608F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沟通机制及流程遵循</w:t>
            </w:r>
          </w:p>
        </w:tc>
        <w:tc>
          <w:tcPr>
            <w:tcW w:w="999" w:type="pct"/>
            <w:tcBorders>
              <w:top w:val="nil"/>
              <w:left w:val="nil"/>
              <w:bottom w:val="single" w:color="auto" w:sz="4" w:space="0"/>
              <w:right w:val="single" w:color="auto" w:sz="4" w:space="0"/>
            </w:tcBorders>
            <w:vAlign w:val="center"/>
          </w:tcPr>
          <w:p w14:paraId="220375A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服务人员日常沟通机制的及时性及流程遵循情况</w:t>
            </w:r>
          </w:p>
        </w:tc>
        <w:tc>
          <w:tcPr>
            <w:tcW w:w="378" w:type="pct"/>
            <w:tcBorders>
              <w:top w:val="nil"/>
              <w:left w:val="nil"/>
              <w:bottom w:val="single" w:color="auto" w:sz="4" w:space="0"/>
              <w:right w:val="single" w:color="auto" w:sz="4" w:space="0"/>
            </w:tcBorders>
            <w:vAlign w:val="center"/>
          </w:tcPr>
          <w:p w14:paraId="63C59EA1">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11" w:type="pct"/>
            <w:tcBorders>
              <w:top w:val="nil"/>
              <w:left w:val="nil"/>
              <w:bottom w:val="single" w:color="auto" w:sz="4" w:space="0"/>
              <w:right w:val="single" w:color="auto" w:sz="4" w:space="0"/>
            </w:tcBorders>
            <w:vAlign w:val="center"/>
          </w:tcPr>
          <w:p w14:paraId="425B792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4AE63988">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服务人员是否遵守采购人的服务规范、项目实施规范、现场管理规范、施工管理规范、重大操作流程规范等，未及时汇报或隐瞒重要风险点的，每发现一次扣1分。</w:t>
            </w:r>
          </w:p>
        </w:tc>
        <w:tc>
          <w:tcPr>
            <w:tcW w:w="361" w:type="pct"/>
            <w:tcBorders>
              <w:top w:val="nil"/>
              <w:left w:val="nil"/>
              <w:bottom w:val="single" w:color="auto" w:sz="4" w:space="0"/>
              <w:right w:val="single" w:color="auto" w:sz="4" w:space="0"/>
            </w:tcBorders>
            <w:vAlign w:val="center"/>
          </w:tcPr>
          <w:p w14:paraId="5A71A15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r>
      <w:tr w14:paraId="0C3D4B0C">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2B24D826">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794" w:type="pct"/>
            <w:tcBorders>
              <w:top w:val="nil"/>
              <w:left w:val="nil"/>
              <w:bottom w:val="single" w:color="auto" w:sz="4" w:space="0"/>
              <w:right w:val="single" w:color="auto" w:sz="4" w:space="0"/>
            </w:tcBorders>
            <w:vAlign w:val="center"/>
          </w:tcPr>
          <w:p w14:paraId="5F6F8A2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服务态度</w:t>
            </w:r>
          </w:p>
        </w:tc>
        <w:tc>
          <w:tcPr>
            <w:tcW w:w="999" w:type="pct"/>
            <w:tcBorders>
              <w:top w:val="nil"/>
              <w:left w:val="nil"/>
              <w:bottom w:val="single" w:color="auto" w:sz="4" w:space="0"/>
              <w:right w:val="single" w:color="auto" w:sz="4" w:space="0"/>
            </w:tcBorders>
            <w:vAlign w:val="center"/>
          </w:tcPr>
          <w:p w14:paraId="6C2B839E">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以投诉的事实为考核依据</w:t>
            </w:r>
          </w:p>
        </w:tc>
        <w:tc>
          <w:tcPr>
            <w:tcW w:w="378" w:type="pct"/>
            <w:tcBorders>
              <w:top w:val="nil"/>
              <w:left w:val="nil"/>
              <w:bottom w:val="single" w:color="auto" w:sz="4" w:space="0"/>
              <w:right w:val="single" w:color="auto" w:sz="4" w:space="0"/>
            </w:tcBorders>
            <w:vAlign w:val="center"/>
          </w:tcPr>
          <w:p w14:paraId="51A92B0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6447FE0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5E244300">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未能及时完成交办任务，影响有关工作开展的，未按时提交运维报告，服务人员的服务态度恶劣的，每次扣2分，连续两次以上，除扣分外，可要求服务方更换服务人员。</w:t>
            </w:r>
          </w:p>
        </w:tc>
        <w:tc>
          <w:tcPr>
            <w:tcW w:w="361" w:type="pct"/>
            <w:tcBorders>
              <w:top w:val="nil"/>
              <w:left w:val="nil"/>
              <w:bottom w:val="single" w:color="auto" w:sz="4" w:space="0"/>
              <w:right w:val="single" w:color="auto" w:sz="4" w:space="0"/>
            </w:tcBorders>
            <w:vAlign w:val="center"/>
          </w:tcPr>
          <w:p w14:paraId="102FDB2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r>
      <w:tr w14:paraId="3051A1C0">
        <w:tblPrEx>
          <w:tblCellMar>
            <w:top w:w="0" w:type="dxa"/>
            <w:left w:w="108" w:type="dxa"/>
            <w:bottom w:w="0" w:type="dxa"/>
            <w:right w:w="108" w:type="dxa"/>
          </w:tblCellMar>
        </w:tblPrEx>
        <w:trPr>
          <w:trHeight w:val="90" w:hRule="atLeast"/>
          <w:jc w:val="center"/>
        </w:trPr>
        <w:tc>
          <w:tcPr>
            <w:tcW w:w="374" w:type="pct"/>
            <w:tcBorders>
              <w:top w:val="nil"/>
              <w:left w:val="single" w:color="auto" w:sz="4" w:space="0"/>
              <w:bottom w:val="single" w:color="auto" w:sz="4" w:space="0"/>
              <w:right w:val="single" w:color="auto" w:sz="4" w:space="0"/>
            </w:tcBorders>
            <w:vAlign w:val="center"/>
          </w:tcPr>
          <w:p w14:paraId="47E37A86">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794" w:type="pct"/>
            <w:tcBorders>
              <w:top w:val="nil"/>
              <w:left w:val="nil"/>
              <w:bottom w:val="single" w:color="auto" w:sz="4" w:space="0"/>
              <w:right w:val="single" w:color="auto" w:sz="4" w:space="0"/>
            </w:tcBorders>
            <w:vAlign w:val="center"/>
          </w:tcPr>
          <w:p w14:paraId="483CFD9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安全生产保障</w:t>
            </w:r>
          </w:p>
        </w:tc>
        <w:tc>
          <w:tcPr>
            <w:tcW w:w="999" w:type="pct"/>
            <w:tcBorders>
              <w:top w:val="nil"/>
              <w:left w:val="nil"/>
              <w:bottom w:val="single" w:color="auto" w:sz="4" w:space="0"/>
              <w:right w:val="single" w:color="auto" w:sz="4" w:space="0"/>
            </w:tcBorders>
            <w:vAlign w:val="center"/>
          </w:tcPr>
          <w:p w14:paraId="2FD09C11">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378" w:type="pct"/>
            <w:tcBorders>
              <w:top w:val="nil"/>
              <w:left w:val="nil"/>
              <w:bottom w:val="single" w:color="auto" w:sz="4" w:space="0"/>
              <w:right w:val="single" w:color="auto" w:sz="4" w:space="0"/>
            </w:tcBorders>
            <w:vAlign w:val="center"/>
          </w:tcPr>
          <w:p w14:paraId="20AF514F">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411" w:type="pct"/>
            <w:tcBorders>
              <w:top w:val="nil"/>
              <w:left w:val="nil"/>
              <w:bottom w:val="single" w:color="auto" w:sz="4" w:space="0"/>
              <w:right w:val="single" w:color="auto" w:sz="4" w:space="0"/>
            </w:tcBorders>
            <w:vAlign w:val="center"/>
          </w:tcPr>
          <w:p w14:paraId="3F8E97B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2DEED4E8">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现场运维作业发生安全生产事故的每次扣15分。</w:t>
            </w:r>
          </w:p>
        </w:tc>
        <w:tc>
          <w:tcPr>
            <w:tcW w:w="361" w:type="pct"/>
            <w:tcBorders>
              <w:top w:val="nil"/>
              <w:left w:val="nil"/>
              <w:bottom w:val="single" w:color="auto" w:sz="4" w:space="0"/>
              <w:right w:val="single" w:color="auto" w:sz="4" w:space="0"/>
            </w:tcBorders>
            <w:vAlign w:val="center"/>
          </w:tcPr>
          <w:p w14:paraId="14EFABDA">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289D3A2C">
        <w:tblPrEx>
          <w:tblCellMar>
            <w:top w:w="0" w:type="dxa"/>
            <w:left w:w="108" w:type="dxa"/>
            <w:bottom w:w="0" w:type="dxa"/>
            <w:right w:w="108" w:type="dxa"/>
          </w:tblCellMar>
        </w:tblPrEx>
        <w:trPr>
          <w:trHeight w:val="360" w:hRule="atLeast"/>
          <w:jc w:val="center"/>
        </w:trPr>
        <w:tc>
          <w:tcPr>
            <w:tcW w:w="374" w:type="pct"/>
            <w:tcBorders>
              <w:top w:val="nil"/>
              <w:left w:val="single" w:color="auto" w:sz="4" w:space="0"/>
              <w:bottom w:val="single" w:color="auto" w:sz="4" w:space="0"/>
              <w:right w:val="single" w:color="auto" w:sz="4" w:space="0"/>
            </w:tcBorders>
            <w:vAlign w:val="center"/>
          </w:tcPr>
          <w:p w14:paraId="09D10323">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794" w:type="pct"/>
            <w:tcBorders>
              <w:top w:val="nil"/>
              <w:left w:val="nil"/>
              <w:bottom w:val="single" w:color="auto" w:sz="4" w:space="0"/>
              <w:right w:val="single" w:color="auto" w:sz="4" w:space="0"/>
            </w:tcBorders>
            <w:vAlign w:val="center"/>
          </w:tcPr>
          <w:p w14:paraId="2987FDA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人为失误</w:t>
            </w:r>
          </w:p>
        </w:tc>
        <w:tc>
          <w:tcPr>
            <w:tcW w:w="999" w:type="pct"/>
            <w:tcBorders>
              <w:top w:val="nil"/>
              <w:left w:val="nil"/>
              <w:bottom w:val="single" w:color="auto" w:sz="4" w:space="0"/>
              <w:right w:val="single" w:color="auto" w:sz="4" w:space="0"/>
            </w:tcBorders>
            <w:vAlign w:val="center"/>
          </w:tcPr>
          <w:p w14:paraId="6255DE08">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378" w:type="pct"/>
            <w:tcBorders>
              <w:top w:val="nil"/>
              <w:left w:val="nil"/>
              <w:bottom w:val="single" w:color="auto" w:sz="4" w:space="0"/>
              <w:right w:val="single" w:color="auto" w:sz="4" w:space="0"/>
            </w:tcBorders>
            <w:vAlign w:val="center"/>
          </w:tcPr>
          <w:p w14:paraId="4B90E7EB">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411" w:type="pct"/>
            <w:tcBorders>
              <w:top w:val="nil"/>
              <w:left w:val="nil"/>
              <w:bottom w:val="single" w:color="auto" w:sz="4" w:space="0"/>
              <w:right w:val="single" w:color="auto" w:sz="4" w:space="0"/>
            </w:tcBorders>
            <w:vAlign w:val="center"/>
          </w:tcPr>
          <w:p w14:paraId="7006877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2E73DAEE">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由于服务人员操作失误，导致设备无法正常运行影响运维服务的，每次扣2—5分。</w:t>
            </w:r>
          </w:p>
        </w:tc>
        <w:tc>
          <w:tcPr>
            <w:tcW w:w="361" w:type="pct"/>
            <w:tcBorders>
              <w:top w:val="nil"/>
              <w:left w:val="nil"/>
              <w:bottom w:val="single" w:color="auto" w:sz="4" w:space="0"/>
              <w:right w:val="single" w:color="auto" w:sz="4" w:space="0"/>
            </w:tcBorders>
            <w:vAlign w:val="center"/>
          </w:tcPr>
          <w:p w14:paraId="7EA3E621">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59FF6334">
        <w:tblPrEx>
          <w:tblCellMar>
            <w:top w:w="0" w:type="dxa"/>
            <w:left w:w="108" w:type="dxa"/>
            <w:bottom w:w="0" w:type="dxa"/>
            <w:right w:w="108" w:type="dxa"/>
          </w:tblCellMar>
        </w:tblPrEx>
        <w:trPr>
          <w:trHeight w:val="405" w:hRule="atLeast"/>
          <w:jc w:val="center"/>
        </w:trPr>
        <w:tc>
          <w:tcPr>
            <w:tcW w:w="374" w:type="pct"/>
            <w:tcBorders>
              <w:top w:val="nil"/>
              <w:left w:val="single" w:color="auto" w:sz="4" w:space="0"/>
              <w:bottom w:val="single" w:color="auto" w:sz="4" w:space="0"/>
              <w:right w:val="single" w:color="auto" w:sz="4" w:space="0"/>
            </w:tcBorders>
            <w:vAlign w:val="center"/>
          </w:tcPr>
          <w:p w14:paraId="3DD6B7F7">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794" w:type="pct"/>
            <w:tcBorders>
              <w:top w:val="nil"/>
              <w:left w:val="nil"/>
              <w:bottom w:val="single" w:color="auto" w:sz="4" w:space="0"/>
              <w:right w:val="single" w:color="auto" w:sz="4" w:space="0"/>
            </w:tcBorders>
            <w:vAlign w:val="center"/>
          </w:tcPr>
          <w:p w14:paraId="7642EDC7">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人员保障</w:t>
            </w:r>
          </w:p>
        </w:tc>
        <w:tc>
          <w:tcPr>
            <w:tcW w:w="999" w:type="pct"/>
            <w:tcBorders>
              <w:top w:val="nil"/>
              <w:left w:val="nil"/>
              <w:bottom w:val="single" w:color="auto" w:sz="4" w:space="0"/>
              <w:right w:val="single" w:color="auto" w:sz="4" w:space="0"/>
            </w:tcBorders>
            <w:vAlign w:val="center"/>
          </w:tcPr>
          <w:p w14:paraId="7F1E9097">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服务人员稳定性</w:t>
            </w:r>
          </w:p>
        </w:tc>
        <w:tc>
          <w:tcPr>
            <w:tcW w:w="378" w:type="pct"/>
            <w:tcBorders>
              <w:top w:val="nil"/>
              <w:left w:val="nil"/>
              <w:bottom w:val="single" w:color="auto" w:sz="4" w:space="0"/>
              <w:right w:val="single" w:color="auto" w:sz="4" w:space="0"/>
            </w:tcBorders>
            <w:vAlign w:val="center"/>
          </w:tcPr>
          <w:p w14:paraId="06D38955">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11" w:type="pct"/>
            <w:tcBorders>
              <w:top w:val="nil"/>
              <w:left w:val="nil"/>
              <w:bottom w:val="single" w:color="auto" w:sz="4" w:space="0"/>
              <w:right w:val="single" w:color="auto" w:sz="4" w:space="0"/>
            </w:tcBorders>
            <w:vAlign w:val="center"/>
          </w:tcPr>
          <w:p w14:paraId="5B28A3D7">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23E47883">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服务人员在合同期内，除甲方主动要求更换服务人员外，中标人每更换1人扣1分。</w:t>
            </w:r>
          </w:p>
        </w:tc>
        <w:tc>
          <w:tcPr>
            <w:tcW w:w="361" w:type="pct"/>
            <w:tcBorders>
              <w:top w:val="nil"/>
              <w:left w:val="nil"/>
              <w:bottom w:val="single" w:color="auto" w:sz="4" w:space="0"/>
              <w:right w:val="single" w:color="auto" w:sz="4" w:space="0"/>
            </w:tcBorders>
            <w:vAlign w:val="center"/>
          </w:tcPr>
          <w:p w14:paraId="33B896BD">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6DD61BD9">
        <w:tblPrEx>
          <w:tblCellMar>
            <w:top w:w="0" w:type="dxa"/>
            <w:left w:w="108" w:type="dxa"/>
            <w:bottom w:w="0" w:type="dxa"/>
            <w:right w:w="108" w:type="dxa"/>
          </w:tblCellMar>
        </w:tblPrEx>
        <w:trPr>
          <w:trHeight w:val="485"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7434E2C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三、信息安全保密工作（15分）</w:t>
            </w:r>
          </w:p>
        </w:tc>
      </w:tr>
      <w:tr w14:paraId="05EAD2C8">
        <w:tblPrEx>
          <w:tblCellMar>
            <w:top w:w="0" w:type="dxa"/>
            <w:left w:w="108" w:type="dxa"/>
            <w:bottom w:w="0" w:type="dxa"/>
            <w:right w:w="108" w:type="dxa"/>
          </w:tblCellMar>
        </w:tblPrEx>
        <w:trPr>
          <w:trHeight w:val="1635" w:hRule="atLeast"/>
          <w:jc w:val="center"/>
        </w:trPr>
        <w:tc>
          <w:tcPr>
            <w:tcW w:w="374" w:type="pct"/>
            <w:vMerge w:val="restart"/>
            <w:tcBorders>
              <w:top w:val="nil"/>
              <w:left w:val="single" w:color="auto" w:sz="4" w:space="0"/>
              <w:bottom w:val="single" w:color="auto" w:sz="4" w:space="0"/>
              <w:right w:val="single" w:color="auto" w:sz="4" w:space="0"/>
            </w:tcBorders>
            <w:vAlign w:val="center"/>
          </w:tcPr>
          <w:p w14:paraId="3B471F63">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794" w:type="pct"/>
            <w:vMerge w:val="restart"/>
            <w:tcBorders>
              <w:top w:val="nil"/>
              <w:left w:val="single" w:color="auto" w:sz="4" w:space="0"/>
              <w:bottom w:val="single" w:color="auto" w:sz="4" w:space="0"/>
              <w:right w:val="single" w:color="auto" w:sz="4" w:space="0"/>
            </w:tcBorders>
            <w:vAlign w:val="center"/>
          </w:tcPr>
          <w:p w14:paraId="566653F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信息安全保密工作</w:t>
            </w:r>
          </w:p>
        </w:tc>
        <w:tc>
          <w:tcPr>
            <w:tcW w:w="999" w:type="pct"/>
            <w:vMerge w:val="restart"/>
            <w:tcBorders>
              <w:top w:val="nil"/>
              <w:left w:val="single" w:color="auto" w:sz="4" w:space="0"/>
              <w:bottom w:val="single" w:color="auto" w:sz="4" w:space="0"/>
              <w:right w:val="single" w:color="auto" w:sz="4" w:space="0"/>
            </w:tcBorders>
            <w:vAlign w:val="center"/>
          </w:tcPr>
          <w:p w14:paraId="66BF59C6">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服务人员应有保密意识，不得泄露项目相关任何涉密信息或文件</w:t>
            </w:r>
          </w:p>
        </w:tc>
        <w:tc>
          <w:tcPr>
            <w:tcW w:w="378" w:type="pct"/>
            <w:vMerge w:val="restart"/>
            <w:tcBorders>
              <w:top w:val="nil"/>
              <w:left w:val="single" w:color="auto" w:sz="4" w:space="0"/>
              <w:bottom w:val="single" w:color="auto" w:sz="4" w:space="0"/>
              <w:right w:val="single" w:color="auto" w:sz="4" w:space="0"/>
            </w:tcBorders>
            <w:vAlign w:val="center"/>
          </w:tcPr>
          <w:p w14:paraId="0C025EA7">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411" w:type="pct"/>
            <w:vMerge w:val="restart"/>
            <w:tcBorders>
              <w:top w:val="nil"/>
              <w:left w:val="single" w:color="auto" w:sz="4" w:space="0"/>
              <w:bottom w:val="single" w:color="auto" w:sz="4" w:space="0"/>
              <w:right w:val="single" w:color="auto" w:sz="4" w:space="0"/>
            </w:tcBorders>
            <w:vAlign w:val="center"/>
          </w:tcPr>
          <w:p w14:paraId="5460CDC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67F29581">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服务人员未按规定签保密协议的，每人扣1分。服务人员未及时清理U盘或互联网电脑中存在可能会泄密的资料和数据的，每次扣1分。泄露任何信息或文件涉密情况的，每次扣5分。</w:t>
            </w:r>
          </w:p>
        </w:tc>
        <w:tc>
          <w:tcPr>
            <w:tcW w:w="361" w:type="pct"/>
            <w:vMerge w:val="restart"/>
            <w:tcBorders>
              <w:top w:val="nil"/>
              <w:left w:val="single" w:color="auto" w:sz="4" w:space="0"/>
              <w:bottom w:val="single" w:color="auto" w:sz="4" w:space="0"/>
              <w:right w:val="single" w:color="auto" w:sz="4" w:space="0"/>
            </w:tcBorders>
            <w:vAlign w:val="center"/>
          </w:tcPr>
          <w:p w14:paraId="5CE43DA6">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2192723B">
        <w:tblPrEx>
          <w:tblCellMar>
            <w:top w:w="0" w:type="dxa"/>
            <w:left w:w="108" w:type="dxa"/>
            <w:bottom w:w="0" w:type="dxa"/>
            <w:right w:w="108" w:type="dxa"/>
          </w:tblCellMar>
        </w:tblPrEx>
        <w:trPr>
          <w:trHeight w:val="825" w:hRule="atLeast"/>
          <w:jc w:val="center"/>
        </w:trPr>
        <w:tc>
          <w:tcPr>
            <w:tcW w:w="374" w:type="pct"/>
            <w:vMerge w:val="continue"/>
            <w:tcBorders>
              <w:top w:val="nil"/>
              <w:left w:val="single" w:color="auto" w:sz="4" w:space="0"/>
              <w:bottom w:val="single" w:color="auto" w:sz="4" w:space="0"/>
              <w:right w:val="single" w:color="auto" w:sz="4" w:space="0"/>
            </w:tcBorders>
            <w:vAlign w:val="center"/>
          </w:tcPr>
          <w:p w14:paraId="30635FE6">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794" w:type="pct"/>
            <w:vMerge w:val="continue"/>
            <w:tcBorders>
              <w:top w:val="nil"/>
              <w:left w:val="single" w:color="auto" w:sz="4" w:space="0"/>
              <w:bottom w:val="single" w:color="auto" w:sz="4" w:space="0"/>
              <w:right w:val="single" w:color="auto" w:sz="4" w:space="0"/>
            </w:tcBorders>
            <w:vAlign w:val="center"/>
          </w:tcPr>
          <w:p w14:paraId="3ADA448F">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999" w:type="pct"/>
            <w:vMerge w:val="continue"/>
            <w:tcBorders>
              <w:top w:val="nil"/>
              <w:left w:val="single" w:color="auto" w:sz="4" w:space="0"/>
              <w:bottom w:val="single" w:color="auto" w:sz="4" w:space="0"/>
              <w:right w:val="single" w:color="auto" w:sz="4" w:space="0"/>
            </w:tcBorders>
            <w:vAlign w:val="center"/>
          </w:tcPr>
          <w:p w14:paraId="263365F7">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378" w:type="pct"/>
            <w:vMerge w:val="continue"/>
            <w:tcBorders>
              <w:top w:val="nil"/>
              <w:left w:val="single" w:color="auto" w:sz="4" w:space="0"/>
              <w:bottom w:val="single" w:color="auto" w:sz="4" w:space="0"/>
              <w:right w:val="single" w:color="auto" w:sz="4" w:space="0"/>
            </w:tcBorders>
            <w:vAlign w:val="center"/>
          </w:tcPr>
          <w:p w14:paraId="0B1CAACC">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411" w:type="pct"/>
            <w:vMerge w:val="continue"/>
            <w:tcBorders>
              <w:top w:val="nil"/>
              <w:left w:val="single" w:color="auto" w:sz="4" w:space="0"/>
              <w:bottom w:val="single" w:color="auto" w:sz="4" w:space="0"/>
              <w:right w:val="single" w:color="auto" w:sz="4" w:space="0"/>
            </w:tcBorders>
            <w:vAlign w:val="center"/>
          </w:tcPr>
          <w:p w14:paraId="309CE42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318CF055">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如果因中标人人为原因造成所维护范围内的重要敏感数据外泄，不限于本项扣分上限，直接扣除合同金额的10%违约金。</w:t>
            </w:r>
          </w:p>
        </w:tc>
        <w:tc>
          <w:tcPr>
            <w:tcW w:w="361" w:type="pct"/>
            <w:vMerge w:val="continue"/>
            <w:tcBorders>
              <w:top w:val="nil"/>
              <w:left w:val="single" w:color="auto" w:sz="4" w:space="0"/>
              <w:bottom w:val="single" w:color="auto" w:sz="4" w:space="0"/>
              <w:right w:val="single" w:color="auto" w:sz="4" w:space="0"/>
            </w:tcBorders>
            <w:vAlign w:val="center"/>
          </w:tcPr>
          <w:p w14:paraId="31800D7C">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32B4038D">
        <w:tblPrEx>
          <w:tblCellMar>
            <w:top w:w="0" w:type="dxa"/>
            <w:left w:w="108" w:type="dxa"/>
            <w:bottom w:w="0" w:type="dxa"/>
            <w:right w:w="108" w:type="dxa"/>
          </w:tblCellMar>
        </w:tblPrEx>
        <w:trPr>
          <w:trHeight w:val="280" w:hRule="atLeast"/>
          <w:jc w:val="center"/>
        </w:trPr>
        <w:tc>
          <w:tcPr>
            <w:tcW w:w="2167" w:type="pct"/>
            <w:gridSpan w:val="3"/>
            <w:tcBorders>
              <w:top w:val="single" w:color="auto" w:sz="4" w:space="0"/>
              <w:left w:val="single" w:color="auto" w:sz="4" w:space="0"/>
              <w:bottom w:val="single" w:color="auto" w:sz="4" w:space="0"/>
              <w:right w:val="single" w:color="auto" w:sz="4" w:space="0"/>
            </w:tcBorders>
            <w:noWrap/>
            <w:vAlign w:val="center"/>
          </w:tcPr>
          <w:p w14:paraId="7AA236F3">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378" w:type="pct"/>
            <w:tcBorders>
              <w:top w:val="nil"/>
              <w:left w:val="nil"/>
              <w:bottom w:val="single" w:color="auto" w:sz="4" w:space="0"/>
              <w:right w:val="single" w:color="auto" w:sz="4" w:space="0"/>
            </w:tcBorders>
            <w:vAlign w:val="center"/>
          </w:tcPr>
          <w:p w14:paraId="0DB1717F">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w:t>
            </w:r>
          </w:p>
        </w:tc>
        <w:tc>
          <w:tcPr>
            <w:tcW w:w="411" w:type="pct"/>
            <w:tcBorders>
              <w:top w:val="nil"/>
              <w:left w:val="nil"/>
              <w:bottom w:val="single" w:color="auto" w:sz="4" w:space="0"/>
              <w:right w:val="single" w:color="auto" w:sz="4" w:space="0"/>
            </w:tcBorders>
            <w:vAlign w:val="center"/>
          </w:tcPr>
          <w:p w14:paraId="37F82606">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1680" w:type="pct"/>
            <w:tcBorders>
              <w:top w:val="nil"/>
              <w:left w:val="nil"/>
              <w:bottom w:val="single" w:color="auto" w:sz="4" w:space="0"/>
              <w:right w:val="single" w:color="auto" w:sz="4" w:space="0"/>
            </w:tcBorders>
            <w:vAlign w:val="center"/>
          </w:tcPr>
          <w:p w14:paraId="63885002">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p>
        </w:tc>
        <w:tc>
          <w:tcPr>
            <w:tcW w:w="361" w:type="pct"/>
            <w:tcBorders>
              <w:top w:val="nil"/>
              <w:left w:val="nil"/>
              <w:bottom w:val="single" w:color="auto" w:sz="4" w:space="0"/>
              <w:right w:val="single" w:color="auto" w:sz="4" w:space="0"/>
            </w:tcBorders>
            <w:vAlign w:val="center"/>
          </w:tcPr>
          <w:p w14:paraId="767A28F9">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6D0A107C">
        <w:tblPrEx>
          <w:tblCellMar>
            <w:top w:w="0" w:type="dxa"/>
            <w:left w:w="108" w:type="dxa"/>
            <w:bottom w:w="0" w:type="dxa"/>
            <w:right w:w="108" w:type="dxa"/>
          </w:tblCellMar>
        </w:tblPrEx>
        <w:trPr>
          <w:trHeight w:val="410" w:hRule="atLeast"/>
          <w:jc w:val="center"/>
        </w:trPr>
        <w:tc>
          <w:tcPr>
            <w:tcW w:w="2546" w:type="pct"/>
            <w:gridSpan w:val="4"/>
            <w:tcBorders>
              <w:top w:val="single" w:color="auto" w:sz="4" w:space="0"/>
              <w:left w:val="single" w:color="auto" w:sz="4" w:space="0"/>
              <w:bottom w:val="single" w:color="auto" w:sz="4" w:space="0"/>
              <w:right w:val="single" w:color="auto" w:sz="4" w:space="0"/>
            </w:tcBorders>
            <w:noWrap/>
            <w:vAlign w:val="center"/>
          </w:tcPr>
          <w:p w14:paraId="399D3BFD">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考核总分：</w:t>
            </w:r>
          </w:p>
        </w:tc>
        <w:tc>
          <w:tcPr>
            <w:tcW w:w="2453" w:type="pct"/>
            <w:gridSpan w:val="3"/>
            <w:tcBorders>
              <w:top w:val="single" w:color="auto" w:sz="4" w:space="0"/>
              <w:left w:val="nil"/>
              <w:bottom w:val="single" w:color="auto" w:sz="4" w:space="0"/>
              <w:right w:val="single" w:color="auto" w:sz="4" w:space="0"/>
            </w:tcBorders>
            <w:vAlign w:val="center"/>
          </w:tcPr>
          <w:p w14:paraId="28434CD3">
            <w:pPr>
              <w:keepNext w:val="0"/>
              <w:keepLines w:val="0"/>
              <w:pageBreakBefore w:val="0"/>
              <w:kinsoku/>
              <w:wordWrap/>
              <w:overflowPunct/>
              <w:topLinePunct w:val="0"/>
              <w:autoSpaceDE/>
              <w:autoSpaceDN/>
              <w:bidi w:val="0"/>
              <w:adjustRightInd/>
              <w:snapToGrid w:val="0"/>
              <w:ind w:firstLine="0" w:firstLineChars="0"/>
              <w:textAlignment w:val="auto"/>
              <w:rPr>
                <w:rFonts w:hint="eastAsia" w:ascii="宋体" w:hAnsi="宋体" w:eastAsia="宋体" w:cs="宋体"/>
                <w:color w:val="auto"/>
                <w:sz w:val="21"/>
                <w:szCs w:val="21"/>
                <w:highlight w:val="none"/>
              </w:rPr>
            </w:pPr>
          </w:p>
        </w:tc>
      </w:tr>
      <w:tr w14:paraId="21D2F5E3">
        <w:tblPrEx>
          <w:tblCellMar>
            <w:top w:w="0" w:type="dxa"/>
            <w:left w:w="108" w:type="dxa"/>
            <w:bottom w:w="0" w:type="dxa"/>
            <w:right w:w="108" w:type="dxa"/>
          </w:tblCellMar>
        </w:tblPrEx>
        <w:trPr>
          <w:trHeight w:val="280" w:hRule="atLeast"/>
          <w:jc w:val="center"/>
        </w:trPr>
        <w:tc>
          <w:tcPr>
            <w:tcW w:w="2546" w:type="pct"/>
            <w:gridSpan w:val="4"/>
            <w:tcBorders>
              <w:top w:val="single" w:color="auto" w:sz="4" w:space="0"/>
              <w:left w:val="single" w:color="auto" w:sz="4" w:space="0"/>
              <w:bottom w:val="nil"/>
              <w:right w:val="nil"/>
            </w:tcBorders>
            <w:noWrap/>
            <w:vAlign w:val="center"/>
          </w:tcPr>
          <w:p w14:paraId="24F63C2E">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考核方盖章（甲方）：</w:t>
            </w:r>
          </w:p>
        </w:tc>
        <w:tc>
          <w:tcPr>
            <w:tcW w:w="2453" w:type="pct"/>
            <w:gridSpan w:val="3"/>
            <w:tcBorders>
              <w:top w:val="single" w:color="auto" w:sz="4" w:space="0"/>
              <w:left w:val="single" w:color="auto" w:sz="4" w:space="0"/>
              <w:bottom w:val="nil"/>
              <w:right w:val="single" w:color="000000" w:sz="4" w:space="0"/>
            </w:tcBorders>
            <w:noWrap/>
            <w:vAlign w:val="center"/>
          </w:tcPr>
          <w:p w14:paraId="5ACC8EBF">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乙方盖章：</w:t>
            </w:r>
          </w:p>
        </w:tc>
      </w:tr>
      <w:tr w14:paraId="4B7D6726">
        <w:tblPrEx>
          <w:tblCellMar>
            <w:top w:w="0" w:type="dxa"/>
            <w:left w:w="108" w:type="dxa"/>
            <w:bottom w:w="0" w:type="dxa"/>
            <w:right w:w="108" w:type="dxa"/>
          </w:tblCellMar>
        </w:tblPrEx>
        <w:trPr>
          <w:trHeight w:val="280" w:hRule="atLeast"/>
          <w:jc w:val="center"/>
        </w:trPr>
        <w:tc>
          <w:tcPr>
            <w:tcW w:w="2546" w:type="pct"/>
            <w:gridSpan w:val="4"/>
            <w:tcBorders>
              <w:top w:val="nil"/>
              <w:left w:val="single" w:color="auto" w:sz="4" w:space="0"/>
              <w:bottom w:val="nil"/>
              <w:right w:val="nil"/>
            </w:tcBorders>
            <w:noWrap/>
            <w:vAlign w:val="center"/>
          </w:tcPr>
          <w:p w14:paraId="2F9D8266">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w:t>
            </w:r>
          </w:p>
        </w:tc>
        <w:tc>
          <w:tcPr>
            <w:tcW w:w="2453" w:type="pct"/>
            <w:gridSpan w:val="3"/>
            <w:tcBorders>
              <w:top w:val="nil"/>
              <w:left w:val="single" w:color="auto" w:sz="4" w:space="0"/>
              <w:bottom w:val="nil"/>
              <w:right w:val="single" w:color="000000" w:sz="4" w:space="0"/>
            </w:tcBorders>
            <w:noWrap/>
            <w:vAlign w:val="center"/>
          </w:tcPr>
          <w:p w14:paraId="7155ABC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w:t>
            </w:r>
          </w:p>
        </w:tc>
      </w:tr>
      <w:tr w14:paraId="4D12AFA3">
        <w:tblPrEx>
          <w:tblCellMar>
            <w:top w:w="0" w:type="dxa"/>
            <w:left w:w="108" w:type="dxa"/>
            <w:bottom w:w="0" w:type="dxa"/>
            <w:right w:w="108" w:type="dxa"/>
          </w:tblCellMar>
        </w:tblPrEx>
        <w:trPr>
          <w:trHeight w:val="280" w:hRule="atLeast"/>
          <w:jc w:val="center"/>
        </w:trPr>
        <w:tc>
          <w:tcPr>
            <w:tcW w:w="2546" w:type="pct"/>
            <w:gridSpan w:val="4"/>
            <w:tcBorders>
              <w:top w:val="nil"/>
              <w:left w:val="single" w:color="auto" w:sz="4" w:space="0"/>
              <w:bottom w:val="single" w:color="auto" w:sz="4" w:space="0"/>
              <w:right w:val="nil"/>
            </w:tcBorders>
            <w:noWrap/>
            <w:vAlign w:val="center"/>
          </w:tcPr>
          <w:p w14:paraId="1AA53030">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c>
          <w:tcPr>
            <w:tcW w:w="2453" w:type="pct"/>
            <w:gridSpan w:val="3"/>
            <w:tcBorders>
              <w:top w:val="nil"/>
              <w:left w:val="single" w:color="auto" w:sz="4" w:space="0"/>
              <w:bottom w:val="single" w:color="auto" w:sz="4" w:space="0"/>
              <w:right w:val="single" w:color="000000" w:sz="4" w:space="0"/>
            </w:tcBorders>
            <w:noWrap/>
            <w:vAlign w:val="center"/>
          </w:tcPr>
          <w:p w14:paraId="7CDFDE6D">
            <w:pPr>
              <w:keepNext w:val="0"/>
              <w:keepLines w:val="0"/>
              <w:pageBreakBefore w:val="0"/>
              <w:kinsoku/>
              <w:wordWrap/>
              <w:overflowPunct/>
              <w:topLinePunct w:val="0"/>
              <w:autoSpaceDE/>
              <w:autoSpaceDN/>
              <w:bidi w:val="0"/>
              <w:adjustRightInd/>
              <w:snapToGrid w:val="0"/>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r>
    </w:tbl>
    <w:p w14:paraId="401C0BAB">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每月15号前，采购人完成对中标人上一个月的服务质量考评。</w:t>
      </w:r>
    </w:p>
    <w:p w14:paraId="56BB7D7A">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3个月为一个服务周期，采购人会根据每个服务周期的《运维考核评分表》的分值进行服务费的支付：每期考核评分=3个月的考核评分之和/3（计算结果四舍五入，保留两位小数）；</w:t>
      </w:r>
    </w:p>
    <w:p w14:paraId="21B63D2A">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每期考核评价得分≥95分的，采购人向中标人支付当期服务费的100%；</w:t>
      </w:r>
    </w:p>
    <w:p w14:paraId="23DA6C81">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95分＞每期考核评价得分≥85分，采购人向中标人支付当期服务费的95%；</w:t>
      </w:r>
    </w:p>
    <w:p w14:paraId="2621B5F0">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85分＞每期考核评价得分≥70分，采购人向中标人支付当期服务费的90%；</w:t>
      </w:r>
    </w:p>
    <w:p w14:paraId="5D918229">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每期考核评价得分＜70分，采购人向中标人支付当期服务费的80%并下达《整改意见书》；</w:t>
      </w:r>
    </w:p>
    <w:p w14:paraId="0A5F3381">
      <w:pPr>
        <w:keepNext w:val="0"/>
        <w:keepLines w:val="0"/>
        <w:pageBreakBefore w:val="0"/>
        <w:numPr>
          <w:ilvl w:val="0"/>
          <w:numId w:val="131"/>
        </w:numPr>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如服务期内连续2次每期考核评价得分＜70分的，采购人有权终止合同并不承担任何违约责任。</w:t>
      </w:r>
    </w:p>
    <w:p w14:paraId="14F3926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br w:type="page"/>
      </w:r>
    </w:p>
    <w:p w14:paraId="1DEF23D5">
      <w:pPr>
        <w:snapToGrid w:val="0"/>
        <w:jc w:val="left"/>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附件</w:t>
      </w:r>
      <w:r>
        <w:rPr>
          <w:rFonts w:hint="eastAsia" w:ascii="宋体" w:hAnsi="宋体" w:eastAsia="宋体" w:cs="宋体"/>
          <w:b/>
          <w:bCs/>
          <w:color w:val="auto"/>
          <w:sz w:val="21"/>
          <w:szCs w:val="21"/>
          <w:highlight w:val="none"/>
          <w:lang w:val="en-US" w:eastAsia="zh-CN"/>
        </w:rPr>
        <w:t>2</w:t>
      </w:r>
    </w:p>
    <w:p w14:paraId="3E9E030E">
      <w:pPr>
        <w:keepNext w:val="0"/>
        <w:keepLines w:val="0"/>
        <w:pageBreakBefore w:val="0"/>
        <w:widowControl w:val="0"/>
        <w:kinsoku/>
        <w:wordWrap/>
        <w:overflowPunct/>
        <w:topLinePunct w:val="0"/>
        <w:autoSpaceDE/>
        <w:autoSpaceDN/>
        <w:bidi w:val="0"/>
        <w:adjustRightInd/>
        <w:snapToGrid w:val="0"/>
        <w:spacing w:before="437" w:beforeLines="100" w:after="437" w:afterLines="10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外场业务感知终端</w:t>
      </w:r>
      <w:r>
        <w:rPr>
          <w:rFonts w:hint="eastAsia" w:ascii="宋体" w:hAnsi="宋体" w:eastAsia="宋体" w:cs="宋体"/>
          <w:b/>
          <w:bCs/>
          <w:color w:val="auto"/>
          <w:sz w:val="21"/>
          <w:szCs w:val="21"/>
          <w:highlight w:val="none"/>
          <w:lang w:eastAsia="zh-CN"/>
        </w:rPr>
        <w:t>工作</w:t>
      </w:r>
      <w:r>
        <w:rPr>
          <w:rFonts w:hint="eastAsia" w:ascii="宋体" w:hAnsi="宋体" w:eastAsia="宋体" w:cs="宋体"/>
          <w:b/>
          <w:bCs/>
          <w:color w:val="auto"/>
          <w:sz w:val="21"/>
          <w:szCs w:val="21"/>
          <w:highlight w:val="none"/>
        </w:rPr>
        <w:t>记录表</w:t>
      </w:r>
    </w:p>
    <w:tbl>
      <w:tblPr>
        <w:tblStyle w:val="14"/>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696"/>
        <w:gridCol w:w="984"/>
        <w:gridCol w:w="6227"/>
      </w:tblGrid>
      <w:tr w14:paraId="69FE9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2532" w:type="dxa"/>
            <w:gridSpan w:val="3"/>
            <w:noWrap w:val="0"/>
            <w:vAlign w:val="center"/>
          </w:tcPr>
          <w:p w14:paraId="7BF2CEA6">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年</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月</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日</w:t>
            </w:r>
          </w:p>
        </w:tc>
        <w:tc>
          <w:tcPr>
            <w:tcW w:w="6227" w:type="dxa"/>
            <w:noWrap w:val="0"/>
            <w:vAlign w:val="center"/>
          </w:tcPr>
          <w:p w14:paraId="08F9B4DD">
            <w:pPr>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天气：</w:t>
            </w:r>
          </w:p>
        </w:tc>
      </w:tr>
      <w:tr w14:paraId="14741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3" w:hRule="atLeast"/>
        </w:trPr>
        <w:tc>
          <w:tcPr>
            <w:tcW w:w="852" w:type="dxa"/>
            <w:vMerge w:val="restart"/>
            <w:noWrap w:val="0"/>
            <w:vAlign w:val="center"/>
          </w:tcPr>
          <w:p w14:paraId="351C58BC">
            <w:pPr>
              <w:widowControl/>
              <w:jc w:val="left"/>
              <w:textAlignment w:val="bottom"/>
              <w:rPr>
                <w:rFonts w:hint="eastAsia" w:ascii="宋体" w:hAnsi="宋体" w:eastAsia="宋体" w:cs="宋体"/>
                <w:color w:val="auto"/>
                <w:sz w:val="21"/>
                <w:szCs w:val="21"/>
                <w:highlight w:val="none"/>
              </w:rPr>
            </w:pPr>
          </w:p>
          <w:p w14:paraId="09B38056">
            <w:pPr>
              <w:widowControl/>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记事</w:t>
            </w:r>
          </w:p>
        </w:tc>
        <w:tc>
          <w:tcPr>
            <w:tcW w:w="7907" w:type="dxa"/>
            <w:gridSpan w:val="3"/>
            <w:noWrap w:val="0"/>
            <w:vAlign w:val="top"/>
          </w:tcPr>
          <w:p w14:paraId="66A508A7">
            <w:pPr>
              <w:widowControl/>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数据观测、分析情况：</w:t>
            </w:r>
          </w:p>
          <w:p w14:paraId="6CFFDFBE">
            <w:pPr>
              <w:snapToGrid w:val="0"/>
              <w:jc w:val="left"/>
              <w:rPr>
                <w:rFonts w:hint="eastAsia" w:ascii="宋体" w:hAnsi="宋体" w:eastAsia="宋体" w:cs="宋体"/>
                <w:b/>
                <w:bCs/>
                <w:color w:val="auto"/>
                <w:sz w:val="21"/>
                <w:szCs w:val="21"/>
                <w:highlight w:val="none"/>
                <w:lang w:val="en-US" w:eastAsia="zh-CN"/>
              </w:rPr>
            </w:pPr>
          </w:p>
          <w:p w14:paraId="787A4C2B">
            <w:pPr>
              <w:snapToGrid w:val="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08</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30观测</w:t>
            </w:r>
            <w:r>
              <w:rPr>
                <w:rFonts w:hint="eastAsia" w:ascii="宋体" w:hAnsi="宋体" w:eastAsia="宋体" w:cs="宋体"/>
                <w:b/>
                <w:bCs/>
                <w:color w:val="auto"/>
                <w:sz w:val="21"/>
                <w:szCs w:val="21"/>
                <w:highlight w:val="none"/>
                <w:lang w:eastAsia="zh-CN"/>
              </w:rPr>
              <w:t>情况</w:t>
            </w:r>
            <w:r>
              <w:rPr>
                <w:rFonts w:hint="eastAsia" w:ascii="宋体" w:hAnsi="宋体" w:eastAsia="宋体" w:cs="宋体"/>
                <w:b/>
                <w:bCs/>
                <w:color w:val="auto"/>
                <w:sz w:val="21"/>
                <w:szCs w:val="21"/>
                <w:highlight w:val="none"/>
              </w:rPr>
              <w:t>：</w:t>
            </w:r>
          </w:p>
          <w:p w14:paraId="5EC86C38">
            <w:pPr>
              <w:snapToGrid w:val="0"/>
              <w:jc w:val="left"/>
              <w:rPr>
                <w:rFonts w:hint="eastAsia" w:ascii="宋体" w:hAnsi="宋体" w:eastAsia="宋体" w:cs="宋体"/>
                <w:b/>
                <w:bCs/>
                <w:color w:val="auto"/>
                <w:sz w:val="21"/>
                <w:szCs w:val="21"/>
                <w:highlight w:val="none"/>
              </w:rPr>
            </w:pPr>
          </w:p>
          <w:p w14:paraId="7FB014E2">
            <w:pPr>
              <w:snapToGrid w:val="0"/>
              <w:jc w:val="left"/>
              <w:rPr>
                <w:rFonts w:hint="eastAsia" w:ascii="宋体" w:hAnsi="宋体" w:eastAsia="宋体" w:cs="宋体"/>
                <w:b/>
                <w:bCs/>
                <w:color w:val="auto"/>
                <w:sz w:val="21"/>
                <w:szCs w:val="21"/>
                <w:highlight w:val="none"/>
              </w:rPr>
            </w:pPr>
          </w:p>
          <w:p w14:paraId="505039C3">
            <w:pPr>
              <w:snapToGrid w:val="0"/>
              <w:jc w:val="left"/>
              <w:rPr>
                <w:rFonts w:hint="eastAsia" w:ascii="宋体" w:hAnsi="宋体" w:eastAsia="宋体" w:cs="宋体"/>
                <w:b/>
                <w:bCs/>
                <w:color w:val="auto"/>
                <w:sz w:val="21"/>
                <w:szCs w:val="21"/>
                <w:highlight w:val="none"/>
              </w:rPr>
            </w:pPr>
          </w:p>
          <w:p w14:paraId="43CEB665">
            <w:pPr>
              <w:snapToGrid w:val="0"/>
              <w:jc w:val="left"/>
              <w:rPr>
                <w:rFonts w:hint="eastAsia" w:ascii="宋体" w:hAnsi="宋体" w:eastAsia="宋体" w:cs="宋体"/>
                <w:b/>
                <w:bCs/>
                <w:color w:val="auto"/>
                <w:sz w:val="21"/>
                <w:szCs w:val="21"/>
                <w:highlight w:val="none"/>
                <w:lang w:val="en-US" w:eastAsia="zh-CN"/>
              </w:rPr>
            </w:pPr>
          </w:p>
          <w:p w14:paraId="0D6E0EA3">
            <w:pPr>
              <w:snapToGrid w:val="0"/>
              <w:jc w:val="left"/>
              <w:rPr>
                <w:rFonts w:hint="eastAsia" w:ascii="宋体" w:hAnsi="宋体" w:eastAsia="宋体" w:cs="宋体"/>
                <w:b/>
                <w:bCs/>
                <w:color w:val="auto"/>
                <w:sz w:val="21"/>
                <w:szCs w:val="21"/>
                <w:highlight w:val="none"/>
                <w:lang w:val="en-US" w:eastAsia="zh-CN"/>
              </w:rPr>
            </w:pPr>
          </w:p>
          <w:p w14:paraId="7F72D970">
            <w:pPr>
              <w:snapToGrid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14</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30观测</w:t>
            </w:r>
            <w:r>
              <w:rPr>
                <w:rFonts w:hint="eastAsia" w:ascii="宋体" w:hAnsi="宋体" w:eastAsia="宋体" w:cs="宋体"/>
                <w:b/>
                <w:bCs/>
                <w:color w:val="auto"/>
                <w:sz w:val="21"/>
                <w:szCs w:val="21"/>
                <w:highlight w:val="none"/>
                <w:lang w:eastAsia="zh-CN"/>
              </w:rPr>
              <w:t>情况</w:t>
            </w:r>
            <w:r>
              <w:rPr>
                <w:rFonts w:hint="eastAsia" w:ascii="宋体" w:hAnsi="宋体" w:eastAsia="宋体" w:cs="宋体"/>
                <w:b/>
                <w:bCs/>
                <w:color w:val="auto"/>
                <w:sz w:val="21"/>
                <w:szCs w:val="21"/>
                <w:highlight w:val="none"/>
              </w:rPr>
              <w:t>：</w:t>
            </w:r>
          </w:p>
        </w:tc>
      </w:tr>
      <w:tr w14:paraId="2E3AC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852" w:type="dxa"/>
            <w:vMerge w:val="continue"/>
            <w:noWrap w:val="0"/>
            <w:vAlign w:val="top"/>
          </w:tcPr>
          <w:p w14:paraId="60A91EE1">
            <w:pPr>
              <w:widowControl/>
              <w:jc w:val="left"/>
              <w:textAlignment w:val="bottom"/>
              <w:rPr>
                <w:rFonts w:hint="eastAsia" w:ascii="宋体" w:hAnsi="宋体" w:eastAsia="宋体" w:cs="宋体"/>
                <w:color w:val="auto"/>
                <w:sz w:val="21"/>
                <w:szCs w:val="21"/>
                <w:highlight w:val="none"/>
              </w:rPr>
            </w:pPr>
          </w:p>
        </w:tc>
        <w:tc>
          <w:tcPr>
            <w:tcW w:w="7907" w:type="dxa"/>
            <w:gridSpan w:val="3"/>
            <w:noWrap w:val="0"/>
            <w:vAlign w:val="top"/>
          </w:tcPr>
          <w:p w14:paraId="744A9E11">
            <w:pPr>
              <w:widowControl/>
              <w:jc w:val="left"/>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终端报警信息处置情况：</w:t>
            </w:r>
          </w:p>
          <w:p w14:paraId="67323806">
            <w:pPr>
              <w:widowControl/>
              <w:jc w:val="left"/>
              <w:textAlignment w:val="bottom"/>
              <w:rPr>
                <w:rFonts w:hint="eastAsia" w:ascii="宋体" w:hAnsi="宋体" w:eastAsia="宋体" w:cs="宋体"/>
                <w:color w:val="auto"/>
                <w:sz w:val="21"/>
                <w:szCs w:val="21"/>
                <w:highlight w:val="none"/>
                <w:lang w:val="en-US" w:eastAsia="zh-CN"/>
              </w:rPr>
            </w:pPr>
          </w:p>
        </w:tc>
      </w:tr>
      <w:tr w14:paraId="75A91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exact"/>
        </w:trPr>
        <w:tc>
          <w:tcPr>
            <w:tcW w:w="852" w:type="dxa"/>
            <w:vMerge w:val="continue"/>
            <w:noWrap w:val="0"/>
            <w:vAlign w:val="top"/>
          </w:tcPr>
          <w:p w14:paraId="74D88B15">
            <w:pPr>
              <w:rPr>
                <w:rFonts w:hint="eastAsia" w:ascii="宋体" w:hAnsi="宋体" w:eastAsia="宋体" w:cs="宋体"/>
                <w:color w:val="auto"/>
                <w:sz w:val="21"/>
                <w:szCs w:val="21"/>
                <w:highlight w:val="none"/>
              </w:rPr>
            </w:pPr>
          </w:p>
        </w:tc>
        <w:tc>
          <w:tcPr>
            <w:tcW w:w="7907" w:type="dxa"/>
            <w:gridSpan w:val="3"/>
            <w:noWrap w:val="0"/>
            <w:vAlign w:val="top"/>
          </w:tcPr>
          <w:p w14:paraId="0F4F12CE">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异常终端现场处置</w:t>
            </w:r>
            <w:r>
              <w:rPr>
                <w:rFonts w:hint="eastAsia" w:ascii="宋体" w:hAnsi="宋体" w:eastAsia="宋体" w:cs="宋体"/>
                <w:color w:val="auto"/>
                <w:sz w:val="21"/>
                <w:szCs w:val="21"/>
                <w:highlight w:val="none"/>
              </w:rPr>
              <w:t>情况：</w:t>
            </w:r>
          </w:p>
          <w:p w14:paraId="0FF21F41">
            <w:pPr>
              <w:rPr>
                <w:rFonts w:hint="eastAsia" w:ascii="宋体" w:hAnsi="宋体" w:eastAsia="宋体" w:cs="宋体"/>
                <w:color w:val="auto"/>
                <w:sz w:val="21"/>
                <w:szCs w:val="21"/>
                <w:highlight w:val="none"/>
                <w:lang w:val="en-US" w:eastAsia="zh-CN"/>
              </w:rPr>
            </w:pPr>
          </w:p>
        </w:tc>
      </w:tr>
      <w:tr w14:paraId="2DB7D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exact"/>
        </w:trPr>
        <w:tc>
          <w:tcPr>
            <w:tcW w:w="852" w:type="dxa"/>
            <w:vMerge w:val="continue"/>
            <w:noWrap w:val="0"/>
            <w:vAlign w:val="top"/>
          </w:tcPr>
          <w:p w14:paraId="18DA080F">
            <w:pPr>
              <w:rPr>
                <w:rFonts w:hint="eastAsia" w:ascii="宋体" w:hAnsi="宋体" w:eastAsia="宋体" w:cs="宋体"/>
                <w:color w:val="auto"/>
                <w:sz w:val="21"/>
                <w:szCs w:val="21"/>
                <w:highlight w:val="none"/>
              </w:rPr>
            </w:pPr>
          </w:p>
        </w:tc>
        <w:tc>
          <w:tcPr>
            <w:tcW w:w="7907" w:type="dxa"/>
            <w:gridSpan w:val="3"/>
            <w:noWrap w:val="0"/>
            <w:vAlign w:val="top"/>
          </w:tcPr>
          <w:p w14:paraId="0059BD9A">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其他工作：</w:t>
            </w:r>
          </w:p>
          <w:p w14:paraId="79FD0BEA">
            <w:pPr>
              <w:rPr>
                <w:rFonts w:hint="eastAsia" w:ascii="宋体" w:hAnsi="宋体" w:eastAsia="宋体" w:cs="宋体"/>
                <w:color w:val="auto"/>
                <w:sz w:val="21"/>
                <w:szCs w:val="21"/>
                <w:highlight w:val="none"/>
                <w:lang w:val="en-US" w:eastAsia="zh-CN"/>
              </w:rPr>
            </w:pPr>
          </w:p>
        </w:tc>
      </w:tr>
      <w:tr w14:paraId="07BAA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8" w:type="dxa"/>
            <w:gridSpan w:val="2"/>
            <w:noWrap w:val="0"/>
            <w:vAlign w:val="center"/>
          </w:tcPr>
          <w:p w14:paraId="02B83546">
            <w:pPr>
              <w:jc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eastAsia="zh-CN"/>
              </w:rPr>
              <w:t>记录人</w:t>
            </w:r>
          </w:p>
        </w:tc>
        <w:tc>
          <w:tcPr>
            <w:tcW w:w="7211" w:type="dxa"/>
            <w:gridSpan w:val="2"/>
            <w:noWrap w:val="0"/>
            <w:vAlign w:val="center"/>
          </w:tcPr>
          <w:p w14:paraId="54B30DE5">
            <w:pPr>
              <w:rPr>
                <w:rFonts w:hint="eastAsia" w:ascii="宋体" w:hAnsi="宋体" w:eastAsia="宋体" w:cs="宋体"/>
                <w:color w:val="auto"/>
                <w:sz w:val="21"/>
                <w:szCs w:val="21"/>
                <w:highlight w:val="none"/>
                <w:lang w:val="en-US" w:eastAsia="zh-CN"/>
              </w:rPr>
            </w:pPr>
          </w:p>
        </w:tc>
      </w:tr>
    </w:tbl>
    <w:p w14:paraId="1111B67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p>
    <w:p w14:paraId="151A8883">
      <w:pPr>
        <w:rPr>
          <w:rFonts w:hint="eastAsia" w:ascii="宋体" w:hAnsi="宋体" w:eastAsia="宋体"/>
          <w:color w:val="auto"/>
          <w:szCs w:val="21"/>
          <w:highlight w:val="none"/>
        </w:rPr>
      </w:pPr>
      <w:r>
        <w:rPr>
          <w:rFonts w:hint="eastAsia" w:ascii="宋体" w:hAnsi="宋体" w:eastAsia="宋体"/>
          <w:color w:val="auto"/>
          <w:szCs w:val="21"/>
          <w:highlight w:val="none"/>
        </w:rPr>
        <w:br w:type="page"/>
      </w:r>
    </w:p>
    <w:p w14:paraId="40F972E0">
      <w:pPr>
        <w:snapToGrid w:val="0"/>
        <w:jc w:val="left"/>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附件</w:t>
      </w:r>
      <w:r>
        <w:rPr>
          <w:rFonts w:hint="eastAsia" w:ascii="宋体" w:hAnsi="宋体" w:eastAsia="宋体" w:cs="宋体"/>
          <w:b/>
          <w:bCs/>
          <w:color w:val="auto"/>
          <w:sz w:val="21"/>
          <w:szCs w:val="21"/>
          <w:highlight w:val="none"/>
          <w:lang w:val="en-US" w:eastAsia="zh-CN"/>
        </w:rPr>
        <w:t>3</w:t>
      </w:r>
    </w:p>
    <w:p w14:paraId="0D3640D8">
      <w:pPr>
        <w:keepNext w:val="0"/>
        <w:keepLines w:val="0"/>
        <w:pageBreakBefore w:val="0"/>
        <w:widowControl w:val="0"/>
        <w:kinsoku/>
        <w:wordWrap/>
        <w:overflowPunct/>
        <w:topLinePunct w:val="0"/>
        <w:autoSpaceDE/>
        <w:autoSpaceDN/>
        <w:bidi w:val="0"/>
        <w:adjustRightInd/>
        <w:snapToGrid w:val="0"/>
        <w:spacing w:before="437" w:beforeLines="100" w:after="437" w:afterLines="10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安全生产合同</w:t>
      </w:r>
    </w:p>
    <w:p w14:paraId="2DEB4CD9">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为确保</w:t>
      </w:r>
      <w:r>
        <w:rPr>
          <w:rFonts w:hint="eastAsia" w:ascii="宋体" w:hAnsi="宋体" w:eastAsia="宋体" w:cs="Times New Roman"/>
          <w:sz w:val="21"/>
          <w:szCs w:val="21"/>
          <w:highlight w:val="none"/>
          <w:u w:val="single"/>
        </w:rPr>
        <w:t>2025年东莞航道所外场业务感知终端运维项目</w:t>
      </w:r>
      <w:r>
        <w:rPr>
          <w:rFonts w:hint="eastAsia" w:ascii="宋体" w:hAnsi="宋体" w:eastAsia="宋体" w:cs="Times New Roman"/>
          <w:sz w:val="21"/>
          <w:szCs w:val="21"/>
          <w:highlight w:val="none"/>
        </w:rPr>
        <w:t>实施过程中的安全，杜绝安全生产责任事故的发生，根据有关规定，本项目</w:t>
      </w:r>
      <w:r>
        <w:rPr>
          <w:rFonts w:hint="eastAsia" w:ascii="宋体" w:hAnsi="宋体" w:eastAsia="宋体" w:cs="Times New Roman"/>
          <w:sz w:val="21"/>
          <w:szCs w:val="21"/>
          <w:highlight w:val="none"/>
          <w:lang w:eastAsia="zh-CN"/>
        </w:rPr>
        <w:t>甲方广东省珠江东航道事务中心东莞航道所</w:t>
      </w:r>
      <w:r>
        <w:rPr>
          <w:rFonts w:hint="eastAsia" w:ascii="宋体" w:hAnsi="宋体" w:eastAsia="宋体" w:cs="Times New Roman"/>
          <w:sz w:val="21"/>
          <w:szCs w:val="21"/>
          <w:highlight w:val="none"/>
        </w:rPr>
        <w:t xml:space="preserve"> (以下简称“</w:t>
      </w:r>
      <w:r>
        <w:rPr>
          <w:rFonts w:hint="eastAsia" w:ascii="Times New Roman" w:hAnsi="Times New Roman" w:eastAsia="宋体" w:cs="Times New Roman"/>
          <w:sz w:val="21"/>
          <w:szCs w:val="21"/>
          <w:highlight w:val="none"/>
          <w:lang w:eastAsia="zh-CN"/>
        </w:rPr>
        <w:t>甲方</w:t>
      </w:r>
      <w:r>
        <w:rPr>
          <w:rFonts w:hint="eastAsia" w:ascii="宋体" w:hAnsi="宋体" w:eastAsia="宋体" w:cs="Times New Roman"/>
          <w:sz w:val="21"/>
          <w:szCs w:val="21"/>
          <w:highlight w:val="none"/>
        </w:rPr>
        <w:t>”)与</w:t>
      </w:r>
      <w:r>
        <w:rPr>
          <w:rFonts w:hint="eastAsia" w:ascii="宋体" w:hAnsi="宋体" w:eastAsia="宋体" w:cs="Times New Roman"/>
          <w:sz w:val="21"/>
          <w:szCs w:val="21"/>
          <w:highlight w:val="none"/>
          <w:lang w:val="en-US" w:eastAsia="zh-CN"/>
        </w:rPr>
        <w:t xml:space="preserve">               </w:t>
      </w:r>
      <w:r>
        <w:rPr>
          <w:rFonts w:hint="eastAsia" w:ascii="宋体" w:hAnsi="宋体" w:eastAsia="宋体" w:cs="Times New Roman"/>
          <w:sz w:val="21"/>
          <w:szCs w:val="21"/>
          <w:highlight w:val="none"/>
        </w:rPr>
        <w:t>(以下简称“</w:t>
      </w:r>
      <w:r>
        <w:rPr>
          <w:rFonts w:hint="eastAsia" w:ascii="Times New Roman" w:hAnsi="Times New Roman" w:eastAsia="宋体" w:cs="Times New Roman"/>
          <w:sz w:val="21"/>
          <w:szCs w:val="21"/>
          <w:highlight w:val="none"/>
          <w:lang w:eastAsia="zh-CN"/>
        </w:rPr>
        <w:t>乙方</w:t>
      </w:r>
      <w:r>
        <w:rPr>
          <w:rFonts w:hint="eastAsia" w:ascii="宋体" w:hAnsi="宋体" w:eastAsia="宋体" w:cs="Times New Roman"/>
          <w:sz w:val="21"/>
          <w:szCs w:val="21"/>
          <w:highlight w:val="none"/>
        </w:rPr>
        <w:t>”)特此签订安全生产合同。</w:t>
      </w:r>
    </w:p>
    <w:p w14:paraId="4A6EA6ED">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一、</w:t>
      </w:r>
      <w:r>
        <w:rPr>
          <w:rFonts w:hint="eastAsia" w:ascii="Times New Roman" w:hAnsi="Times New Roman" w:eastAsia="宋体" w:cs="Times New Roman"/>
          <w:sz w:val="21"/>
          <w:szCs w:val="21"/>
          <w:highlight w:val="none"/>
          <w:lang w:eastAsia="zh-CN"/>
        </w:rPr>
        <w:t>甲方</w:t>
      </w:r>
      <w:r>
        <w:rPr>
          <w:rFonts w:hint="eastAsia" w:ascii="宋体" w:hAnsi="宋体" w:eastAsia="宋体" w:cs="Times New Roman"/>
          <w:sz w:val="21"/>
          <w:szCs w:val="21"/>
          <w:highlight w:val="none"/>
        </w:rPr>
        <w:t xml:space="preserve">职责  </w:t>
      </w:r>
    </w:p>
    <w:p w14:paraId="77619AE9">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 xml:space="preserve">1．严格遵守国家安全生产方面的法律法规，履行国家规定的安全生产职责，贯彻落实安全生产工作要求。  </w:t>
      </w:r>
    </w:p>
    <w:p w14:paraId="4CBA9FF2">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2．贯彻落实“安全第一、预防为主、综合治理”的安全生产方针，在项目管理中高度重视安全生产工作，狠抓安全生产管理，按照规定对</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的安全生产工作进行监管，对</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安全生产方面存在的重大问题督促</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采取有效措施落实整改。</w:t>
      </w:r>
    </w:p>
    <w:p w14:paraId="6C6F3729">
      <w:pPr>
        <w:keepNext w:val="0"/>
        <w:keepLines w:val="0"/>
        <w:pageBreakBefore w:val="0"/>
        <w:widowControl w:val="0"/>
        <w:kinsoku/>
        <w:overflowPunct/>
        <w:topLinePunct w:val="0"/>
        <w:autoSpaceDE/>
        <w:autoSpaceDN/>
        <w:bidi w:val="0"/>
        <w:adjustRightInd/>
        <w:snapToGrid/>
        <w:spacing w:line="240" w:lineRule="auto"/>
        <w:ind w:right="0" w:rightChars="0" w:firstLine="42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3. 对</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不服从</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要求未落实整改的，</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有权代为整改，对</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不及时整改安全隐患造成恶劣影响或安全事故的，</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 xml:space="preserve">有权直接扣除工程费用，同时保留追索赔偿的权利。  </w:t>
      </w:r>
    </w:p>
    <w:p w14:paraId="46B579AA">
      <w:pPr>
        <w:keepNext w:val="0"/>
        <w:keepLines w:val="0"/>
        <w:pageBreakBefore w:val="0"/>
        <w:widowControl w:val="0"/>
        <w:kinsoku/>
        <w:overflowPunct/>
        <w:topLinePunct w:val="0"/>
        <w:autoSpaceDE/>
        <w:autoSpaceDN/>
        <w:bidi w:val="0"/>
        <w:adjustRightInd/>
        <w:snapToGrid/>
        <w:spacing w:line="240" w:lineRule="auto"/>
        <w:ind w:right="0" w:rightChars="0" w:firstLine="42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二、</w:t>
      </w:r>
      <w:r>
        <w:rPr>
          <w:rFonts w:hint="eastAsia" w:ascii="Times New Roman" w:hAnsi="Times New Roman" w:eastAsia="宋体" w:cs="Times New Roman"/>
          <w:sz w:val="21"/>
          <w:szCs w:val="21"/>
          <w:highlight w:val="none"/>
          <w:lang w:eastAsia="zh-CN"/>
        </w:rPr>
        <w:t>乙方</w:t>
      </w:r>
      <w:r>
        <w:rPr>
          <w:rFonts w:hint="eastAsia" w:ascii="宋体" w:hAnsi="宋体" w:eastAsia="宋体" w:cs="Times New Roman"/>
          <w:sz w:val="21"/>
          <w:szCs w:val="21"/>
          <w:highlight w:val="none"/>
        </w:rPr>
        <w:t xml:space="preserve">职责  </w:t>
      </w:r>
    </w:p>
    <w:p w14:paraId="2C5EB0BA">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1．贯彻落实“安全第一、预防为主、综合治理”的安全生产方针，严格遵守国家安全生产方面的法律法规，履行国家规定的安全生产职责，在项目管理中高度重视安全生产工作，狠抓安全生产管理，贯彻落实各级政府有关部门和</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 xml:space="preserve">、监理的安全生产工作要求，认真抓好安全生产各项工作，坚决杜绝安全生产责任事故的发生。  </w:t>
      </w:r>
    </w:p>
    <w:p w14:paraId="58E889F7">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2．按照国家有关规定为所有</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工作人员办理医疗及工伤社会保险，并根据需要为从事高度危险工作的人员购买适当的人身意外伤害保险。</w:t>
      </w:r>
    </w:p>
    <w:p w14:paraId="2808A435">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 xml:space="preserve">3．建立健全安全生产责任制，贯彻落实安全生产“一岗双责”工作要求，按规定健全安全生产组织机构、配备符合规定的专职安全管理人员，建立健全包括组织体系、责任体系、制度体系、风险控制体系、教育培训体系、隐患排查整改体系、应急管理体系等安全生产管理体系，定期召开安全生产会议，加强安全教育培训，加大安全检查整改力度，保障安全经费投入，重视职业安全健康管理。  </w:t>
      </w:r>
    </w:p>
    <w:p w14:paraId="505F2902">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4.安全生产管理人员和特种作业人员按规定持证上岗，特种设备按规定取得有关证件才投入项目使用。</w:t>
      </w:r>
    </w:p>
    <w:p w14:paraId="2D498AB7">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 xml:space="preserve">5．发生安全生产事故后，按规定及时上报，根据有关制度和预案开展应急处理。  </w:t>
      </w:r>
    </w:p>
    <w:p w14:paraId="58A59C20">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6．按</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要求缴纳施工安全保证金并遵守</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关于保证金的使用规定，但并不免除</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承担的任何安全责任。</w:t>
      </w:r>
    </w:p>
    <w:p w14:paraId="19558F64">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 xml:space="preserve">三、违约责任  </w:t>
      </w:r>
    </w:p>
    <w:p w14:paraId="70B4EEBF">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 xml:space="preserve">任何一方违约造成安全生产事故，将严格按规定追究责任；若发生安全生产责任事故，严格按政府有关部门的调查处理情况追究责任人的责任。  </w:t>
      </w:r>
    </w:p>
    <w:p w14:paraId="269E29A9">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rPr>
        <w:t>本合同一式肆份，合其中</w:t>
      </w:r>
      <w:r>
        <w:rPr>
          <w:rFonts w:hint="eastAsia" w:ascii="宋体" w:hAnsi="宋体" w:eastAsia="宋体" w:cs="Times New Roman"/>
          <w:sz w:val="21"/>
          <w:szCs w:val="21"/>
          <w:highlight w:val="none"/>
          <w:lang w:eastAsia="zh-CN"/>
        </w:rPr>
        <w:t>甲方</w:t>
      </w:r>
      <w:r>
        <w:rPr>
          <w:rFonts w:hint="eastAsia" w:ascii="宋体" w:hAnsi="宋体" w:eastAsia="宋体" w:cs="Times New Roman"/>
          <w:sz w:val="21"/>
          <w:szCs w:val="21"/>
          <w:highlight w:val="none"/>
        </w:rPr>
        <w:t>执贰份，</w:t>
      </w:r>
      <w:r>
        <w:rPr>
          <w:rFonts w:hint="eastAsia" w:ascii="宋体" w:hAnsi="宋体" w:eastAsia="宋体" w:cs="Times New Roman"/>
          <w:sz w:val="21"/>
          <w:szCs w:val="21"/>
          <w:highlight w:val="none"/>
          <w:lang w:eastAsia="zh-CN"/>
        </w:rPr>
        <w:t>乙方</w:t>
      </w:r>
      <w:r>
        <w:rPr>
          <w:rFonts w:hint="eastAsia" w:ascii="宋体" w:hAnsi="宋体" w:eastAsia="宋体" w:cs="Times New Roman"/>
          <w:sz w:val="21"/>
          <w:szCs w:val="21"/>
          <w:highlight w:val="none"/>
        </w:rPr>
        <w:t>执</w:t>
      </w:r>
      <w:r>
        <w:rPr>
          <w:rFonts w:hint="eastAsia" w:ascii="宋体" w:hAnsi="宋体" w:eastAsia="宋体" w:cs="Times New Roman"/>
          <w:sz w:val="21"/>
          <w:szCs w:val="21"/>
          <w:highlight w:val="none"/>
        </w:rPr>
        <w:fldChar w:fldCharType="begin"/>
      </w:r>
      <w:r>
        <w:rPr>
          <w:rFonts w:hint="eastAsia" w:ascii="宋体" w:hAnsi="宋体" w:eastAsia="宋体" w:cs="Times New Roman"/>
          <w:sz w:val="21"/>
          <w:szCs w:val="21"/>
          <w:highlight w:val="none"/>
        </w:rPr>
        <w:instrText xml:space="preserve"> = 2 \* CHINESENUM2 </w:instrText>
      </w:r>
      <w:r>
        <w:rPr>
          <w:rFonts w:hint="eastAsia" w:ascii="宋体" w:hAnsi="宋体" w:eastAsia="宋体" w:cs="Times New Roman"/>
          <w:sz w:val="21"/>
          <w:szCs w:val="21"/>
          <w:highlight w:val="none"/>
        </w:rPr>
        <w:fldChar w:fldCharType="separate"/>
      </w:r>
      <w:r>
        <w:rPr>
          <w:rFonts w:hint="eastAsia" w:ascii="宋体" w:hAnsi="宋体" w:eastAsia="宋体" w:cs="Times New Roman"/>
          <w:sz w:val="21"/>
          <w:szCs w:val="21"/>
          <w:highlight w:val="none"/>
        </w:rPr>
        <w:t>贰</w:t>
      </w:r>
      <w:r>
        <w:rPr>
          <w:rFonts w:hint="eastAsia" w:ascii="宋体" w:hAnsi="宋体" w:eastAsia="宋体" w:cs="Times New Roman"/>
          <w:sz w:val="21"/>
          <w:szCs w:val="21"/>
          <w:highlight w:val="none"/>
        </w:rPr>
        <w:fldChar w:fldCharType="end"/>
      </w:r>
      <w:r>
        <w:rPr>
          <w:rFonts w:hint="eastAsia" w:ascii="宋体" w:hAnsi="宋体" w:eastAsia="宋体" w:cs="Times New Roman"/>
          <w:sz w:val="21"/>
          <w:szCs w:val="21"/>
          <w:highlight w:val="none"/>
        </w:rPr>
        <w:t>份，具同等法律效力。由双方法定代表人或其授权代理人签署并加盖公章后生效，全部工程竣工验收完成后失效。</w:t>
      </w:r>
    </w:p>
    <w:p w14:paraId="5C4FED4E">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p>
    <w:p w14:paraId="0BAA8933">
      <w:pPr>
        <w:keepNext w:val="0"/>
        <w:keepLines w:val="0"/>
        <w:pageBreakBefore w:val="0"/>
        <w:widowControl w:val="0"/>
        <w:kinsoku/>
        <w:overflowPunct/>
        <w:topLinePunct w:val="0"/>
        <w:autoSpaceDE/>
        <w:autoSpaceDN/>
        <w:bidi w:val="0"/>
        <w:adjustRightInd/>
        <w:snapToGrid/>
        <w:spacing w:line="240" w:lineRule="auto"/>
        <w:ind w:right="0" w:rightChars="0" w:firstLine="420" w:firstLineChars="200"/>
        <w:textAlignment w:val="auto"/>
        <w:rPr>
          <w:rFonts w:hint="eastAsia" w:ascii="宋体" w:hAnsi="宋体" w:eastAsia="宋体" w:cs="Times New Roman"/>
          <w:sz w:val="21"/>
          <w:szCs w:val="21"/>
          <w:highlight w:val="none"/>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0444C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4DD71C43">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甲方（盖章）：</w:t>
            </w:r>
          </w:p>
        </w:tc>
        <w:tc>
          <w:tcPr>
            <w:tcW w:w="1134" w:type="dxa"/>
            <w:vAlign w:val="top"/>
          </w:tcPr>
          <w:p w14:paraId="381184DC">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乙方（盖章）：</w:t>
            </w:r>
          </w:p>
        </w:tc>
      </w:tr>
      <w:tr w14:paraId="15B1F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5C54A3AA">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lang w:eastAsia="zh-CN"/>
              </w:rPr>
              <w:t>广东省珠江东航道事务中心东莞航道所</w:t>
            </w:r>
          </w:p>
        </w:tc>
        <w:tc>
          <w:tcPr>
            <w:tcW w:w="1134" w:type="dxa"/>
            <w:vAlign w:val="top"/>
          </w:tcPr>
          <w:p w14:paraId="087B4AA1">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hint="eastAsia" w:ascii="宋体" w:hAnsi="宋体" w:eastAsia="宋体" w:cs="Times New Roman"/>
                <w:sz w:val="21"/>
                <w:szCs w:val="21"/>
                <w:highlight w:val="none"/>
              </w:rPr>
            </w:pPr>
          </w:p>
        </w:tc>
      </w:tr>
      <w:tr w14:paraId="75B3F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65C8A970">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代表人：</w:t>
            </w:r>
          </w:p>
        </w:tc>
        <w:tc>
          <w:tcPr>
            <w:tcW w:w="1134" w:type="dxa"/>
            <w:vAlign w:val="top"/>
          </w:tcPr>
          <w:p w14:paraId="43C5E279">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代表人：</w:t>
            </w:r>
          </w:p>
        </w:tc>
      </w:tr>
      <w:tr w14:paraId="45675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4891FB1C">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经办人：</w:t>
            </w:r>
          </w:p>
        </w:tc>
        <w:tc>
          <w:tcPr>
            <w:tcW w:w="1134" w:type="dxa"/>
            <w:vAlign w:val="top"/>
          </w:tcPr>
          <w:p w14:paraId="63858D36">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经办人：</w:t>
            </w:r>
          </w:p>
        </w:tc>
      </w:tr>
      <w:tr w14:paraId="2EA55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399EE6B0">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签署日期：     年    月    日</w:t>
            </w:r>
          </w:p>
        </w:tc>
        <w:tc>
          <w:tcPr>
            <w:tcW w:w="1134" w:type="dxa"/>
            <w:vAlign w:val="top"/>
          </w:tcPr>
          <w:p w14:paraId="3C956159">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签署日期：     年    月    日</w:t>
            </w:r>
          </w:p>
        </w:tc>
      </w:tr>
    </w:tbl>
    <w:p w14:paraId="0374FD95">
      <w:pPr>
        <w:keepNext w:val="0"/>
        <w:keepLines w:val="0"/>
        <w:pageBreakBefore w:val="0"/>
        <w:widowControl w:val="0"/>
        <w:kinsoku/>
        <w:wordWrap/>
        <w:overflowPunct/>
        <w:topLinePunct w:val="0"/>
        <w:autoSpaceDE/>
        <w:autoSpaceDN/>
        <w:bidi w:val="0"/>
        <w:adjustRightInd/>
        <w:snapToGrid w:val="0"/>
        <w:spacing w:before="437" w:beforeLines="100" w:after="437" w:afterLines="100"/>
        <w:jc w:val="both"/>
        <w:textAlignment w:val="auto"/>
        <w:rPr>
          <w:rFonts w:hint="eastAsia" w:ascii="宋体" w:hAnsi="宋体" w:eastAsia="宋体" w:cs="宋体"/>
          <w:b/>
          <w:bCs/>
          <w:color w:val="auto"/>
          <w:sz w:val="21"/>
          <w:szCs w:val="21"/>
          <w:highlight w:val="none"/>
        </w:rPr>
      </w:pPr>
    </w:p>
    <w:p w14:paraId="4CD322D6">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br w:type="page"/>
      </w:r>
    </w:p>
    <w:p w14:paraId="346B7B3F">
      <w:pPr>
        <w:snapToGrid w:val="0"/>
        <w:jc w:val="left"/>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附件</w:t>
      </w:r>
      <w:r>
        <w:rPr>
          <w:rFonts w:hint="eastAsia" w:ascii="宋体" w:hAnsi="宋体" w:eastAsia="宋体" w:cs="宋体"/>
          <w:b/>
          <w:bCs/>
          <w:color w:val="auto"/>
          <w:sz w:val="21"/>
          <w:szCs w:val="21"/>
          <w:highlight w:val="none"/>
          <w:lang w:val="en-US" w:eastAsia="zh-CN"/>
        </w:rPr>
        <w:t>4</w:t>
      </w:r>
    </w:p>
    <w:p w14:paraId="3ABF214C">
      <w:pPr>
        <w:keepNext w:val="0"/>
        <w:keepLines w:val="0"/>
        <w:pageBreakBefore w:val="0"/>
        <w:widowControl w:val="0"/>
        <w:kinsoku/>
        <w:wordWrap/>
        <w:overflowPunct/>
        <w:topLinePunct w:val="0"/>
        <w:autoSpaceDE/>
        <w:autoSpaceDN/>
        <w:bidi w:val="0"/>
        <w:adjustRightInd/>
        <w:snapToGrid w:val="0"/>
        <w:spacing w:before="437" w:beforeLines="100" w:after="437" w:afterLines="10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廉政合同</w:t>
      </w:r>
    </w:p>
    <w:p w14:paraId="22962689">
      <w:pPr>
        <w:keepNext w:val="0"/>
        <w:keepLines w:val="0"/>
        <w:pageBreakBefore w:val="0"/>
        <w:widowControl w:val="0"/>
        <w:kinsoku/>
        <w:overflowPunct/>
        <w:topLinePunct w:val="0"/>
        <w:autoSpaceDE/>
        <w:autoSpaceDN/>
        <w:bidi w:val="0"/>
        <w:adjustRightInd/>
        <w:snapToGrid/>
        <w:spacing w:after="0" w:line="240" w:lineRule="auto"/>
        <w:ind w:left="0" w:leftChars="0" w:firstLine="420" w:firstLineChars="200"/>
        <w:jc w:val="both"/>
        <w:textAlignment w:val="auto"/>
        <w:rPr>
          <w:rFonts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根据党中央、国务院《关于实行党风廉政建设责任制的规定》以及有关工程建设、廉政建设的条规，为做好工程建设中的党风廉政建设，保证工程建设高效优质，保证建设资金的安全和有效使用以及投资效益，</w:t>
      </w:r>
      <w:r>
        <w:rPr>
          <w:rFonts w:hint="eastAsia" w:ascii="宋体" w:hAnsi="宋体" w:eastAsia="宋体" w:cs="Times New Roman"/>
          <w:kern w:val="2"/>
          <w:sz w:val="21"/>
          <w:szCs w:val="21"/>
          <w:highlight w:val="none"/>
          <w:u w:val="single"/>
          <w:lang w:val="en-US" w:eastAsia="zh-CN" w:bidi="ar-SA"/>
        </w:rPr>
        <w:t>广东省珠江东航道事务中心东莞航道所</w:t>
      </w:r>
      <w:r>
        <w:rPr>
          <w:rFonts w:hint="eastAsia" w:ascii="宋体" w:hAnsi="宋体" w:eastAsia="宋体" w:cs="Times New Roman"/>
          <w:kern w:val="2"/>
          <w:sz w:val="21"/>
          <w:szCs w:val="21"/>
          <w:highlight w:val="none"/>
          <w:lang w:val="en-US" w:eastAsia="zh-CN" w:bidi="ar-SA"/>
        </w:rPr>
        <w:t>（以下称甲方）与实施单位</w:t>
      </w:r>
      <w:r>
        <w:rPr>
          <w:rFonts w:hint="eastAsia" w:ascii="宋体" w:hAnsi="宋体" w:eastAsia="宋体" w:cs="Times New Roman"/>
          <w:kern w:val="2"/>
          <w:sz w:val="21"/>
          <w:szCs w:val="21"/>
          <w:highlight w:val="none"/>
          <w:u w:val="single"/>
          <w:lang w:val="en-US" w:eastAsia="zh-CN" w:bidi="ar-SA"/>
        </w:rPr>
        <w:t xml:space="preserve">      </w:t>
      </w:r>
      <w:r>
        <w:rPr>
          <w:rFonts w:hint="eastAsia" w:ascii="宋体" w:hAnsi="宋体" w:eastAsia="宋体" w:cs="Times New Roman"/>
          <w:kern w:val="2"/>
          <w:sz w:val="21"/>
          <w:szCs w:val="21"/>
          <w:highlight w:val="none"/>
          <w:lang w:val="en-US" w:eastAsia="zh-CN" w:bidi="ar-SA"/>
        </w:rPr>
        <w:t>（以下称乙方），特订立如下合同。</w:t>
      </w:r>
    </w:p>
    <w:p w14:paraId="01E70B2C">
      <w:pPr>
        <w:keepNext w:val="0"/>
        <w:keepLines w:val="0"/>
        <w:pageBreakBefore w:val="0"/>
        <w:widowControl w:val="0"/>
        <w:kinsoku/>
        <w:overflowPunct/>
        <w:topLinePunct w:val="0"/>
        <w:autoSpaceDE/>
        <w:autoSpaceDN/>
        <w:bidi w:val="0"/>
        <w:adjustRightInd/>
        <w:snapToGrid/>
        <w:spacing w:line="240" w:lineRule="auto"/>
        <w:ind w:firstLine="422" w:firstLineChars="200"/>
        <w:textAlignment w:val="auto"/>
        <w:rPr>
          <w:rFonts w:ascii="宋体" w:hAnsi="宋体" w:eastAsia="宋体" w:cs="Times New Roman"/>
          <w:b/>
          <w:bCs/>
          <w:sz w:val="21"/>
          <w:szCs w:val="21"/>
          <w:highlight w:val="none"/>
        </w:rPr>
      </w:pPr>
      <w:r>
        <w:rPr>
          <w:rFonts w:hint="eastAsia" w:ascii="宋体" w:hAnsi="宋体" w:eastAsia="宋体" w:cs="Times New Roman"/>
          <w:b/>
          <w:bCs/>
          <w:sz w:val="21"/>
          <w:szCs w:val="21"/>
          <w:highlight w:val="none"/>
        </w:rPr>
        <w:t>第一条  甲乙双方的权利和义务</w:t>
      </w:r>
    </w:p>
    <w:p w14:paraId="556B4FEA">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（一）严格遵守党和国家有关法律法规及交通部的有关廉政规定。</w:t>
      </w:r>
    </w:p>
    <w:p w14:paraId="1E7E85BA">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（二）严格执行所签订合同文件，自觉按合同办事。</w:t>
      </w:r>
    </w:p>
    <w:p w14:paraId="1A7C53B3">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（三）双方的业务活动坚持公开、公正、诚信、透明的原则（除法律认定的商业秘密和合同文件另有规定之外），不得损害国家和集体利益，违反工程建设管理规章制度。</w:t>
      </w:r>
    </w:p>
    <w:p w14:paraId="56EFA790">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（四）建立健全廉政制度，开展廉政教育，设立廉政告示牌，公布举报电话，监督并认真查处违法违纪行为。</w:t>
      </w:r>
    </w:p>
    <w:p w14:paraId="4E1938D0">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（五）发现对方在业务活动中有违反廉政规定的行为，有及时提醒对方纠正的权利和义务。</w:t>
      </w:r>
    </w:p>
    <w:p w14:paraId="1D5C7537">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（六）发现对方严重违反本合同义务条款的行为，有向其上级有关部门举报、建议给予处理并要求告知处理结果的权利。</w:t>
      </w:r>
    </w:p>
    <w:p w14:paraId="457EED20">
      <w:pPr>
        <w:keepNext w:val="0"/>
        <w:keepLines w:val="0"/>
        <w:pageBreakBefore w:val="0"/>
        <w:widowControl w:val="0"/>
        <w:kinsoku/>
        <w:overflowPunct/>
        <w:topLinePunct w:val="0"/>
        <w:autoSpaceDE/>
        <w:autoSpaceDN/>
        <w:bidi w:val="0"/>
        <w:adjustRightInd/>
        <w:snapToGrid/>
        <w:spacing w:line="240" w:lineRule="auto"/>
        <w:ind w:firstLine="422" w:firstLineChars="200"/>
        <w:textAlignment w:val="auto"/>
        <w:rPr>
          <w:rFonts w:ascii="宋体" w:hAnsi="宋体" w:eastAsia="宋体" w:cs="Times New Roman"/>
          <w:b/>
          <w:bCs/>
          <w:sz w:val="21"/>
          <w:szCs w:val="21"/>
          <w:highlight w:val="none"/>
        </w:rPr>
      </w:pPr>
      <w:r>
        <w:rPr>
          <w:rFonts w:hint="eastAsia" w:ascii="宋体" w:hAnsi="宋体" w:eastAsia="宋体" w:cs="Times New Roman"/>
          <w:b/>
          <w:bCs/>
          <w:sz w:val="21"/>
          <w:szCs w:val="21"/>
          <w:highlight w:val="none"/>
        </w:rPr>
        <w:t>第二条  甲方的义务</w:t>
      </w:r>
    </w:p>
    <w:p w14:paraId="1DC2AB66">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（一）甲方及其工作人员不得索要或接受乙方的礼金、有价证券和贵重物品，不得在乙方报销任何应由甲方或个人支付的费用。</w:t>
      </w:r>
    </w:p>
    <w:p w14:paraId="4F74BAF1">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（二）甲方工作人员不得参加乙方安排的高消费宴请和娱乐活动；不得接受乙方提供的通讯工具、交通工具和高档办公用品。</w:t>
      </w:r>
    </w:p>
    <w:p w14:paraId="30ECCD44">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（三）甲方及其工作人员不得要求或者接受乙方为其住房装修、婚丧嫁娶活动、配偶子女的工作安排以及出国出境、旅游等提供方便。</w:t>
      </w:r>
    </w:p>
    <w:p w14:paraId="27B3EB06">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（四）甲方工作人员的配偶、子女不得从事与甲方工程有关的材料设备供应、工程分包、劳务等经济活动。</w:t>
      </w:r>
    </w:p>
    <w:p w14:paraId="015D9DB2">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（五）甲方及其工作人员不得以任何理由向乙方推荐分包单位，不得要求乙方购买合同规定外的材料和设备。</w:t>
      </w:r>
    </w:p>
    <w:p w14:paraId="158C554D">
      <w:pPr>
        <w:keepNext w:val="0"/>
        <w:keepLines w:val="0"/>
        <w:pageBreakBefore w:val="0"/>
        <w:widowControl w:val="0"/>
        <w:kinsoku/>
        <w:overflowPunct/>
        <w:topLinePunct w:val="0"/>
        <w:autoSpaceDE/>
        <w:autoSpaceDN/>
        <w:bidi w:val="0"/>
        <w:adjustRightInd/>
        <w:snapToGrid/>
        <w:spacing w:line="240" w:lineRule="auto"/>
        <w:ind w:firstLine="422" w:firstLineChars="200"/>
        <w:textAlignment w:val="auto"/>
        <w:rPr>
          <w:rFonts w:ascii="宋体" w:hAnsi="宋体" w:eastAsia="宋体" w:cs="Times New Roman"/>
          <w:b/>
          <w:bCs/>
          <w:sz w:val="21"/>
          <w:szCs w:val="21"/>
          <w:highlight w:val="none"/>
        </w:rPr>
      </w:pPr>
      <w:r>
        <w:rPr>
          <w:rFonts w:hint="eastAsia" w:ascii="宋体" w:hAnsi="宋体" w:eastAsia="宋体" w:cs="Times New Roman"/>
          <w:b/>
          <w:bCs/>
          <w:sz w:val="21"/>
          <w:szCs w:val="21"/>
          <w:highlight w:val="none"/>
        </w:rPr>
        <w:t>第三条  乙方义务</w:t>
      </w:r>
    </w:p>
    <w:p w14:paraId="62F01AE0">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（一）乙方不得以任何理由向甲方及其工作人员馈赠礼金、有价证券、贵重礼品。</w:t>
      </w:r>
    </w:p>
    <w:p w14:paraId="453BA030">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（二）乙方不得以任何名义为甲方及其工作人员报销应由甲方单位或个人支付的任何费。</w:t>
      </w:r>
    </w:p>
    <w:p w14:paraId="1050FFF8">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（三）乙方不得以任何理由安排甲方工作人员参加高消费宴请及娱乐活动。</w:t>
      </w:r>
    </w:p>
    <w:p w14:paraId="44DC5F17">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（四）乙方不得为甲方单位和个人购置或提供通讯工具、交通工具和高档办公用品等。</w:t>
      </w:r>
    </w:p>
    <w:p w14:paraId="3DD6A169">
      <w:pPr>
        <w:keepNext w:val="0"/>
        <w:keepLines w:val="0"/>
        <w:pageBreakBefore w:val="0"/>
        <w:widowControl w:val="0"/>
        <w:kinsoku/>
        <w:overflowPunct/>
        <w:topLinePunct w:val="0"/>
        <w:autoSpaceDE/>
        <w:autoSpaceDN/>
        <w:bidi w:val="0"/>
        <w:adjustRightInd/>
        <w:snapToGrid/>
        <w:spacing w:line="240" w:lineRule="auto"/>
        <w:ind w:firstLine="422" w:firstLineChars="200"/>
        <w:textAlignment w:val="auto"/>
        <w:rPr>
          <w:rFonts w:ascii="宋体" w:hAnsi="宋体" w:eastAsia="宋体" w:cs="Times New Roman"/>
          <w:b/>
          <w:bCs/>
          <w:sz w:val="21"/>
          <w:szCs w:val="21"/>
          <w:highlight w:val="none"/>
        </w:rPr>
      </w:pPr>
      <w:r>
        <w:rPr>
          <w:rFonts w:hint="eastAsia" w:ascii="宋体" w:hAnsi="宋体" w:eastAsia="宋体" w:cs="Times New Roman"/>
          <w:b/>
          <w:bCs/>
          <w:sz w:val="21"/>
          <w:szCs w:val="21"/>
          <w:highlight w:val="none"/>
        </w:rPr>
        <w:t>第四条  违约责任</w:t>
      </w:r>
    </w:p>
    <w:p w14:paraId="13170642">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（一）甲方及其工作人员违反本合同第一、二条，按管理权限，依据有关规定给予党纪、政纪或组织处理；涉嫌犯罪的，移交司法机关追究刑事责任；给乙方单位造成经济损失的，应予以赔偿。</w:t>
      </w:r>
    </w:p>
    <w:p w14:paraId="0712E79F">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（二）乙方及其工作人员违反本合同第一、三条，按管理权限，依据有关规定，给予党纪、政纪或组织处理；给甲方单位造成经济损失的，应予以赔偿。</w:t>
      </w:r>
    </w:p>
    <w:p w14:paraId="533F61C9">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第五条  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696E1DC2">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第六条  本合同有效期为甲乙双方签署之日起至该工程项目竣工验收后止。</w:t>
      </w:r>
    </w:p>
    <w:p w14:paraId="10E1FBD5">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r>
        <w:rPr>
          <w:rFonts w:hint="eastAsia" w:ascii="宋体" w:hAnsi="宋体" w:eastAsia="宋体" w:cs="Times New Roman"/>
          <w:sz w:val="21"/>
          <w:szCs w:val="21"/>
          <w:highlight w:val="none"/>
        </w:rPr>
        <w:t>第七条  本合同一式肆份，甲乙双方各执贰份。</w:t>
      </w:r>
    </w:p>
    <w:p w14:paraId="3BF37C42">
      <w:pPr>
        <w:keepNext w:val="0"/>
        <w:keepLines w:val="0"/>
        <w:pageBreakBefore w:val="0"/>
        <w:widowControl w:val="0"/>
        <w:kinsoku/>
        <w:overflowPunct/>
        <w:topLinePunct w:val="0"/>
        <w:autoSpaceDE/>
        <w:autoSpaceDN/>
        <w:bidi w:val="0"/>
        <w:adjustRightInd/>
        <w:snapToGrid/>
        <w:spacing w:line="240" w:lineRule="auto"/>
        <w:ind w:firstLine="420" w:firstLineChars="200"/>
        <w:textAlignment w:val="auto"/>
        <w:rPr>
          <w:rFonts w:ascii="宋体" w:hAnsi="宋体" w:eastAsia="宋体" w:cs="Times New Roman"/>
          <w:sz w:val="21"/>
          <w:szCs w:val="21"/>
          <w:highlight w:val="none"/>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506B2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74CBC1AA">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甲方单位：</w:t>
            </w:r>
          </w:p>
        </w:tc>
        <w:tc>
          <w:tcPr>
            <w:tcW w:w="1134" w:type="dxa"/>
            <w:vAlign w:val="top"/>
          </w:tcPr>
          <w:p w14:paraId="4506713D">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乙方（盖章）：</w:t>
            </w:r>
          </w:p>
        </w:tc>
      </w:tr>
      <w:tr w14:paraId="27A57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0DFC3AF6">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hint="eastAsia" w:ascii="宋体" w:hAnsi="宋体" w:eastAsia="宋体" w:cs="Times New Roman"/>
                <w:sz w:val="21"/>
                <w:szCs w:val="21"/>
                <w:highlight w:val="none"/>
              </w:rPr>
            </w:pPr>
            <w:r>
              <w:rPr>
                <w:rFonts w:hint="eastAsia" w:ascii="宋体" w:hAnsi="宋体" w:eastAsia="宋体" w:cs="Times New Roman"/>
                <w:sz w:val="21"/>
                <w:szCs w:val="21"/>
                <w:highlight w:val="none"/>
                <w:lang w:eastAsia="zh-CN"/>
              </w:rPr>
              <w:t>广东省珠江东航道事务中心东莞航道所</w:t>
            </w:r>
          </w:p>
        </w:tc>
        <w:tc>
          <w:tcPr>
            <w:tcW w:w="1134" w:type="dxa"/>
            <w:vAlign w:val="top"/>
          </w:tcPr>
          <w:p w14:paraId="054359C1">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hint="eastAsia" w:ascii="宋体" w:hAnsi="宋体" w:eastAsia="宋体" w:cs="Times New Roman"/>
                <w:sz w:val="21"/>
                <w:szCs w:val="21"/>
                <w:highlight w:val="none"/>
              </w:rPr>
            </w:pPr>
          </w:p>
        </w:tc>
      </w:tr>
      <w:tr w14:paraId="78AF7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24A2F95C">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bookmarkStart w:id="60" w:name="_GoBack" w:colFirst="1" w:colLast="1"/>
            <w:r>
              <w:rPr>
                <w:rFonts w:hint="eastAsia" w:ascii="宋体" w:hAnsi="宋体" w:eastAsia="宋体" w:cs="Times New Roman"/>
                <w:sz w:val="21"/>
                <w:szCs w:val="21"/>
                <w:highlight w:val="none"/>
              </w:rPr>
              <w:t>代表人：</w:t>
            </w:r>
          </w:p>
        </w:tc>
        <w:tc>
          <w:tcPr>
            <w:tcW w:w="1134" w:type="dxa"/>
            <w:vAlign w:val="top"/>
          </w:tcPr>
          <w:p w14:paraId="2FBD8C04">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代表人：</w:t>
            </w:r>
          </w:p>
        </w:tc>
      </w:tr>
      <w:tr w14:paraId="72DC5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2A71A960">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经办人：</w:t>
            </w:r>
          </w:p>
        </w:tc>
        <w:tc>
          <w:tcPr>
            <w:tcW w:w="1134" w:type="dxa"/>
            <w:vAlign w:val="top"/>
          </w:tcPr>
          <w:p w14:paraId="22FBB712">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经办人：</w:t>
            </w:r>
          </w:p>
        </w:tc>
      </w:tr>
      <w:tr w14:paraId="5E8EC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134" w:type="dxa"/>
            <w:vAlign w:val="top"/>
          </w:tcPr>
          <w:p w14:paraId="332A71AC">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签署日期：     年    月    日</w:t>
            </w:r>
          </w:p>
        </w:tc>
        <w:tc>
          <w:tcPr>
            <w:tcW w:w="1134" w:type="dxa"/>
            <w:vAlign w:val="top"/>
          </w:tcPr>
          <w:p w14:paraId="50AA1ED8">
            <w:pPr>
              <w:keepNext w:val="0"/>
              <w:keepLines w:val="0"/>
              <w:pageBreakBefore w:val="0"/>
              <w:widowControl w:val="0"/>
              <w:kinsoku/>
              <w:overflowPunct/>
              <w:topLinePunct w:val="0"/>
              <w:autoSpaceDE/>
              <w:autoSpaceDN/>
              <w:bidi w:val="0"/>
              <w:adjustRightInd/>
              <w:snapToGrid/>
              <w:spacing w:line="240" w:lineRule="auto"/>
              <w:ind w:right="0" w:rightChars="0"/>
              <w:textAlignment w:val="auto"/>
              <w:rPr>
                <w:rFonts w:ascii="仿宋_GB2312" w:hAnsi="Times New Roman" w:eastAsia="仿宋_GB2312" w:cs="Times New Roman"/>
                <w:sz w:val="21"/>
                <w:szCs w:val="21"/>
                <w:highlight w:val="none"/>
                <w:vertAlign w:val="baseline"/>
              </w:rPr>
            </w:pPr>
            <w:r>
              <w:rPr>
                <w:rFonts w:hint="eastAsia" w:ascii="宋体" w:hAnsi="宋体" w:eastAsia="宋体" w:cs="Times New Roman"/>
                <w:sz w:val="21"/>
                <w:szCs w:val="21"/>
                <w:highlight w:val="none"/>
              </w:rPr>
              <w:t>签署日期：     年    月    日</w:t>
            </w:r>
          </w:p>
        </w:tc>
      </w:tr>
      <w:bookmarkEnd w:id="60"/>
    </w:tbl>
    <w:p w14:paraId="1751686A">
      <w:pPr>
        <w:keepNext w:val="0"/>
        <w:keepLines w:val="0"/>
        <w:pageBreakBefore w:val="0"/>
        <w:widowControl w:val="0"/>
        <w:kinsoku/>
        <w:wordWrap/>
        <w:overflowPunct/>
        <w:topLinePunct w:val="0"/>
        <w:autoSpaceDE/>
        <w:autoSpaceDN/>
        <w:bidi w:val="0"/>
        <w:adjustRightInd/>
        <w:snapToGrid w:val="0"/>
        <w:spacing w:before="437" w:beforeLines="100" w:after="437" w:afterLines="100"/>
        <w:jc w:val="both"/>
        <w:textAlignment w:val="auto"/>
        <w:rPr>
          <w:rFonts w:hint="eastAsia" w:ascii="宋体" w:hAnsi="宋体" w:eastAsia="宋体" w:cs="宋体"/>
          <w:b/>
          <w:bCs/>
          <w:color w:val="auto"/>
          <w:sz w:val="21"/>
          <w:szCs w:val="21"/>
          <w:highlight w:val="none"/>
        </w:rPr>
      </w:pPr>
    </w:p>
    <w:p w14:paraId="2A543E0D">
      <w:pPr>
        <w:keepNext w:val="0"/>
        <w:keepLines w:val="0"/>
        <w:pageBreakBefore w:val="0"/>
        <w:widowControl w:val="0"/>
        <w:kinsoku/>
        <w:wordWrap/>
        <w:overflowPunct/>
        <w:topLinePunct w:val="0"/>
        <w:autoSpaceDE/>
        <w:autoSpaceDN/>
        <w:bidi w:val="0"/>
        <w:adjustRightInd/>
        <w:snapToGrid w:val="0"/>
        <w:spacing w:before="437" w:beforeLines="100" w:after="437" w:afterLines="100"/>
        <w:jc w:val="both"/>
        <w:textAlignment w:val="auto"/>
        <w:rPr>
          <w:rFonts w:hint="eastAsia" w:ascii="宋体" w:hAnsi="宋体" w:eastAsia="宋体" w:cs="宋体"/>
          <w:b/>
          <w:bCs/>
          <w:color w:val="auto"/>
          <w:sz w:val="21"/>
          <w:szCs w:val="21"/>
          <w:highlight w:val="none"/>
        </w:rPr>
      </w:pPr>
    </w:p>
    <w:p w14:paraId="4BE13B12">
      <w:pPr>
        <w:pageBreakBefore/>
        <w:widowControl/>
        <w:jc w:val="center"/>
        <w:outlineLvl w:val="1"/>
        <w:rPr>
          <w:rFonts w:ascii="Calibri" w:hAnsi="Calibri" w:eastAsia="宋体" w:cs="Times New Roman"/>
          <w:color w:val="auto"/>
          <w:kern w:val="0"/>
          <w:sz w:val="20"/>
          <w:szCs w:val="20"/>
          <w:highlight w:val="none"/>
          <w:lang w:eastAsia="zh-Hans"/>
        </w:rPr>
      </w:pPr>
      <w:bookmarkStart w:id="33" w:name="_Toc12392"/>
      <w:bookmarkStart w:id="34" w:name="_Toc169799784"/>
      <w:r>
        <w:rPr>
          <w:rFonts w:ascii="Calibri" w:hAnsi="Calibri" w:eastAsia="宋体" w:cs="Times New Roman"/>
          <w:b/>
          <w:color w:val="auto"/>
          <w:kern w:val="0"/>
          <w:sz w:val="36"/>
          <w:szCs w:val="20"/>
          <w:highlight w:val="none"/>
          <w:lang w:eastAsia="zh-Hans"/>
        </w:rPr>
        <w:t>第六章 投标文件格式</w:t>
      </w:r>
      <w:bookmarkEnd w:id="33"/>
      <w:bookmarkEnd w:id="34"/>
    </w:p>
    <w:p w14:paraId="3BD6336B">
      <w:pPr>
        <w:widowControl/>
        <w:jc w:val="left"/>
        <w:rPr>
          <w:rFonts w:ascii="Calibri" w:hAnsi="Calibri" w:eastAsia="宋体" w:cs="Times New Roman"/>
          <w:color w:val="auto"/>
          <w:kern w:val="0"/>
          <w:sz w:val="20"/>
          <w:szCs w:val="20"/>
          <w:highlight w:val="none"/>
          <w:lang w:eastAsia="zh-Hans"/>
        </w:rPr>
      </w:pPr>
    </w:p>
    <w:p w14:paraId="05D8AB7D">
      <w:pPr>
        <w:spacing w:before="652" w:beforeLines="150"/>
        <w:jc w:val="center"/>
        <w:rPr>
          <w:rFonts w:hint="eastAsia" w:ascii="宋体" w:hAnsi="宋体" w:eastAsia="宋体"/>
          <w:b/>
          <w:bCs/>
          <w:color w:val="auto"/>
          <w:sz w:val="80"/>
          <w:szCs w:val="80"/>
          <w:highlight w:val="none"/>
        </w:rPr>
      </w:pPr>
      <w:bookmarkStart w:id="35" w:name="_Toc169799785"/>
      <w:r>
        <w:rPr>
          <w:rFonts w:hint="eastAsia" w:ascii="宋体" w:hAnsi="宋体" w:eastAsia="宋体"/>
          <w:b/>
          <w:bCs/>
          <w:color w:val="auto"/>
          <w:sz w:val="80"/>
          <w:szCs w:val="80"/>
          <w:highlight w:val="none"/>
        </w:rPr>
        <w:t>2025年东莞航道所外场业务感知终端运维项目</w:t>
      </w:r>
    </w:p>
    <w:p w14:paraId="210B640E">
      <w:pPr>
        <w:spacing w:before="652" w:beforeLines="150"/>
        <w:jc w:val="center"/>
        <w:rPr>
          <w:rFonts w:hint="eastAsia"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5"/>
    </w:p>
    <w:p w14:paraId="18DC23B8">
      <w:pPr>
        <w:jc w:val="center"/>
        <w:rPr>
          <w:rFonts w:hint="eastAsia" w:ascii="宋体" w:hAnsi="宋体" w:eastAsia="宋体"/>
          <w:b/>
          <w:bCs/>
          <w:color w:val="auto"/>
          <w:sz w:val="44"/>
          <w:szCs w:val="48"/>
          <w:highlight w:val="none"/>
          <w:lang w:eastAsia="zh-CN"/>
        </w:rPr>
      </w:pPr>
      <w:bookmarkStart w:id="36" w:name="_Toc169799786"/>
      <w:r>
        <w:rPr>
          <w:rFonts w:ascii="宋体" w:hAnsi="宋体" w:eastAsia="宋体"/>
          <w:b/>
          <w:bCs/>
          <w:color w:val="auto"/>
          <w:sz w:val="44"/>
          <w:szCs w:val="48"/>
          <w:highlight w:val="none"/>
        </w:rPr>
        <w:t>（正本/副本）</w:t>
      </w:r>
      <w:bookmarkEnd w:id="36"/>
    </w:p>
    <w:p w14:paraId="7640384D">
      <w:pPr>
        <w:jc w:val="center"/>
        <w:rPr>
          <w:rFonts w:hint="eastAsia" w:ascii="宋体" w:hAnsi="宋体" w:eastAsia="宋体"/>
          <w:b/>
          <w:bCs/>
          <w:color w:val="auto"/>
          <w:sz w:val="44"/>
          <w:szCs w:val="48"/>
          <w:highlight w:val="none"/>
          <w:lang w:eastAsia="zh-CN"/>
        </w:rPr>
      </w:pPr>
    </w:p>
    <w:p w14:paraId="3170E0B3">
      <w:pPr>
        <w:keepNext w:val="0"/>
        <w:keepLines w:val="0"/>
        <w:pageBreakBefore w:val="0"/>
        <w:widowControl/>
        <w:kinsoku/>
        <w:wordWrap/>
        <w:overflowPunct/>
        <w:topLinePunct w:val="0"/>
        <w:autoSpaceDE/>
        <w:autoSpaceDN/>
        <w:bidi w:val="0"/>
        <w:adjustRightInd/>
        <w:snapToGrid/>
        <w:spacing w:before="2612" w:beforeLines="600" w:line="360" w:lineRule="auto"/>
        <w:ind w:firstLine="1558" w:firstLineChars="485"/>
        <w:jc w:val="left"/>
        <w:textAlignment w:val="auto"/>
        <w:outlineLvl w:val="3"/>
        <w:rPr>
          <w:rFonts w:hint="eastAsia"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270809D0">
      <w:pPr>
        <w:widowControl/>
        <w:spacing w:line="360" w:lineRule="auto"/>
        <w:ind w:firstLine="1558" w:firstLineChars="485"/>
        <w:jc w:val="left"/>
        <w:outlineLvl w:val="3"/>
        <w:rPr>
          <w:rFonts w:hint="eastAsia"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0D4EC97F">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A4BBA4A">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EBBBA06">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F48536D">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21B0D604">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分项报价表</w:t>
      </w:r>
    </w:p>
    <w:p w14:paraId="44FDCF52">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中小企业声明函</w:t>
      </w:r>
    </w:p>
    <w:p w14:paraId="108B7D2C">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监狱企业</w:t>
      </w:r>
    </w:p>
    <w:p w14:paraId="2E7FF5AF">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残疾人福利性单位声明函</w:t>
      </w:r>
    </w:p>
    <w:p w14:paraId="59C1C122">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政策适用性说明</w:t>
      </w:r>
    </w:p>
    <w:p w14:paraId="64F86F89">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0FC81619">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706CF992">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资格条件承诺函</w:t>
      </w:r>
    </w:p>
    <w:p w14:paraId="48487552">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60DD28BD">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5415DBBC">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项目技术服务人员情况表</w:t>
      </w:r>
    </w:p>
    <w:p w14:paraId="5AD652F2">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26C62875">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1C89BCE7">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37720C53">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2685B1F6">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178F3612">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采购代理服务费支付承诺书</w:t>
      </w:r>
    </w:p>
    <w:p w14:paraId="22F42438">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5F7686ED">
      <w:pPr>
        <w:widowControl/>
        <w:numPr>
          <w:ilvl w:val="0"/>
          <w:numId w:val="132"/>
        </w:numPr>
        <w:ind w:left="0" w:leftChars="0" w:firstLine="0"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项目实施方案、质量保证及售后服务承诺等</w:t>
      </w:r>
    </w:p>
    <w:p w14:paraId="7763ECFF">
      <w:pPr>
        <w:widowControl/>
        <w:jc w:val="left"/>
        <w:rPr>
          <w:rFonts w:ascii="Calibri" w:hAnsi="Calibri" w:eastAsia="宋体" w:cs="Times New Roman"/>
          <w:color w:val="auto"/>
          <w:kern w:val="0"/>
          <w:sz w:val="20"/>
          <w:szCs w:val="20"/>
          <w:highlight w:val="none"/>
        </w:rPr>
      </w:pPr>
    </w:p>
    <w:p w14:paraId="7D153F07">
      <w:pPr>
        <w:widowControl/>
        <w:jc w:val="left"/>
        <w:rPr>
          <w:rFonts w:ascii="Calibri" w:hAnsi="Calibri" w:eastAsia="宋体" w:cs="Times New Roman"/>
          <w:color w:val="auto"/>
          <w:kern w:val="0"/>
          <w:sz w:val="20"/>
          <w:szCs w:val="20"/>
          <w:highlight w:val="none"/>
          <w:lang w:eastAsia="zh-Hans"/>
        </w:rPr>
      </w:pPr>
    </w:p>
    <w:p w14:paraId="0CF31EBB">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53EF11C2">
      <w:pPr>
        <w:keepLines/>
        <w:tabs>
          <w:tab w:val="left" w:pos="284"/>
          <w:tab w:val="left" w:pos="426"/>
          <w:tab w:val="left" w:pos="709"/>
        </w:tabs>
        <w:spacing w:before="217" w:beforeLines="50" w:after="217" w:afterLines="50"/>
        <w:jc w:val="center"/>
        <w:rPr>
          <w:rFonts w:hint="eastAsia"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293BB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5000" w:type="pct"/>
            <w:gridSpan w:val="3"/>
            <w:vAlign w:val="center"/>
          </w:tcPr>
          <w:p w14:paraId="4919332E">
            <w:pPr>
              <w:spacing w:line="360" w:lineRule="auto"/>
              <w:jc w:val="left"/>
              <w:rPr>
                <w:rFonts w:hint="eastAsia"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2DAF7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20AB1EBF">
            <w:pPr>
              <w:spacing w:line="360" w:lineRule="auto"/>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DA63ABE">
            <w:pPr>
              <w:spacing w:line="360" w:lineRule="auto"/>
              <w:ind w:left="211" w:hanging="211" w:hangingChars="100"/>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63A59646">
            <w:pPr>
              <w:spacing w:line="360" w:lineRule="auto"/>
              <w:jc w:val="center"/>
              <w:rPr>
                <w:rFonts w:hint="eastAsia"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05F4C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2761B0B">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7527BE30">
            <w:pPr>
              <w:spacing w:line="360" w:lineRule="auto"/>
              <w:jc w:val="center"/>
              <w:rPr>
                <w:rFonts w:hint="eastAsia" w:ascii="宋体" w:hAnsi="宋体" w:eastAsia="宋体"/>
                <w:b/>
                <w:bCs/>
                <w:color w:val="auto"/>
                <w:szCs w:val="21"/>
                <w:highlight w:val="none"/>
              </w:rPr>
            </w:pPr>
          </w:p>
        </w:tc>
        <w:tc>
          <w:tcPr>
            <w:tcW w:w="1470" w:type="pct"/>
            <w:vAlign w:val="center"/>
          </w:tcPr>
          <w:p w14:paraId="3D761D9E">
            <w:pPr>
              <w:spacing w:line="360" w:lineRule="auto"/>
              <w:jc w:val="center"/>
              <w:rPr>
                <w:rFonts w:hint="eastAsia" w:ascii="宋体" w:hAnsi="宋体" w:eastAsia="宋体"/>
                <w:b/>
                <w:bCs/>
                <w:color w:val="auto"/>
                <w:szCs w:val="21"/>
                <w:highlight w:val="none"/>
              </w:rPr>
            </w:pPr>
          </w:p>
        </w:tc>
      </w:tr>
      <w:tr w14:paraId="331CF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92175EB">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0509B874">
            <w:pPr>
              <w:spacing w:line="360" w:lineRule="auto"/>
              <w:jc w:val="center"/>
              <w:rPr>
                <w:rFonts w:hint="eastAsia" w:ascii="宋体" w:hAnsi="宋体" w:eastAsia="宋体"/>
                <w:b/>
                <w:bCs/>
                <w:color w:val="auto"/>
                <w:szCs w:val="21"/>
                <w:highlight w:val="none"/>
              </w:rPr>
            </w:pPr>
          </w:p>
        </w:tc>
        <w:tc>
          <w:tcPr>
            <w:tcW w:w="1470" w:type="pct"/>
            <w:vAlign w:val="center"/>
          </w:tcPr>
          <w:p w14:paraId="2C833224">
            <w:pPr>
              <w:spacing w:line="360" w:lineRule="auto"/>
              <w:jc w:val="center"/>
              <w:rPr>
                <w:rFonts w:hint="eastAsia" w:ascii="宋体" w:hAnsi="宋体" w:eastAsia="宋体"/>
                <w:b/>
                <w:bCs/>
                <w:color w:val="auto"/>
                <w:szCs w:val="21"/>
                <w:highlight w:val="none"/>
              </w:rPr>
            </w:pPr>
          </w:p>
        </w:tc>
      </w:tr>
      <w:tr w14:paraId="5D3FB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5771D21">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602750EA">
            <w:pPr>
              <w:spacing w:line="360" w:lineRule="auto"/>
              <w:jc w:val="center"/>
              <w:rPr>
                <w:rFonts w:hint="eastAsia" w:ascii="宋体" w:hAnsi="宋体" w:eastAsia="宋体"/>
                <w:b/>
                <w:bCs/>
                <w:color w:val="auto"/>
                <w:szCs w:val="21"/>
                <w:highlight w:val="none"/>
              </w:rPr>
            </w:pPr>
          </w:p>
        </w:tc>
        <w:tc>
          <w:tcPr>
            <w:tcW w:w="1470" w:type="pct"/>
            <w:vAlign w:val="center"/>
          </w:tcPr>
          <w:p w14:paraId="33EC9090">
            <w:pPr>
              <w:spacing w:line="360" w:lineRule="auto"/>
              <w:jc w:val="center"/>
              <w:rPr>
                <w:rFonts w:hint="eastAsia" w:ascii="宋体" w:hAnsi="宋体" w:eastAsia="宋体"/>
                <w:b/>
                <w:bCs/>
                <w:color w:val="auto"/>
                <w:szCs w:val="21"/>
                <w:highlight w:val="none"/>
              </w:rPr>
            </w:pPr>
          </w:p>
        </w:tc>
      </w:tr>
      <w:tr w14:paraId="0418A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0FA6A94">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64127CF1">
            <w:pPr>
              <w:spacing w:line="360" w:lineRule="auto"/>
              <w:jc w:val="center"/>
              <w:rPr>
                <w:rFonts w:hint="eastAsia" w:ascii="宋体" w:hAnsi="宋体" w:eastAsia="宋体"/>
                <w:b/>
                <w:bCs/>
                <w:color w:val="auto"/>
                <w:szCs w:val="21"/>
                <w:highlight w:val="none"/>
              </w:rPr>
            </w:pPr>
          </w:p>
        </w:tc>
        <w:tc>
          <w:tcPr>
            <w:tcW w:w="1470" w:type="pct"/>
            <w:vAlign w:val="center"/>
          </w:tcPr>
          <w:p w14:paraId="64677610">
            <w:pPr>
              <w:spacing w:line="360" w:lineRule="auto"/>
              <w:jc w:val="center"/>
              <w:rPr>
                <w:rFonts w:hint="eastAsia" w:ascii="宋体" w:hAnsi="宋体" w:eastAsia="宋体"/>
                <w:b/>
                <w:bCs/>
                <w:color w:val="auto"/>
                <w:szCs w:val="21"/>
                <w:highlight w:val="none"/>
              </w:rPr>
            </w:pPr>
          </w:p>
        </w:tc>
      </w:tr>
      <w:tr w14:paraId="674E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7AB2A7CA">
            <w:pPr>
              <w:spacing w:line="360" w:lineRule="auto"/>
              <w:jc w:val="left"/>
              <w:rPr>
                <w:rFonts w:hint="eastAsia"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45CDB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556A381">
            <w:pPr>
              <w:spacing w:line="360" w:lineRule="auto"/>
              <w:jc w:val="center"/>
              <w:rPr>
                <w:rFonts w:hint="eastAsia"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0206C685">
            <w:pPr>
              <w:spacing w:line="360" w:lineRule="auto"/>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3C6D3E3E">
            <w:pPr>
              <w:spacing w:line="360" w:lineRule="auto"/>
              <w:jc w:val="center"/>
              <w:rPr>
                <w:rFonts w:hint="eastAsia"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D4C5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6BA1257">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BC6AA20">
            <w:pPr>
              <w:spacing w:line="360" w:lineRule="auto"/>
              <w:jc w:val="center"/>
              <w:rPr>
                <w:rFonts w:hint="eastAsia" w:ascii="宋体" w:hAnsi="宋体" w:eastAsia="宋体"/>
                <w:b/>
                <w:bCs/>
                <w:color w:val="auto"/>
                <w:szCs w:val="21"/>
                <w:highlight w:val="none"/>
              </w:rPr>
            </w:pPr>
          </w:p>
        </w:tc>
        <w:tc>
          <w:tcPr>
            <w:tcW w:w="1470" w:type="pct"/>
            <w:vAlign w:val="center"/>
          </w:tcPr>
          <w:p w14:paraId="76F5AC2E">
            <w:pPr>
              <w:spacing w:line="360" w:lineRule="auto"/>
              <w:jc w:val="center"/>
              <w:rPr>
                <w:rFonts w:hint="eastAsia" w:ascii="宋体" w:hAnsi="宋体" w:eastAsia="宋体"/>
                <w:b/>
                <w:bCs/>
                <w:color w:val="auto"/>
                <w:spacing w:val="-10"/>
                <w:szCs w:val="21"/>
                <w:highlight w:val="none"/>
              </w:rPr>
            </w:pPr>
          </w:p>
        </w:tc>
      </w:tr>
      <w:tr w14:paraId="55A1E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BA9ACFE">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4A2F593A">
            <w:pPr>
              <w:spacing w:line="360" w:lineRule="auto"/>
              <w:jc w:val="center"/>
              <w:rPr>
                <w:rFonts w:hint="eastAsia" w:ascii="宋体" w:hAnsi="宋体" w:eastAsia="宋体"/>
                <w:b/>
                <w:bCs/>
                <w:color w:val="auto"/>
                <w:szCs w:val="21"/>
                <w:highlight w:val="none"/>
              </w:rPr>
            </w:pPr>
          </w:p>
        </w:tc>
        <w:tc>
          <w:tcPr>
            <w:tcW w:w="1470" w:type="pct"/>
            <w:vAlign w:val="center"/>
          </w:tcPr>
          <w:p w14:paraId="4337041D">
            <w:pPr>
              <w:spacing w:line="360" w:lineRule="auto"/>
              <w:jc w:val="center"/>
              <w:rPr>
                <w:rFonts w:hint="eastAsia" w:ascii="宋体" w:hAnsi="宋体" w:eastAsia="宋体"/>
                <w:b/>
                <w:bCs/>
                <w:color w:val="auto"/>
                <w:spacing w:val="-10"/>
                <w:szCs w:val="21"/>
                <w:highlight w:val="none"/>
              </w:rPr>
            </w:pPr>
          </w:p>
        </w:tc>
      </w:tr>
      <w:tr w14:paraId="2342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CA0A71A">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09999007">
            <w:pPr>
              <w:spacing w:line="360" w:lineRule="auto"/>
              <w:jc w:val="center"/>
              <w:rPr>
                <w:rFonts w:hint="eastAsia" w:ascii="宋体" w:hAnsi="宋体" w:eastAsia="宋体"/>
                <w:b/>
                <w:bCs/>
                <w:color w:val="auto"/>
                <w:szCs w:val="21"/>
                <w:highlight w:val="none"/>
              </w:rPr>
            </w:pPr>
          </w:p>
        </w:tc>
        <w:tc>
          <w:tcPr>
            <w:tcW w:w="1470" w:type="pct"/>
            <w:vAlign w:val="center"/>
          </w:tcPr>
          <w:p w14:paraId="315724A0">
            <w:pPr>
              <w:spacing w:line="360" w:lineRule="auto"/>
              <w:jc w:val="center"/>
              <w:rPr>
                <w:rFonts w:hint="eastAsia" w:ascii="宋体" w:hAnsi="宋体" w:eastAsia="宋体"/>
                <w:b/>
                <w:bCs/>
                <w:color w:val="auto"/>
                <w:spacing w:val="-10"/>
                <w:szCs w:val="21"/>
                <w:highlight w:val="none"/>
              </w:rPr>
            </w:pPr>
          </w:p>
        </w:tc>
      </w:tr>
      <w:tr w14:paraId="11B27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B193917">
            <w:pPr>
              <w:spacing w:line="360" w:lineRule="auto"/>
              <w:jc w:val="center"/>
              <w:rPr>
                <w:rFonts w:hint="eastAsia"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21140103">
            <w:pPr>
              <w:spacing w:line="360" w:lineRule="auto"/>
              <w:jc w:val="center"/>
              <w:rPr>
                <w:rFonts w:hint="eastAsia" w:ascii="宋体" w:hAnsi="宋体" w:eastAsia="宋体"/>
                <w:b/>
                <w:bCs/>
                <w:color w:val="auto"/>
                <w:szCs w:val="21"/>
                <w:highlight w:val="none"/>
              </w:rPr>
            </w:pPr>
          </w:p>
        </w:tc>
        <w:tc>
          <w:tcPr>
            <w:tcW w:w="1470" w:type="pct"/>
            <w:vAlign w:val="center"/>
          </w:tcPr>
          <w:p w14:paraId="309AB19B">
            <w:pPr>
              <w:spacing w:line="360" w:lineRule="auto"/>
              <w:jc w:val="center"/>
              <w:rPr>
                <w:rFonts w:hint="eastAsia" w:ascii="宋体" w:hAnsi="宋体" w:eastAsia="宋体"/>
                <w:b/>
                <w:bCs/>
                <w:color w:val="auto"/>
                <w:spacing w:val="-10"/>
                <w:szCs w:val="21"/>
                <w:highlight w:val="none"/>
              </w:rPr>
            </w:pPr>
          </w:p>
        </w:tc>
      </w:tr>
    </w:tbl>
    <w:p w14:paraId="7190A404">
      <w:pPr>
        <w:spacing w:before="217" w:beforeLines="50" w:line="360" w:lineRule="auto"/>
        <w:rPr>
          <w:rFonts w:hint="eastAsia"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68312F8C">
      <w:pPr>
        <w:pageBreakBefore/>
        <w:tabs>
          <w:tab w:val="left" w:pos="284"/>
          <w:tab w:val="left" w:pos="426"/>
          <w:tab w:val="left" w:pos="709"/>
        </w:tabs>
        <w:jc w:val="left"/>
        <w:rPr>
          <w:rFonts w:hint="eastAsia" w:ascii="宋体" w:hAnsi="宋体" w:eastAsia="宋体"/>
          <w:b/>
          <w:bCs/>
          <w:color w:val="auto"/>
          <w:szCs w:val="21"/>
          <w:highlight w:val="none"/>
        </w:rPr>
      </w:pPr>
      <w:bookmarkStart w:id="37"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7"/>
      <w:r>
        <w:rPr>
          <w:rFonts w:hint="eastAsia" w:ascii="宋体" w:hAnsi="宋体" w:eastAsia="宋体"/>
          <w:b/>
          <w:bCs/>
          <w:color w:val="auto"/>
          <w:sz w:val="24"/>
          <w:szCs w:val="24"/>
          <w:highlight w:val="none"/>
        </w:rPr>
        <w:t>格式</w:t>
      </w:r>
    </w:p>
    <w:p w14:paraId="2B452619">
      <w:pPr>
        <w:spacing w:before="435" w:beforeLines="100" w:after="435" w:afterLines="100"/>
        <w:jc w:val="center"/>
        <w:rPr>
          <w:rFonts w:hint="eastAsia"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5E1A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8C8ED3B">
            <w:pPr>
              <w:spacing w:line="360" w:lineRule="auto"/>
              <w:jc w:val="center"/>
              <w:rPr>
                <w:rFonts w:hint="eastAsia"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4B347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39DAA26">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D8E0429">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087ACC2">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306264EA">
            <w:pPr>
              <w:spacing w:line="360" w:lineRule="auto"/>
              <w:jc w:val="center"/>
              <w:rPr>
                <w:rFonts w:hint="eastAsia"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91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0574FB9">
            <w:pPr>
              <w:spacing w:line="360" w:lineRule="auto"/>
              <w:jc w:val="center"/>
              <w:rPr>
                <w:rFonts w:hint="eastAsia" w:ascii="宋体" w:hAnsi="宋体" w:eastAsia="宋体"/>
                <w:b/>
                <w:color w:val="auto"/>
                <w:szCs w:val="21"/>
                <w:highlight w:val="none"/>
              </w:rPr>
            </w:pPr>
          </w:p>
        </w:tc>
        <w:tc>
          <w:tcPr>
            <w:tcW w:w="914" w:type="pct"/>
            <w:vAlign w:val="center"/>
          </w:tcPr>
          <w:p w14:paraId="3B222E0C">
            <w:pPr>
              <w:spacing w:line="360" w:lineRule="auto"/>
              <w:jc w:val="center"/>
              <w:rPr>
                <w:rFonts w:hint="eastAsia" w:ascii="宋体" w:hAnsi="宋体" w:eastAsia="宋体"/>
                <w:b/>
                <w:color w:val="auto"/>
                <w:szCs w:val="21"/>
                <w:highlight w:val="none"/>
              </w:rPr>
            </w:pPr>
          </w:p>
        </w:tc>
        <w:tc>
          <w:tcPr>
            <w:tcW w:w="1994" w:type="pct"/>
            <w:vAlign w:val="center"/>
          </w:tcPr>
          <w:p w14:paraId="1FAD4AD0">
            <w:pPr>
              <w:spacing w:line="360" w:lineRule="auto"/>
              <w:jc w:val="center"/>
              <w:rPr>
                <w:rFonts w:hint="eastAsia" w:ascii="宋体" w:hAnsi="宋体" w:eastAsia="宋体"/>
                <w:b/>
                <w:color w:val="auto"/>
                <w:szCs w:val="21"/>
                <w:highlight w:val="none"/>
              </w:rPr>
            </w:pPr>
          </w:p>
        </w:tc>
        <w:tc>
          <w:tcPr>
            <w:tcW w:w="1445" w:type="pct"/>
            <w:vAlign w:val="center"/>
          </w:tcPr>
          <w:p w14:paraId="4D0CCF82">
            <w:pPr>
              <w:spacing w:line="360" w:lineRule="auto"/>
              <w:jc w:val="center"/>
              <w:rPr>
                <w:rFonts w:hint="eastAsia" w:ascii="宋体" w:hAnsi="宋体" w:eastAsia="宋体"/>
                <w:b/>
                <w:color w:val="auto"/>
                <w:szCs w:val="21"/>
                <w:highlight w:val="none"/>
              </w:rPr>
            </w:pPr>
          </w:p>
        </w:tc>
      </w:tr>
      <w:tr w14:paraId="1FDAE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0CF0631">
            <w:pPr>
              <w:spacing w:line="360" w:lineRule="auto"/>
              <w:jc w:val="center"/>
              <w:rPr>
                <w:rFonts w:hint="eastAsia" w:ascii="宋体" w:hAnsi="宋体" w:eastAsia="宋体"/>
                <w:b/>
                <w:color w:val="auto"/>
                <w:szCs w:val="21"/>
                <w:highlight w:val="none"/>
              </w:rPr>
            </w:pPr>
          </w:p>
        </w:tc>
        <w:tc>
          <w:tcPr>
            <w:tcW w:w="914" w:type="pct"/>
            <w:vAlign w:val="center"/>
          </w:tcPr>
          <w:p w14:paraId="6E48D4C0">
            <w:pPr>
              <w:spacing w:line="360" w:lineRule="auto"/>
              <w:jc w:val="center"/>
              <w:rPr>
                <w:rFonts w:hint="eastAsia" w:ascii="宋体" w:hAnsi="宋体" w:eastAsia="宋体"/>
                <w:b/>
                <w:color w:val="auto"/>
                <w:szCs w:val="21"/>
                <w:highlight w:val="none"/>
              </w:rPr>
            </w:pPr>
          </w:p>
        </w:tc>
        <w:tc>
          <w:tcPr>
            <w:tcW w:w="1994" w:type="pct"/>
            <w:vAlign w:val="center"/>
          </w:tcPr>
          <w:p w14:paraId="7CE2CC21">
            <w:pPr>
              <w:spacing w:line="360" w:lineRule="auto"/>
              <w:jc w:val="center"/>
              <w:rPr>
                <w:rFonts w:hint="eastAsia" w:ascii="宋体" w:hAnsi="宋体" w:eastAsia="宋体"/>
                <w:b/>
                <w:color w:val="auto"/>
                <w:szCs w:val="21"/>
                <w:highlight w:val="none"/>
              </w:rPr>
            </w:pPr>
          </w:p>
        </w:tc>
        <w:tc>
          <w:tcPr>
            <w:tcW w:w="1445" w:type="pct"/>
            <w:vAlign w:val="center"/>
          </w:tcPr>
          <w:p w14:paraId="7C54910C">
            <w:pPr>
              <w:spacing w:line="360" w:lineRule="auto"/>
              <w:jc w:val="center"/>
              <w:rPr>
                <w:rFonts w:hint="eastAsia" w:ascii="宋体" w:hAnsi="宋体" w:eastAsia="宋体"/>
                <w:b/>
                <w:color w:val="auto"/>
                <w:szCs w:val="21"/>
                <w:highlight w:val="none"/>
              </w:rPr>
            </w:pPr>
          </w:p>
        </w:tc>
      </w:tr>
      <w:tr w14:paraId="1D322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C96B343">
            <w:pPr>
              <w:spacing w:line="360" w:lineRule="auto"/>
              <w:jc w:val="center"/>
              <w:rPr>
                <w:rFonts w:hint="eastAsia" w:ascii="宋体" w:hAnsi="宋体" w:eastAsia="宋体"/>
                <w:b/>
                <w:color w:val="auto"/>
                <w:szCs w:val="21"/>
                <w:highlight w:val="none"/>
              </w:rPr>
            </w:pPr>
          </w:p>
        </w:tc>
        <w:tc>
          <w:tcPr>
            <w:tcW w:w="914" w:type="pct"/>
            <w:vAlign w:val="center"/>
          </w:tcPr>
          <w:p w14:paraId="4F21B1A3">
            <w:pPr>
              <w:spacing w:line="360" w:lineRule="auto"/>
              <w:jc w:val="center"/>
              <w:rPr>
                <w:rFonts w:hint="eastAsia" w:ascii="宋体" w:hAnsi="宋体" w:eastAsia="宋体"/>
                <w:b/>
                <w:color w:val="auto"/>
                <w:szCs w:val="21"/>
                <w:highlight w:val="none"/>
              </w:rPr>
            </w:pPr>
          </w:p>
        </w:tc>
        <w:tc>
          <w:tcPr>
            <w:tcW w:w="1994" w:type="pct"/>
            <w:vAlign w:val="center"/>
          </w:tcPr>
          <w:p w14:paraId="3CC6648F">
            <w:pPr>
              <w:spacing w:line="360" w:lineRule="auto"/>
              <w:jc w:val="center"/>
              <w:rPr>
                <w:rFonts w:hint="eastAsia" w:ascii="宋体" w:hAnsi="宋体" w:eastAsia="宋体"/>
                <w:b/>
                <w:color w:val="auto"/>
                <w:szCs w:val="21"/>
                <w:highlight w:val="none"/>
              </w:rPr>
            </w:pPr>
          </w:p>
        </w:tc>
        <w:tc>
          <w:tcPr>
            <w:tcW w:w="1445" w:type="pct"/>
            <w:vAlign w:val="center"/>
          </w:tcPr>
          <w:p w14:paraId="38D7E977">
            <w:pPr>
              <w:spacing w:line="360" w:lineRule="auto"/>
              <w:jc w:val="center"/>
              <w:rPr>
                <w:rFonts w:hint="eastAsia" w:ascii="宋体" w:hAnsi="宋体" w:eastAsia="宋体"/>
                <w:b/>
                <w:color w:val="auto"/>
                <w:szCs w:val="21"/>
                <w:highlight w:val="none"/>
              </w:rPr>
            </w:pPr>
          </w:p>
        </w:tc>
      </w:tr>
      <w:tr w14:paraId="19108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1F67E5F">
            <w:pPr>
              <w:spacing w:line="360" w:lineRule="auto"/>
              <w:jc w:val="center"/>
              <w:rPr>
                <w:rFonts w:hint="eastAsia" w:ascii="宋体" w:hAnsi="宋体" w:eastAsia="宋体"/>
                <w:b/>
                <w:color w:val="auto"/>
                <w:szCs w:val="21"/>
                <w:highlight w:val="none"/>
              </w:rPr>
            </w:pPr>
          </w:p>
        </w:tc>
        <w:tc>
          <w:tcPr>
            <w:tcW w:w="914" w:type="pct"/>
            <w:vAlign w:val="center"/>
          </w:tcPr>
          <w:p w14:paraId="4F845EA9">
            <w:pPr>
              <w:spacing w:line="360" w:lineRule="auto"/>
              <w:jc w:val="center"/>
              <w:rPr>
                <w:rFonts w:hint="eastAsia" w:ascii="宋体" w:hAnsi="宋体" w:eastAsia="宋体"/>
                <w:b/>
                <w:color w:val="auto"/>
                <w:szCs w:val="21"/>
                <w:highlight w:val="none"/>
              </w:rPr>
            </w:pPr>
          </w:p>
        </w:tc>
        <w:tc>
          <w:tcPr>
            <w:tcW w:w="1994" w:type="pct"/>
            <w:vAlign w:val="center"/>
          </w:tcPr>
          <w:p w14:paraId="0D206A1E">
            <w:pPr>
              <w:spacing w:line="360" w:lineRule="auto"/>
              <w:jc w:val="center"/>
              <w:rPr>
                <w:rFonts w:hint="eastAsia" w:ascii="宋体" w:hAnsi="宋体" w:eastAsia="宋体"/>
                <w:b/>
                <w:color w:val="auto"/>
                <w:szCs w:val="21"/>
                <w:highlight w:val="none"/>
              </w:rPr>
            </w:pPr>
          </w:p>
        </w:tc>
        <w:tc>
          <w:tcPr>
            <w:tcW w:w="1445" w:type="pct"/>
            <w:vAlign w:val="center"/>
          </w:tcPr>
          <w:p w14:paraId="7B387D90">
            <w:pPr>
              <w:spacing w:line="360" w:lineRule="auto"/>
              <w:jc w:val="center"/>
              <w:rPr>
                <w:rFonts w:hint="eastAsia" w:ascii="宋体" w:hAnsi="宋体" w:eastAsia="宋体"/>
                <w:b/>
                <w:color w:val="auto"/>
                <w:szCs w:val="21"/>
                <w:highlight w:val="none"/>
              </w:rPr>
            </w:pPr>
          </w:p>
        </w:tc>
      </w:tr>
      <w:tr w14:paraId="11478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32406514">
            <w:pPr>
              <w:spacing w:line="360" w:lineRule="auto"/>
              <w:jc w:val="center"/>
              <w:rPr>
                <w:rFonts w:hint="eastAsia"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38D0E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FE558E">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5E88D369">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1494F5F7">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6F2712C">
            <w:pPr>
              <w:spacing w:line="360" w:lineRule="auto"/>
              <w:jc w:val="center"/>
              <w:rPr>
                <w:rFonts w:hint="eastAsia"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04569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1D358CC">
            <w:pPr>
              <w:spacing w:line="360" w:lineRule="auto"/>
              <w:jc w:val="center"/>
              <w:rPr>
                <w:rFonts w:hint="eastAsia" w:ascii="宋体" w:hAnsi="宋体" w:eastAsia="宋体"/>
                <w:b/>
                <w:color w:val="auto"/>
                <w:szCs w:val="21"/>
                <w:highlight w:val="none"/>
              </w:rPr>
            </w:pPr>
          </w:p>
        </w:tc>
        <w:tc>
          <w:tcPr>
            <w:tcW w:w="914" w:type="pct"/>
            <w:vAlign w:val="center"/>
          </w:tcPr>
          <w:p w14:paraId="0DD35D37">
            <w:pPr>
              <w:spacing w:line="360" w:lineRule="auto"/>
              <w:jc w:val="center"/>
              <w:rPr>
                <w:rFonts w:hint="eastAsia" w:ascii="宋体" w:hAnsi="宋体" w:eastAsia="宋体"/>
                <w:b/>
                <w:color w:val="auto"/>
                <w:szCs w:val="21"/>
                <w:highlight w:val="none"/>
              </w:rPr>
            </w:pPr>
          </w:p>
        </w:tc>
        <w:tc>
          <w:tcPr>
            <w:tcW w:w="1994" w:type="pct"/>
            <w:vAlign w:val="center"/>
          </w:tcPr>
          <w:p w14:paraId="5CCD297A">
            <w:pPr>
              <w:spacing w:line="360" w:lineRule="auto"/>
              <w:jc w:val="center"/>
              <w:rPr>
                <w:rFonts w:hint="eastAsia" w:ascii="宋体" w:hAnsi="宋体" w:eastAsia="宋体"/>
                <w:b/>
                <w:color w:val="auto"/>
                <w:szCs w:val="21"/>
                <w:highlight w:val="none"/>
              </w:rPr>
            </w:pPr>
          </w:p>
        </w:tc>
        <w:tc>
          <w:tcPr>
            <w:tcW w:w="1445" w:type="pct"/>
            <w:vAlign w:val="center"/>
          </w:tcPr>
          <w:p w14:paraId="129E42B7">
            <w:pPr>
              <w:spacing w:line="360" w:lineRule="auto"/>
              <w:jc w:val="center"/>
              <w:rPr>
                <w:rFonts w:hint="eastAsia" w:ascii="宋体" w:hAnsi="宋体" w:eastAsia="宋体"/>
                <w:b/>
                <w:color w:val="auto"/>
                <w:szCs w:val="21"/>
                <w:highlight w:val="none"/>
              </w:rPr>
            </w:pPr>
          </w:p>
        </w:tc>
      </w:tr>
      <w:tr w14:paraId="2495A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FA7FECF">
            <w:pPr>
              <w:spacing w:line="360" w:lineRule="auto"/>
              <w:jc w:val="center"/>
              <w:rPr>
                <w:rFonts w:hint="eastAsia" w:ascii="宋体" w:hAnsi="宋体" w:eastAsia="宋体"/>
                <w:b/>
                <w:color w:val="auto"/>
                <w:szCs w:val="21"/>
                <w:highlight w:val="none"/>
              </w:rPr>
            </w:pPr>
          </w:p>
        </w:tc>
        <w:tc>
          <w:tcPr>
            <w:tcW w:w="914" w:type="pct"/>
            <w:vAlign w:val="center"/>
          </w:tcPr>
          <w:p w14:paraId="52E8BEE8">
            <w:pPr>
              <w:spacing w:line="360" w:lineRule="auto"/>
              <w:jc w:val="center"/>
              <w:rPr>
                <w:rFonts w:hint="eastAsia" w:ascii="宋体" w:hAnsi="宋体" w:eastAsia="宋体"/>
                <w:b/>
                <w:color w:val="auto"/>
                <w:szCs w:val="21"/>
                <w:highlight w:val="none"/>
              </w:rPr>
            </w:pPr>
          </w:p>
        </w:tc>
        <w:tc>
          <w:tcPr>
            <w:tcW w:w="1994" w:type="pct"/>
            <w:vAlign w:val="center"/>
          </w:tcPr>
          <w:p w14:paraId="2B657E02">
            <w:pPr>
              <w:spacing w:line="360" w:lineRule="auto"/>
              <w:jc w:val="center"/>
              <w:rPr>
                <w:rFonts w:hint="eastAsia" w:ascii="宋体" w:hAnsi="宋体" w:eastAsia="宋体"/>
                <w:b/>
                <w:color w:val="auto"/>
                <w:szCs w:val="21"/>
                <w:highlight w:val="none"/>
              </w:rPr>
            </w:pPr>
          </w:p>
        </w:tc>
        <w:tc>
          <w:tcPr>
            <w:tcW w:w="1445" w:type="pct"/>
            <w:vAlign w:val="center"/>
          </w:tcPr>
          <w:p w14:paraId="5DA917AD">
            <w:pPr>
              <w:spacing w:line="360" w:lineRule="auto"/>
              <w:jc w:val="center"/>
              <w:rPr>
                <w:rFonts w:hint="eastAsia" w:ascii="宋体" w:hAnsi="宋体" w:eastAsia="宋体"/>
                <w:b/>
                <w:color w:val="auto"/>
                <w:szCs w:val="21"/>
                <w:highlight w:val="none"/>
              </w:rPr>
            </w:pPr>
          </w:p>
        </w:tc>
      </w:tr>
      <w:tr w14:paraId="3928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1133AA8">
            <w:pPr>
              <w:spacing w:line="360" w:lineRule="auto"/>
              <w:jc w:val="center"/>
              <w:rPr>
                <w:rFonts w:hint="eastAsia" w:ascii="宋体" w:hAnsi="宋体" w:eastAsia="宋体"/>
                <w:b/>
                <w:color w:val="auto"/>
                <w:szCs w:val="21"/>
                <w:highlight w:val="none"/>
              </w:rPr>
            </w:pPr>
          </w:p>
        </w:tc>
        <w:tc>
          <w:tcPr>
            <w:tcW w:w="914" w:type="pct"/>
            <w:vAlign w:val="center"/>
          </w:tcPr>
          <w:p w14:paraId="4C4FF4A5">
            <w:pPr>
              <w:spacing w:line="360" w:lineRule="auto"/>
              <w:jc w:val="center"/>
              <w:rPr>
                <w:rFonts w:hint="eastAsia" w:ascii="宋体" w:hAnsi="宋体" w:eastAsia="宋体"/>
                <w:b/>
                <w:color w:val="auto"/>
                <w:szCs w:val="21"/>
                <w:highlight w:val="none"/>
              </w:rPr>
            </w:pPr>
          </w:p>
        </w:tc>
        <w:tc>
          <w:tcPr>
            <w:tcW w:w="1994" w:type="pct"/>
            <w:vAlign w:val="center"/>
          </w:tcPr>
          <w:p w14:paraId="07357888">
            <w:pPr>
              <w:spacing w:line="360" w:lineRule="auto"/>
              <w:jc w:val="center"/>
              <w:rPr>
                <w:rFonts w:hint="eastAsia" w:ascii="宋体" w:hAnsi="宋体" w:eastAsia="宋体"/>
                <w:b/>
                <w:color w:val="auto"/>
                <w:szCs w:val="21"/>
                <w:highlight w:val="none"/>
              </w:rPr>
            </w:pPr>
          </w:p>
        </w:tc>
        <w:tc>
          <w:tcPr>
            <w:tcW w:w="1445" w:type="pct"/>
            <w:vAlign w:val="center"/>
          </w:tcPr>
          <w:p w14:paraId="250B3F20">
            <w:pPr>
              <w:spacing w:line="360" w:lineRule="auto"/>
              <w:jc w:val="center"/>
              <w:rPr>
                <w:rFonts w:hint="eastAsia" w:ascii="宋体" w:hAnsi="宋体" w:eastAsia="宋体"/>
                <w:b/>
                <w:color w:val="auto"/>
                <w:szCs w:val="21"/>
                <w:highlight w:val="none"/>
              </w:rPr>
            </w:pPr>
          </w:p>
        </w:tc>
      </w:tr>
      <w:tr w14:paraId="45835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B96BD37">
            <w:pPr>
              <w:spacing w:line="360" w:lineRule="auto"/>
              <w:jc w:val="center"/>
              <w:rPr>
                <w:rFonts w:hint="eastAsia" w:ascii="宋体" w:hAnsi="宋体" w:eastAsia="宋体"/>
                <w:b/>
                <w:color w:val="auto"/>
                <w:szCs w:val="21"/>
                <w:highlight w:val="none"/>
              </w:rPr>
            </w:pPr>
          </w:p>
        </w:tc>
        <w:tc>
          <w:tcPr>
            <w:tcW w:w="914" w:type="pct"/>
            <w:vAlign w:val="center"/>
          </w:tcPr>
          <w:p w14:paraId="6AA014D3">
            <w:pPr>
              <w:spacing w:line="360" w:lineRule="auto"/>
              <w:jc w:val="center"/>
              <w:rPr>
                <w:rFonts w:hint="eastAsia" w:ascii="宋体" w:hAnsi="宋体" w:eastAsia="宋体"/>
                <w:b/>
                <w:color w:val="auto"/>
                <w:szCs w:val="21"/>
                <w:highlight w:val="none"/>
              </w:rPr>
            </w:pPr>
          </w:p>
        </w:tc>
        <w:tc>
          <w:tcPr>
            <w:tcW w:w="1994" w:type="pct"/>
            <w:vAlign w:val="center"/>
          </w:tcPr>
          <w:p w14:paraId="01E913BA">
            <w:pPr>
              <w:spacing w:line="360" w:lineRule="auto"/>
              <w:jc w:val="center"/>
              <w:rPr>
                <w:rFonts w:hint="eastAsia" w:ascii="宋体" w:hAnsi="宋体" w:eastAsia="宋体"/>
                <w:b/>
                <w:color w:val="auto"/>
                <w:szCs w:val="21"/>
                <w:highlight w:val="none"/>
              </w:rPr>
            </w:pPr>
          </w:p>
        </w:tc>
        <w:tc>
          <w:tcPr>
            <w:tcW w:w="1445" w:type="pct"/>
            <w:vAlign w:val="center"/>
          </w:tcPr>
          <w:p w14:paraId="5CC329C3">
            <w:pPr>
              <w:spacing w:line="360" w:lineRule="auto"/>
              <w:jc w:val="center"/>
              <w:rPr>
                <w:rFonts w:hint="eastAsia" w:ascii="宋体" w:hAnsi="宋体" w:eastAsia="宋体"/>
                <w:b/>
                <w:color w:val="auto"/>
                <w:szCs w:val="21"/>
                <w:highlight w:val="none"/>
              </w:rPr>
            </w:pPr>
          </w:p>
        </w:tc>
      </w:tr>
      <w:tr w14:paraId="47356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1D570BF">
            <w:pPr>
              <w:spacing w:line="360" w:lineRule="auto"/>
              <w:jc w:val="center"/>
              <w:rPr>
                <w:rFonts w:hint="eastAsia" w:ascii="宋体" w:hAnsi="宋体" w:eastAsia="宋体"/>
                <w:b/>
                <w:color w:val="auto"/>
                <w:szCs w:val="21"/>
                <w:highlight w:val="none"/>
              </w:rPr>
            </w:pPr>
          </w:p>
        </w:tc>
        <w:tc>
          <w:tcPr>
            <w:tcW w:w="914" w:type="pct"/>
            <w:vAlign w:val="center"/>
          </w:tcPr>
          <w:p w14:paraId="258B26D1">
            <w:pPr>
              <w:spacing w:line="360" w:lineRule="auto"/>
              <w:jc w:val="center"/>
              <w:rPr>
                <w:rFonts w:hint="eastAsia" w:ascii="宋体" w:hAnsi="宋体" w:eastAsia="宋体"/>
                <w:b/>
                <w:color w:val="auto"/>
                <w:szCs w:val="21"/>
                <w:highlight w:val="none"/>
              </w:rPr>
            </w:pPr>
          </w:p>
        </w:tc>
        <w:tc>
          <w:tcPr>
            <w:tcW w:w="1994" w:type="pct"/>
            <w:vAlign w:val="center"/>
          </w:tcPr>
          <w:p w14:paraId="38E9E52E">
            <w:pPr>
              <w:spacing w:line="360" w:lineRule="auto"/>
              <w:jc w:val="center"/>
              <w:rPr>
                <w:rFonts w:hint="eastAsia" w:ascii="宋体" w:hAnsi="宋体" w:eastAsia="宋体"/>
                <w:b/>
                <w:color w:val="auto"/>
                <w:szCs w:val="21"/>
                <w:highlight w:val="none"/>
              </w:rPr>
            </w:pPr>
          </w:p>
        </w:tc>
        <w:tc>
          <w:tcPr>
            <w:tcW w:w="1445" w:type="pct"/>
            <w:vAlign w:val="center"/>
          </w:tcPr>
          <w:p w14:paraId="302ECD6B">
            <w:pPr>
              <w:spacing w:line="360" w:lineRule="auto"/>
              <w:jc w:val="center"/>
              <w:rPr>
                <w:rFonts w:hint="eastAsia" w:ascii="宋体" w:hAnsi="宋体" w:eastAsia="宋体"/>
                <w:b/>
                <w:color w:val="auto"/>
                <w:szCs w:val="21"/>
                <w:highlight w:val="none"/>
              </w:rPr>
            </w:pPr>
          </w:p>
        </w:tc>
      </w:tr>
      <w:tr w14:paraId="5F298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EFAD68C">
            <w:pPr>
              <w:spacing w:line="360" w:lineRule="auto"/>
              <w:jc w:val="center"/>
              <w:rPr>
                <w:rFonts w:hint="eastAsia" w:ascii="宋体" w:hAnsi="宋体" w:eastAsia="宋体"/>
                <w:b/>
                <w:color w:val="auto"/>
                <w:szCs w:val="21"/>
                <w:highlight w:val="none"/>
              </w:rPr>
            </w:pPr>
          </w:p>
        </w:tc>
        <w:tc>
          <w:tcPr>
            <w:tcW w:w="914" w:type="pct"/>
            <w:vAlign w:val="center"/>
          </w:tcPr>
          <w:p w14:paraId="5A21A17E">
            <w:pPr>
              <w:spacing w:line="360" w:lineRule="auto"/>
              <w:jc w:val="center"/>
              <w:rPr>
                <w:rFonts w:hint="eastAsia" w:ascii="宋体" w:hAnsi="宋体" w:eastAsia="宋体"/>
                <w:b/>
                <w:color w:val="auto"/>
                <w:szCs w:val="21"/>
                <w:highlight w:val="none"/>
              </w:rPr>
            </w:pPr>
          </w:p>
        </w:tc>
        <w:tc>
          <w:tcPr>
            <w:tcW w:w="1994" w:type="pct"/>
            <w:vAlign w:val="center"/>
          </w:tcPr>
          <w:p w14:paraId="0120B7B9">
            <w:pPr>
              <w:spacing w:line="360" w:lineRule="auto"/>
              <w:jc w:val="center"/>
              <w:rPr>
                <w:rFonts w:hint="eastAsia" w:ascii="宋体" w:hAnsi="宋体" w:eastAsia="宋体"/>
                <w:b/>
                <w:color w:val="auto"/>
                <w:szCs w:val="21"/>
                <w:highlight w:val="none"/>
              </w:rPr>
            </w:pPr>
          </w:p>
        </w:tc>
        <w:tc>
          <w:tcPr>
            <w:tcW w:w="1445" w:type="pct"/>
            <w:vAlign w:val="center"/>
          </w:tcPr>
          <w:p w14:paraId="06399A74">
            <w:pPr>
              <w:spacing w:line="360" w:lineRule="auto"/>
              <w:jc w:val="center"/>
              <w:rPr>
                <w:rFonts w:hint="eastAsia" w:ascii="宋体" w:hAnsi="宋体" w:eastAsia="宋体"/>
                <w:b/>
                <w:color w:val="auto"/>
                <w:szCs w:val="21"/>
                <w:highlight w:val="none"/>
              </w:rPr>
            </w:pPr>
          </w:p>
        </w:tc>
      </w:tr>
    </w:tbl>
    <w:p w14:paraId="30599463">
      <w:pPr>
        <w:spacing w:before="217" w:before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024A1312">
      <w:pPr>
        <w:pageBreakBefore/>
        <w:rPr>
          <w:rFonts w:hint="eastAsia" w:ascii="宋体" w:hAnsi="宋体" w:eastAsia="宋体"/>
          <w:b/>
          <w:bCs/>
          <w:color w:val="auto"/>
          <w:highlight w:val="none"/>
        </w:rPr>
      </w:pPr>
      <w:bookmarkStart w:id="38" w:name="_Toc169799787"/>
      <w:r>
        <w:rPr>
          <w:rFonts w:ascii="宋体" w:hAnsi="宋体" w:eastAsia="宋体"/>
          <w:b/>
          <w:bCs/>
          <w:color w:val="auto"/>
          <w:sz w:val="24"/>
          <w:szCs w:val="28"/>
          <w:highlight w:val="none"/>
        </w:rPr>
        <w:t>格式一：</w:t>
      </w:r>
      <w:bookmarkEnd w:id="38"/>
    </w:p>
    <w:p w14:paraId="445E3D43">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5CE733A2">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77F01102">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项目的招标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20832A92">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项目的招标文件的全部内容。</w:t>
      </w:r>
    </w:p>
    <w:p w14:paraId="44DBB7D3">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3F58CA9F">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096CEA72">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CD443AB">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7A4F7B">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66DD764E">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49AE1EBC">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24CEDE2E">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47F78AD3">
      <w:pPr>
        <w:widowControl/>
        <w:ind w:firstLine="20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5A3DD113">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33587863">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6A2F2E8D">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6C5D8ED6">
      <w:pPr>
        <w:widowControl/>
        <w:ind w:firstLine="20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eastAsia="zh-Hans"/>
        </w:rPr>
        <w:t>招标代理</w:t>
      </w:r>
      <w:r>
        <w:rPr>
          <w:rFonts w:ascii="宋体" w:hAnsi="宋体" w:eastAsia="宋体" w:cs="Times New Roman"/>
          <w:color w:val="auto"/>
          <w:kern w:val="0"/>
          <w:szCs w:val="21"/>
          <w:highlight w:val="none"/>
          <w:lang w:eastAsia="zh-Hans"/>
        </w:rPr>
        <w:t>服务费。</w:t>
      </w:r>
    </w:p>
    <w:p w14:paraId="401AAA07">
      <w:pPr>
        <w:widowControl/>
        <w:spacing w:after="870" w:afterLines="200"/>
        <w:ind w:firstLine="198"/>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196C9D75">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2777610D">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07559BE4">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459B187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4B6F8736">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365E9493">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6BBE9851">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38A0D16">
      <w:pPr>
        <w:widowControl/>
        <w:jc w:val="left"/>
        <w:rPr>
          <w:rFonts w:ascii="Calibri" w:hAnsi="Calibri" w:eastAsia="宋体" w:cs="Times New Roman"/>
          <w:color w:val="auto"/>
          <w:kern w:val="0"/>
          <w:sz w:val="20"/>
          <w:szCs w:val="20"/>
          <w:highlight w:val="none"/>
          <w:lang w:eastAsia="zh-Hans"/>
        </w:rPr>
      </w:pPr>
    </w:p>
    <w:p w14:paraId="00EC03B0">
      <w:pPr>
        <w:pageBreakBefore/>
        <w:rPr>
          <w:rFonts w:ascii="Calibri" w:hAnsi="Calibri" w:eastAsia="宋体" w:cs="Times New Roman"/>
          <w:color w:val="auto"/>
          <w:kern w:val="0"/>
          <w:sz w:val="20"/>
          <w:szCs w:val="20"/>
          <w:highlight w:val="none"/>
          <w:lang w:eastAsia="zh-Hans"/>
        </w:rPr>
      </w:pPr>
      <w:bookmarkStart w:id="39" w:name="_Toc169799788"/>
      <w:r>
        <w:rPr>
          <w:rFonts w:ascii="宋体" w:hAnsi="宋体" w:eastAsia="宋体"/>
          <w:b/>
          <w:bCs/>
          <w:color w:val="auto"/>
          <w:sz w:val="24"/>
          <w:szCs w:val="28"/>
          <w:highlight w:val="none"/>
        </w:rPr>
        <w:t>格式二：</w:t>
      </w:r>
      <w:bookmarkEnd w:id="39"/>
    </w:p>
    <w:p w14:paraId="7B9E4762">
      <w:pPr>
        <w:widowControl/>
        <w:jc w:val="center"/>
        <w:outlineLvl w:val="3"/>
        <w:rPr>
          <w:rFonts w:hint="eastAsia" w:ascii="Calibri" w:hAnsi="Calibri" w:eastAsia="宋体" w:cs="Times New Roman"/>
          <w:b/>
          <w:color w:val="auto"/>
          <w:kern w:val="0"/>
          <w:sz w:val="32"/>
          <w:highlight w:val="none"/>
          <w:lang w:eastAsia="zh-CN"/>
        </w:rPr>
      </w:pPr>
      <w:r>
        <w:rPr>
          <w:rFonts w:ascii="Calibri" w:hAnsi="Calibri" w:eastAsia="宋体" w:cs="Times New Roman"/>
          <w:b/>
          <w:color w:val="auto"/>
          <w:kern w:val="0"/>
          <w:sz w:val="32"/>
          <w:highlight w:val="none"/>
          <w:lang w:eastAsia="zh-Hans"/>
        </w:rPr>
        <w:t>开标一览表</w:t>
      </w:r>
    </w:p>
    <w:p w14:paraId="63A16007">
      <w:pPr>
        <w:widowControl/>
        <w:jc w:val="center"/>
        <w:outlineLvl w:val="3"/>
        <w:rPr>
          <w:rFonts w:hint="eastAsia" w:ascii="Calibri" w:hAnsi="Calibri" w:eastAsia="宋体" w:cs="Times New Roman"/>
          <w:b/>
          <w:color w:val="auto"/>
          <w:kern w:val="0"/>
          <w:sz w:val="32"/>
          <w:highlight w:val="none"/>
          <w:lang w:eastAsia="zh-CN"/>
        </w:rPr>
      </w:pPr>
    </w:p>
    <w:p w14:paraId="5F2165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6DE3EF8E">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1435DB37">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5E234D2C">
      <w:pPr>
        <w:widowControl/>
        <w:jc w:val="left"/>
        <w:rPr>
          <w:rFonts w:ascii="Calibri" w:hAnsi="Calibri" w:eastAsia="宋体" w:cs="Times New Roman"/>
          <w:color w:val="auto"/>
          <w:kern w:val="0"/>
          <w:szCs w:val="21"/>
          <w:highlight w:val="none"/>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4F12EF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4FA1263C">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7EA92FC0">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578B02AA">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1E59093C">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备注</w:t>
            </w:r>
          </w:p>
        </w:tc>
      </w:tr>
      <w:tr w14:paraId="11D423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EB26F1A">
            <w:pPr>
              <w:overflowPunct w:val="0"/>
              <w:adjustRightInd w:val="0"/>
              <w:spacing w:line="46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7BD15C5">
            <w:pPr>
              <w:overflowPunct w:val="0"/>
              <w:adjustRightInd w:val="0"/>
              <w:spacing w:line="460" w:lineRule="exact"/>
              <w:jc w:val="center"/>
              <w:rPr>
                <w:rFonts w:hint="eastAsia"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33C978AA">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5DF858A9">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282983A6">
            <w:pPr>
              <w:overflowPunct w:val="0"/>
              <w:adjustRightInd w:val="0"/>
              <w:spacing w:line="460" w:lineRule="exact"/>
              <w:jc w:val="center"/>
              <w:rPr>
                <w:rFonts w:hint="eastAsia" w:ascii="宋体" w:hAnsi="宋体" w:eastAsia="宋体"/>
                <w:color w:val="auto"/>
                <w:szCs w:val="21"/>
                <w:highlight w:val="none"/>
              </w:rPr>
            </w:pPr>
          </w:p>
        </w:tc>
      </w:tr>
    </w:tbl>
    <w:p w14:paraId="59E9BE24">
      <w:pPr>
        <w:widowControl/>
        <w:jc w:val="left"/>
        <w:rPr>
          <w:rFonts w:hint="eastAsia" w:ascii="宋体" w:hAnsi="宋体" w:eastAsia="宋体" w:cs="宋体"/>
          <w:color w:val="auto"/>
          <w:kern w:val="0"/>
          <w:szCs w:val="21"/>
          <w:highlight w:val="none"/>
        </w:rPr>
      </w:pPr>
    </w:p>
    <w:p w14:paraId="03C7333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1）投标总价栏须用文字和数字两种方式表示的投标总价。</w:t>
      </w:r>
    </w:p>
    <w:p w14:paraId="2AF4E22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2）开标一览表内容与投标文件中相应内容不一致的，以开标一览表为准。</w:t>
      </w:r>
    </w:p>
    <w:p w14:paraId="3C667A06">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3）大写金额和小写金额不一致的，以大写金额为准。</w:t>
      </w:r>
    </w:p>
    <w:p w14:paraId="7FABC51F">
      <w:pPr>
        <w:widowControl/>
        <w:jc w:val="left"/>
        <w:rPr>
          <w:rFonts w:ascii="Calibri" w:hAnsi="Calibri" w:eastAsia="宋体" w:cs="Times New Roman"/>
          <w:color w:val="auto"/>
          <w:kern w:val="0"/>
          <w:szCs w:val="21"/>
          <w:highlight w:val="none"/>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73986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C528DFC">
            <w:pPr>
              <w:overflowPunct w:val="0"/>
              <w:adjustRightInd w:val="0"/>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4E6CD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EEEE798">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51FB0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8393A12">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1460DEA">
      <w:pPr>
        <w:widowControl/>
        <w:jc w:val="left"/>
        <w:rPr>
          <w:rFonts w:ascii="Calibri" w:hAnsi="Calibri" w:eastAsia="宋体" w:cs="Times New Roman"/>
          <w:color w:val="auto"/>
          <w:kern w:val="0"/>
          <w:sz w:val="20"/>
          <w:szCs w:val="20"/>
          <w:highlight w:val="none"/>
          <w:lang w:eastAsia="zh-Hans"/>
        </w:rPr>
      </w:pPr>
    </w:p>
    <w:p w14:paraId="36BC7B8A">
      <w:pPr>
        <w:widowControl/>
        <w:jc w:val="left"/>
        <w:rPr>
          <w:rFonts w:ascii="Calibri" w:hAnsi="Calibri" w:eastAsia="宋体" w:cs="Times New Roman"/>
          <w:color w:val="auto"/>
          <w:kern w:val="0"/>
          <w:sz w:val="20"/>
          <w:szCs w:val="20"/>
          <w:highlight w:val="none"/>
          <w:lang w:eastAsia="zh-Hans"/>
        </w:rPr>
      </w:pPr>
    </w:p>
    <w:p w14:paraId="7A483309">
      <w:pPr>
        <w:pageBreakBefore/>
        <w:rPr>
          <w:rFonts w:ascii="Calibri" w:hAnsi="Calibri" w:eastAsia="宋体" w:cs="Times New Roman"/>
          <w:color w:val="auto"/>
          <w:kern w:val="0"/>
          <w:sz w:val="20"/>
          <w:szCs w:val="20"/>
          <w:highlight w:val="none"/>
          <w:lang w:eastAsia="zh-Hans"/>
        </w:rPr>
      </w:pPr>
      <w:bookmarkStart w:id="40" w:name="_Toc169799789"/>
      <w:r>
        <w:rPr>
          <w:rFonts w:ascii="宋体" w:hAnsi="宋体" w:eastAsia="宋体"/>
          <w:b/>
          <w:bCs/>
          <w:color w:val="auto"/>
          <w:sz w:val="24"/>
          <w:szCs w:val="28"/>
          <w:highlight w:val="none"/>
        </w:rPr>
        <w:t>格式三：</w:t>
      </w:r>
      <w:bookmarkEnd w:id="40"/>
    </w:p>
    <w:p w14:paraId="24AB9B17">
      <w:pPr>
        <w:widowControl/>
        <w:jc w:val="center"/>
        <w:outlineLvl w:val="3"/>
        <w:rPr>
          <w:rFonts w:hint="eastAsia" w:ascii="宋体" w:hAnsi="宋体" w:eastAsia="宋体" w:cs="Times New Roman"/>
          <w:color w:val="auto"/>
          <w:kern w:val="0"/>
          <w:sz w:val="20"/>
          <w:szCs w:val="20"/>
          <w:highlight w:val="none"/>
          <w:lang w:eastAsia="zh-Hans"/>
        </w:rPr>
      </w:pPr>
      <w:r>
        <w:rPr>
          <w:rFonts w:ascii="宋体" w:hAnsi="宋体" w:eastAsia="宋体" w:cs="Times New Roman"/>
          <w:b/>
          <w:color w:val="auto"/>
          <w:kern w:val="0"/>
          <w:sz w:val="32"/>
          <w:highlight w:val="none"/>
          <w:lang w:eastAsia="zh-Hans"/>
        </w:rPr>
        <w:t>分项报价表</w:t>
      </w:r>
    </w:p>
    <w:p w14:paraId="2FDD120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1DFEC2C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2CFEBB06">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p w14:paraId="373E3DF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货币及单位：人民币/元</w:t>
      </w:r>
    </w:p>
    <w:p w14:paraId="67007908">
      <w:pPr>
        <w:widowControl/>
        <w:jc w:val="left"/>
        <w:rPr>
          <w:rFonts w:hint="eastAsia" w:ascii="宋体" w:hAnsi="宋体" w:eastAsia="宋体" w:cs="Times New Roman"/>
          <w:color w:val="auto"/>
          <w:kern w:val="0"/>
          <w:szCs w:val="21"/>
          <w:highlight w:val="none"/>
          <w:lang w:eastAsia="zh-Hans"/>
        </w:rPr>
      </w:pPr>
    </w:p>
    <w:tbl>
      <w:tblPr>
        <w:tblStyle w:val="1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548804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0AF7B2F">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153" w:type="pct"/>
          </w:tcPr>
          <w:p w14:paraId="0ABA1A05">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服务名称</w:t>
            </w:r>
          </w:p>
        </w:tc>
        <w:tc>
          <w:tcPr>
            <w:tcW w:w="1045" w:type="pct"/>
          </w:tcPr>
          <w:p w14:paraId="38BF689D">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w:t>
            </w:r>
          </w:p>
        </w:tc>
        <w:tc>
          <w:tcPr>
            <w:tcW w:w="1045" w:type="pct"/>
          </w:tcPr>
          <w:p w14:paraId="3E109CBD">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数量</w:t>
            </w:r>
          </w:p>
        </w:tc>
        <w:tc>
          <w:tcPr>
            <w:tcW w:w="1035" w:type="pct"/>
          </w:tcPr>
          <w:p w14:paraId="7EA0D318">
            <w:pPr>
              <w:widowControl/>
              <w:spacing w:line="300" w:lineRule="auto"/>
              <w:jc w:val="center"/>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合计</w:t>
            </w:r>
          </w:p>
        </w:tc>
      </w:tr>
      <w:tr w14:paraId="703AA4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EE358CB">
            <w:pPr>
              <w:spacing w:line="300" w:lineRule="auto"/>
              <w:jc w:val="center"/>
              <w:rPr>
                <w:rFonts w:hint="eastAsia" w:ascii="宋体" w:hAnsi="宋体" w:eastAsia="宋体" w:cs="Times New Roman"/>
                <w:color w:val="auto"/>
                <w:szCs w:val="21"/>
                <w:highlight w:val="none"/>
              </w:rPr>
            </w:pPr>
          </w:p>
        </w:tc>
        <w:tc>
          <w:tcPr>
            <w:tcW w:w="1153" w:type="pct"/>
          </w:tcPr>
          <w:p w14:paraId="699BBA89">
            <w:pPr>
              <w:spacing w:line="300" w:lineRule="auto"/>
              <w:jc w:val="center"/>
              <w:rPr>
                <w:rFonts w:hint="eastAsia" w:ascii="宋体" w:hAnsi="宋体" w:eastAsia="宋体" w:cs="Times New Roman"/>
                <w:color w:val="auto"/>
                <w:szCs w:val="21"/>
                <w:highlight w:val="none"/>
              </w:rPr>
            </w:pPr>
          </w:p>
        </w:tc>
        <w:tc>
          <w:tcPr>
            <w:tcW w:w="1045" w:type="pct"/>
          </w:tcPr>
          <w:p w14:paraId="5D284FF6">
            <w:pPr>
              <w:spacing w:line="300" w:lineRule="auto"/>
              <w:jc w:val="center"/>
              <w:rPr>
                <w:rFonts w:hint="eastAsia" w:ascii="宋体" w:hAnsi="宋体" w:eastAsia="宋体" w:cs="Times New Roman"/>
                <w:color w:val="auto"/>
                <w:szCs w:val="21"/>
                <w:highlight w:val="none"/>
              </w:rPr>
            </w:pPr>
          </w:p>
        </w:tc>
        <w:tc>
          <w:tcPr>
            <w:tcW w:w="1045" w:type="pct"/>
          </w:tcPr>
          <w:p w14:paraId="59395810">
            <w:pPr>
              <w:spacing w:line="300" w:lineRule="auto"/>
              <w:jc w:val="center"/>
              <w:rPr>
                <w:rFonts w:hint="eastAsia" w:ascii="宋体" w:hAnsi="宋体" w:eastAsia="宋体" w:cs="Times New Roman"/>
                <w:color w:val="auto"/>
                <w:szCs w:val="21"/>
                <w:highlight w:val="none"/>
              </w:rPr>
            </w:pPr>
          </w:p>
        </w:tc>
        <w:tc>
          <w:tcPr>
            <w:tcW w:w="1035" w:type="pct"/>
          </w:tcPr>
          <w:p w14:paraId="7C3A2F25">
            <w:pPr>
              <w:spacing w:line="300" w:lineRule="auto"/>
              <w:jc w:val="center"/>
              <w:rPr>
                <w:rFonts w:hint="eastAsia" w:ascii="宋体" w:hAnsi="宋体" w:eastAsia="宋体" w:cs="Times New Roman"/>
                <w:color w:val="auto"/>
                <w:szCs w:val="21"/>
                <w:highlight w:val="none"/>
              </w:rPr>
            </w:pPr>
          </w:p>
        </w:tc>
      </w:tr>
      <w:tr w14:paraId="4AF174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CACBF5A">
            <w:pPr>
              <w:spacing w:line="300" w:lineRule="auto"/>
              <w:jc w:val="center"/>
              <w:rPr>
                <w:rFonts w:hint="eastAsia" w:ascii="宋体" w:hAnsi="宋体" w:eastAsia="宋体" w:cs="Times New Roman"/>
                <w:color w:val="auto"/>
                <w:szCs w:val="21"/>
                <w:highlight w:val="none"/>
              </w:rPr>
            </w:pPr>
          </w:p>
        </w:tc>
        <w:tc>
          <w:tcPr>
            <w:tcW w:w="1153" w:type="pct"/>
          </w:tcPr>
          <w:p w14:paraId="1AE53F10">
            <w:pPr>
              <w:spacing w:line="300" w:lineRule="auto"/>
              <w:jc w:val="center"/>
              <w:rPr>
                <w:rFonts w:hint="eastAsia" w:ascii="宋体" w:hAnsi="宋体" w:eastAsia="宋体" w:cs="Times New Roman"/>
                <w:color w:val="auto"/>
                <w:szCs w:val="21"/>
                <w:highlight w:val="none"/>
              </w:rPr>
            </w:pPr>
          </w:p>
        </w:tc>
        <w:tc>
          <w:tcPr>
            <w:tcW w:w="1045" w:type="pct"/>
          </w:tcPr>
          <w:p w14:paraId="570B7427">
            <w:pPr>
              <w:spacing w:line="300" w:lineRule="auto"/>
              <w:jc w:val="center"/>
              <w:rPr>
                <w:rFonts w:hint="eastAsia" w:ascii="宋体" w:hAnsi="宋体" w:eastAsia="宋体" w:cs="Times New Roman"/>
                <w:color w:val="auto"/>
                <w:szCs w:val="21"/>
                <w:highlight w:val="none"/>
              </w:rPr>
            </w:pPr>
          </w:p>
        </w:tc>
        <w:tc>
          <w:tcPr>
            <w:tcW w:w="1045" w:type="pct"/>
          </w:tcPr>
          <w:p w14:paraId="2BAEE9A7">
            <w:pPr>
              <w:spacing w:line="300" w:lineRule="auto"/>
              <w:jc w:val="center"/>
              <w:rPr>
                <w:rFonts w:hint="eastAsia" w:ascii="宋体" w:hAnsi="宋体" w:eastAsia="宋体" w:cs="Times New Roman"/>
                <w:color w:val="auto"/>
                <w:szCs w:val="21"/>
                <w:highlight w:val="none"/>
              </w:rPr>
            </w:pPr>
          </w:p>
        </w:tc>
        <w:tc>
          <w:tcPr>
            <w:tcW w:w="1035" w:type="pct"/>
          </w:tcPr>
          <w:p w14:paraId="3D1A77F5">
            <w:pPr>
              <w:spacing w:line="300" w:lineRule="auto"/>
              <w:jc w:val="center"/>
              <w:rPr>
                <w:rFonts w:hint="eastAsia" w:ascii="宋体" w:hAnsi="宋体" w:eastAsia="宋体" w:cs="Times New Roman"/>
                <w:color w:val="auto"/>
                <w:szCs w:val="21"/>
                <w:highlight w:val="none"/>
              </w:rPr>
            </w:pPr>
          </w:p>
        </w:tc>
      </w:tr>
      <w:tr w14:paraId="4ABC53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461F3562">
            <w:pPr>
              <w:spacing w:line="300" w:lineRule="auto"/>
              <w:jc w:val="center"/>
              <w:rPr>
                <w:rFonts w:hint="eastAsia"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w:t>
            </w:r>
          </w:p>
        </w:tc>
        <w:tc>
          <w:tcPr>
            <w:tcW w:w="1153" w:type="pct"/>
          </w:tcPr>
          <w:p w14:paraId="51A79842">
            <w:pPr>
              <w:spacing w:line="300" w:lineRule="auto"/>
              <w:jc w:val="center"/>
              <w:rPr>
                <w:rFonts w:hint="eastAsia" w:ascii="宋体" w:hAnsi="宋体" w:eastAsia="宋体" w:cs="Times New Roman"/>
                <w:color w:val="auto"/>
                <w:szCs w:val="21"/>
                <w:highlight w:val="none"/>
              </w:rPr>
            </w:pPr>
          </w:p>
        </w:tc>
        <w:tc>
          <w:tcPr>
            <w:tcW w:w="1045" w:type="pct"/>
          </w:tcPr>
          <w:p w14:paraId="1027E1F7">
            <w:pPr>
              <w:spacing w:line="300" w:lineRule="auto"/>
              <w:jc w:val="center"/>
              <w:rPr>
                <w:rFonts w:hint="eastAsia" w:ascii="宋体" w:hAnsi="宋体" w:eastAsia="宋体" w:cs="Times New Roman"/>
                <w:color w:val="auto"/>
                <w:szCs w:val="21"/>
                <w:highlight w:val="none"/>
              </w:rPr>
            </w:pPr>
          </w:p>
        </w:tc>
        <w:tc>
          <w:tcPr>
            <w:tcW w:w="1045" w:type="pct"/>
          </w:tcPr>
          <w:p w14:paraId="3016541A">
            <w:pPr>
              <w:spacing w:line="300" w:lineRule="auto"/>
              <w:jc w:val="center"/>
              <w:rPr>
                <w:rFonts w:hint="eastAsia" w:ascii="宋体" w:hAnsi="宋体" w:eastAsia="宋体" w:cs="Times New Roman"/>
                <w:color w:val="auto"/>
                <w:szCs w:val="21"/>
                <w:highlight w:val="none"/>
              </w:rPr>
            </w:pPr>
          </w:p>
        </w:tc>
        <w:tc>
          <w:tcPr>
            <w:tcW w:w="1035" w:type="pct"/>
          </w:tcPr>
          <w:p w14:paraId="70A3AE59">
            <w:pPr>
              <w:spacing w:line="300" w:lineRule="auto"/>
              <w:jc w:val="center"/>
              <w:rPr>
                <w:rFonts w:hint="eastAsia" w:ascii="宋体" w:hAnsi="宋体" w:eastAsia="宋体" w:cs="Times New Roman"/>
                <w:color w:val="auto"/>
                <w:szCs w:val="21"/>
                <w:highlight w:val="none"/>
              </w:rPr>
            </w:pPr>
          </w:p>
        </w:tc>
      </w:tr>
      <w:tr w14:paraId="40423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157B49B8">
            <w:pPr>
              <w:spacing w:line="300" w:lineRule="auto"/>
              <w:rPr>
                <w:rFonts w:hint="eastAsia" w:ascii="宋体" w:hAnsi="宋体" w:eastAsia="宋体" w:cs="Times New Roman"/>
                <w:color w:val="auto"/>
                <w:szCs w:val="21"/>
                <w:highlight w:val="none"/>
              </w:rPr>
            </w:pPr>
            <w:r>
              <w:rPr>
                <w:rFonts w:hint="eastAsia" w:ascii="宋体" w:hAnsi="宋体" w:eastAsia="宋体" w:cs="Times New Roman"/>
                <w:color w:val="auto"/>
                <w:kern w:val="0"/>
                <w:szCs w:val="21"/>
                <w:highlight w:val="none"/>
              </w:rPr>
              <w:t>总价：</w:t>
            </w: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tc>
      </w:tr>
    </w:tbl>
    <w:p w14:paraId="24844237">
      <w:pPr>
        <w:widowControl/>
        <w:jc w:val="left"/>
        <w:rPr>
          <w:rFonts w:ascii="Calibri" w:hAnsi="Calibri" w:eastAsia="宋体" w:cs="Times New Roman"/>
          <w:color w:val="auto"/>
          <w:kern w:val="0"/>
          <w:sz w:val="20"/>
          <w:szCs w:val="20"/>
          <w:highlight w:val="none"/>
          <w:lang w:eastAsia="zh-Hans"/>
        </w:rPr>
      </w:pPr>
    </w:p>
    <w:p w14:paraId="3D03FEE5">
      <w:pPr>
        <w:widowControl/>
        <w:jc w:val="left"/>
        <w:rPr>
          <w:rFonts w:ascii="Calibri" w:hAnsi="Calibri" w:eastAsia="宋体" w:cs="Times New Roman"/>
          <w:color w:val="auto"/>
          <w:kern w:val="0"/>
          <w:sz w:val="20"/>
          <w:szCs w:val="20"/>
          <w:highlight w:val="none"/>
          <w:lang w:eastAsia="zh-Hans"/>
        </w:rPr>
      </w:pPr>
    </w:p>
    <w:p w14:paraId="18B34B65">
      <w:pPr>
        <w:widowControl/>
        <w:jc w:val="left"/>
        <w:outlineLvl w:val="2"/>
        <w:rPr>
          <w:rFonts w:ascii="Calibri" w:hAnsi="Calibri" w:eastAsia="宋体" w:cs="Times New Roman"/>
          <w:b/>
          <w:color w:val="auto"/>
          <w:kern w:val="0"/>
          <w:sz w:val="28"/>
          <w:szCs w:val="20"/>
          <w:highlight w:val="none"/>
        </w:rPr>
      </w:pPr>
    </w:p>
    <w:p w14:paraId="37FBAF2C">
      <w:pPr>
        <w:widowControl/>
        <w:spacing w:line="300" w:lineRule="auto"/>
        <w:jc w:val="left"/>
        <w:rPr>
          <w:rFonts w:hint="eastAsia" w:ascii="宋体" w:hAnsi="宋体" w:eastAsia="宋体" w:cs="Times New Roman"/>
          <w:color w:val="auto"/>
          <w:kern w:val="0"/>
          <w:szCs w:val="21"/>
          <w:highlight w:val="none"/>
          <w:lang w:eastAsia="zh-Hans"/>
        </w:rPr>
      </w:pPr>
    </w:p>
    <w:p w14:paraId="264BB1F0">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E52ECF3">
      <w:pPr>
        <w:rPr>
          <w:rFonts w:hint="eastAsia"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F3933CF">
      <w:pPr>
        <w:pageBreakBefore/>
        <w:rPr>
          <w:rFonts w:hint="eastAsia" w:ascii="宋体" w:hAnsi="宋体" w:eastAsia="宋体" w:cs="Times New Roman"/>
          <w:color w:val="auto"/>
          <w:kern w:val="0"/>
          <w:szCs w:val="21"/>
          <w:highlight w:val="none"/>
          <w:lang w:eastAsia="zh-Hans"/>
        </w:rPr>
      </w:pPr>
      <w:bookmarkStart w:id="41"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41"/>
    </w:p>
    <w:p w14:paraId="5A04647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7A50A05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4303CCCC">
      <w:pPr>
        <w:widowControl/>
        <w:spacing w:before="217" w:beforeLines="50" w:after="217" w:afterLines="50"/>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0E9EB164">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60A8D6E1">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5D071882">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15EA98B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03698380">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1DA5DC15">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600BA3DF">
      <w:pPr>
        <w:widowControl/>
        <w:spacing w:before="1087" w:beforeLines="250"/>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52158CB3">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1BF8775">
      <w:pPr>
        <w:widowControl/>
        <w:ind w:right="840"/>
        <w:rPr>
          <w:rFonts w:ascii="宋体" w:hAnsi="宋体" w:eastAsia="宋体" w:cs="Times New Roman"/>
          <w:color w:val="auto"/>
          <w:kern w:val="0"/>
          <w:szCs w:val="21"/>
          <w:highlight w:val="none"/>
          <w:lang w:eastAsia="zh-Hans"/>
        </w:rPr>
      </w:pPr>
    </w:p>
    <w:p w14:paraId="2B6D49C0">
      <w:pPr>
        <w:widowControl/>
        <w:ind w:right="840"/>
        <w:rPr>
          <w:rFonts w:ascii="宋体" w:hAnsi="宋体" w:eastAsia="宋体" w:cs="Times New Roman"/>
          <w:color w:val="auto"/>
          <w:kern w:val="0"/>
          <w:szCs w:val="21"/>
          <w:highlight w:val="none"/>
          <w:lang w:eastAsia="zh-Hans"/>
        </w:rPr>
      </w:pPr>
    </w:p>
    <w:p w14:paraId="241D789B">
      <w:pPr>
        <w:widowControl/>
        <w:ind w:right="840"/>
        <w:rPr>
          <w:rFonts w:ascii="宋体" w:hAnsi="宋体" w:eastAsia="宋体" w:cs="Times New Roman"/>
          <w:color w:val="auto"/>
          <w:kern w:val="0"/>
          <w:szCs w:val="21"/>
          <w:highlight w:val="none"/>
          <w:lang w:eastAsia="zh-Hans"/>
        </w:rPr>
      </w:pPr>
    </w:p>
    <w:p w14:paraId="11835C82">
      <w:pPr>
        <w:widowControl/>
        <w:ind w:right="84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3EBF738C">
      <w:pPr>
        <w:pageBreakBefore/>
        <w:rPr>
          <w:rFonts w:hint="eastAsia" w:ascii="宋体" w:hAnsi="宋体" w:eastAsia="宋体" w:cs="Times New Roman"/>
          <w:color w:val="auto"/>
          <w:kern w:val="0"/>
          <w:szCs w:val="21"/>
          <w:highlight w:val="none"/>
          <w:lang w:eastAsia="zh-Hans"/>
        </w:rPr>
      </w:pPr>
      <w:bookmarkStart w:id="42"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五</w:t>
      </w:r>
      <w:r>
        <w:rPr>
          <w:rFonts w:ascii="宋体" w:hAnsi="宋体" w:eastAsia="宋体"/>
          <w:b/>
          <w:bCs/>
          <w:color w:val="auto"/>
          <w:sz w:val="24"/>
          <w:szCs w:val="28"/>
          <w:highlight w:val="none"/>
        </w:rPr>
        <w:t>：</w:t>
      </w:r>
      <w:bookmarkEnd w:id="42"/>
    </w:p>
    <w:p w14:paraId="342C291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0961FD45">
      <w:pPr>
        <w:widowControl/>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74EC3C3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0A8664CB">
      <w:pPr>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br w:type="page"/>
      </w:r>
    </w:p>
    <w:p w14:paraId="7482BEC0">
      <w:pPr>
        <w:keepLines/>
        <w:spacing w:before="652" w:beforeLines="150"/>
        <w:rPr>
          <w:rFonts w:hint="eastAsia" w:ascii="宋体" w:hAnsi="宋体" w:eastAsia="宋体" w:cs="Times New Roman"/>
          <w:color w:val="auto"/>
          <w:kern w:val="0"/>
          <w:szCs w:val="21"/>
          <w:highlight w:val="none"/>
          <w:lang w:eastAsia="zh-Hans"/>
        </w:rPr>
      </w:pPr>
      <w:bookmarkStart w:id="43" w:name="_Toc16979979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六</w:t>
      </w:r>
      <w:r>
        <w:rPr>
          <w:rFonts w:ascii="宋体" w:hAnsi="宋体" w:eastAsia="宋体"/>
          <w:b/>
          <w:bCs/>
          <w:color w:val="auto"/>
          <w:sz w:val="24"/>
          <w:szCs w:val="28"/>
          <w:highlight w:val="none"/>
        </w:rPr>
        <w:t>：</w:t>
      </w:r>
      <w:bookmarkEnd w:id="43"/>
    </w:p>
    <w:p w14:paraId="308D952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5F41AD84">
      <w:pPr>
        <w:widowControl/>
        <w:spacing w:before="652" w:beforeLines="150" w:after="217" w:afterLines="50"/>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1E35CF06">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30C87CE6">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30148ABD">
      <w:pPr>
        <w:widowControl/>
        <w:spacing w:before="870" w:beforeLines="200"/>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5D92F3CF">
      <w:pPr>
        <w:widowControl/>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3A6EDF17">
      <w:pPr>
        <w:pageBreakBefore/>
        <w:rPr>
          <w:rFonts w:ascii="Calibri" w:hAnsi="Calibri" w:eastAsia="宋体" w:cs="Times New Roman"/>
          <w:color w:val="auto"/>
          <w:kern w:val="0"/>
          <w:szCs w:val="21"/>
          <w:highlight w:val="none"/>
          <w:lang w:eastAsia="zh-Hans"/>
        </w:rPr>
      </w:pPr>
      <w:bookmarkStart w:id="44"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44"/>
    </w:p>
    <w:p w14:paraId="4D87A181">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3383E35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50A0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6E1896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47D0FF0F">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7BEC8C6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E790AA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3ECC45E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687DC03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25D1B4E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66E4A23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19871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7BD8DFF">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242279CD">
            <w:pPr>
              <w:jc w:val="center"/>
              <w:rPr>
                <w:rFonts w:hint="eastAsia" w:ascii="宋体" w:hAnsi="宋体" w:eastAsia="宋体" w:cs="Times New Roman"/>
                <w:color w:val="auto"/>
                <w:szCs w:val="21"/>
                <w:highlight w:val="none"/>
              </w:rPr>
            </w:pPr>
          </w:p>
        </w:tc>
        <w:tc>
          <w:tcPr>
            <w:tcW w:w="614" w:type="pct"/>
            <w:vAlign w:val="center"/>
          </w:tcPr>
          <w:p w14:paraId="00CE4EFE">
            <w:pPr>
              <w:jc w:val="center"/>
              <w:rPr>
                <w:rFonts w:hint="eastAsia" w:ascii="宋体" w:hAnsi="宋体" w:eastAsia="宋体" w:cs="Times New Roman"/>
                <w:color w:val="auto"/>
                <w:szCs w:val="21"/>
                <w:highlight w:val="none"/>
              </w:rPr>
            </w:pPr>
          </w:p>
        </w:tc>
        <w:tc>
          <w:tcPr>
            <w:tcW w:w="614" w:type="pct"/>
            <w:vAlign w:val="center"/>
          </w:tcPr>
          <w:p w14:paraId="6C336173">
            <w:pPr>
              <w:jc w:val="center"/>
              <w:rPr>
                <w:rFonts w:hint="eastAsia" w:ascii="宋体" w:hAnsi="宋体" w:eastAsia="宋体" w:cs="Times New Roman"/>
                <w:color w:val="auto"/>
                <w:szCs w:val="21"/>
                <w:highlight w:val="none"/>
              </w:rPr>
            </w:pPr>
          </w:p>
        </w:tc>
        <w:tc>
          <w:tcPr>
            <w:tcW w:w="613" w:type="pct"/>
            <w:vAlign w:val="center"/>
          </w:tcPr>
          <w:p w14:paraId="50F9BE61">
            <w:pPr>
              <w:jc w:val="center"/>
              <w:rPr>
                <w:rFonts w:hint="eastAsia" w:ascii="宋体" w:hAnsi="宋体" w:eastAsia="宋体" w:cs="Times New Roman"/>
                <w:color w:val="auto"/>
                <w:szCs w:val="21"/>
                <w:highlight w:val="none"/>
              </w:rPr>
            </w:pPr>
          </w:p>
        </w:tc>
        <w:tc>
          <w:tcPr>
            <w:tcW w:w="614" w:type="pct"/>
            <w:vAlign w:val="center"/>
          </w:tcPr>
          <w:p w14:paraId="486ED3D6">
            <w:pPr>
              <w:jc w:val="center"/>
              <w:rPr>
                <w:rFonts w:hint="eastAsia" w:ascii="宋体" w:hAnsi="宋体" w:eastAsia="宋体" w:cs="Times New Roman"/>
                <w:color w:val="auto"/>
                <w:szCs w:val="21"/>
                <w:highlight w:val="none"/>
              </w:rPr>
            </w:pPr>
          </w:p>
        </w:tc>
        <w:tc>
          <w:tcPr>
            <w:tcW w:w="540" w:type="pct"/>
            <w:vAlign w:val="center"/>
          </w:tcPr>
          <w:p w14:paraId="2CEE412A">
            <w:pPr>
              <w:jc w:val="center"/>
              <w:rPr>
                <w:rFonts w:hint="eastAsia" w:ascii="宋体" w:hAnsi="宋体" w:eastAsia="宋体" w:cs="Times New Roman"/>
                <w:color w:val="auto"/>
                <w:szCs w:val="21"/>
                <w:highlight w:val="none"/>
              </w:rPr>
            </w:pPr>
          </w:p>
        </w:tc>
        <w:tc>
          <w:tcPr>
            <w:tcW w:w="624" w:type="pct"/>
            <w:vAlign w:val="center"/>
          </w:tcPr>
          <w:p w14:paraId="24428458">
            <w:pPr>
              <w:jc w:val="center"/>
              <w:rPr>
                <w:rFonts w:hint="eastAsia" w:ascii="宋体" w:hAnsi="宋体" w:eastAsia="宋体" w:cs="Times New Roman"/>
                <w:color w:val="auto"/>
                <w:szCs w:val="21"/>
                <w:highlight w:val="none"/>
              </w:rPr>
            </w:pPr>
          </w:p>
        </w:tc>
      </w:tr>
      <w:tr w14:paraId="00BF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EF3DC0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04891F10">
            <w:pPr>
              <w:jc w:val="center"/>
              <w:rPr>
                <w:rFonts w:hint="eastAsia" w:ascii="宋体" w:hAnsi="宋体" w:eastAsia="宋体" w:cs="Times New Roman"/>
                <w:color w:val="auto"/>
                <w:szCs w:val="21"/>
                <w:highlight w:val="none"/>
              </w:rPr>
            </w:pPr>
          </w:p>
        </w:tc>
        <w:tc>
          <w:tcPr>
            <w:tcW w:w="614" w:type="pct"/>
            <w:vAlign w:val="center"/>
          </w:tcPr>
          <w:p w14:paraId="18E1A80D">
            <w:pPr>
              <w:jc w:val="center"/>
              <w:rPr>
                <w:rFonts w:hint="eastAsia" w:ascii="宋体" w:hAnsi="宋体" w:eastAsia="宋体" w:cs="Times New Roman"/>
                <w:color w:val="auto"/>
                <w:szCs w:val="21"/>
                <w:highlight w:val="none"/>
              </w:rPr>
            </w:pPr>
          </w:p>
        </w:tc>
        <w:tc>
          <w:tcPr>
            <w:tcW w:w="614" w:type="pct"/>
            <w:vAlign w:val="center"/>
          </w:tcPr>
          <w:p w14:paraId="31F257D5">
            <w:pPr>
              <w:jc w:val="center"/>
              <w:rPr>
                <w:rFonts w:hint="eastAsia" w:ascii="宋体" w:hAnsi="宋体" w:eastAsia="宋体" w:cs="Times New Roman"/>
                <w:color w:val="auto"/>
                <w:szCs w:val="21"/>
                <w:highlight w:val="none"/>
              </w:rPr>
            </w:pPr>
          </w:p>
        </w:tc>
        <w:tc>
          <w:tcPr>
            <w:tcW w:w="613" w:type="pct"/>
            <w:vAlign w:val="center"/>
          </w:tcPr>
          <w:p w14:paraId="31562853">
            <w:pPr>
              <w:jc w:val="center"/>
              <w:rPr>
                <w:rFonts w:hint="eastAsia" w:ascii="宋体" w:hAnsi="宋体" w:eastAsia="宋体" w:cs="Times New Roman"/>
                <w:color w:val="auto"/>
                <w:szCs w:val="21"/>
                <w:highlight w:val="none"/>
              </w:rPr>
            </w:pPr>
          </w:p>
        </w:tc>
        <w:tc>
          <w:tcPr>
            <w:tcW w:w="614" w:type="pct"/>
            <w:vAlign w:val="center"/>
          </w:tcPr>
          <w:p w14:paraId="338EE625">
            <w:pPr>
              <w:jc w:val="center"/>
              <w:rPr>
                <w:rFonts w:hint="eastAsia" w:ascii="宋体" w:hAnsi="宋体" w:eastAsia="宋体" w:cs="Times New Roman"/>
                <w:color w:val="auto"/>
                <w:szCs w:val="21"/>
                <w:highlight w:val="none"/>
              </w:rPr>
            </w:pPr>
          </w:p>
        </w:tc>
        <w:tc>
          <w:tcPr>
            <w:tcW w:w="540" w:type="pct"/>
            <w:vAlign w:val="center"/>
          </w:tcPr>
          <w:p w14:paraId="45CE4D22">
            <w:pPr>
              <w:jc w:val="center"/>
              <w:rPr>
                <w:rFonts w:hint="eastAsia" w:ascii="宋体" w:hAnsi="宋体" w:eastAsia="宋体" w:cs="Times New Roman"/>
                <w:color w:val="auto"/>
                <w:szCs w:val="21"/>
                <w:highlight w:val="none"/>
              </w:rPr>
            </w:pPr>
          </w:p>
        </w:tc>
        <w:tc>
          <w:tcPr>
            <w:tcW w:w="624" w:type="pct"/>
            <w:vAlign w:val="center"/>
          </w:tcPr>
          <w:p w14:paraId="2CF83981">
            <w:pPr>
              <w:jc w:val="center"/>
              <w:rPr>
                <w:rFonts w:hint="eastAsia" w:ascii="宋体" w:hAnsi="宋体" w:eastAsia="宋体" w:cs="Times New Roman"/>
                <w:color w:val="auto"/>
                <w:szCs w:val="21"/>
                <w:highlight w:val="none"/>
              </w:rPr>
            </w:pPr>
          </w:p>
        </w:tc>
      </w:tr>
      <w:tr w14:paraId="4ACBD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E1C14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69E9C4ED">
            <w:pPr>
              <w:jc w:val="center"/>
              <w:rPr>
                <w:rFonts w:hint="eastAsia" w:ascii="宋体" w:hAnsi="宋体" w:eastAsia="宋体" w:cs="Times New Roman"/>
                <w:color w:val="auto"/>
                <w:szCs w:val="21"/>
                <w:highlight w:val="none"/>
              </w:rPr>
            </w:pPr>
          </w:p>
        </w:tc>
        <w:tc>
          <w:tcPr>
            <w:tcW w:w="614" w:type="pct"/>
            <w:vAlign w:val="center"/>
          </w:tcPr>
          <w:p w14:paraId="3DD32C19">
            <w:pPr>
              <w:jc w:val="center"/>
              <w:rPr>
                <w:rFonts w:hint="eastAsia" w:ascii="宋体" w:hAnsi="宋体" w:eastAsia="宋体" w:cs="Times New Roman"/>
                <w:color w:val="auto"/>
                <w:szCs w:val="21"/>
                <w:highlight w:val="none"/>
              </w:rPr>
            </w:pPr>
          </w:p>
        </w:tc>
        <w:tc>
          <w:tcPr>
            <w:tcW w:w="614" w:type="pct"/>
            <w:vAlign w:val="center"/>
          </w:tcPr>
          <w:p w14:paraId="3BF13AC5">
            <w:pPr>
              <w:jc w:val="center"/>
              <w:rPr>
                <w:rFonts w:hint="eastAsia" w:ascii="宋体" w:hAnsi="宋体" w:eastAsia="宋体" w:cs="Times New Roman"/>
                <w:color w:val="auto"/>
                <w:szCs w:val="21"/>
                <w:highlight w:val="none"/>
              </w:rPr>
            </w:pPr>
          </w:p>
        </w:tc>
        <w:tc>
          <w:tcPr>
            <w:tcW w:w="613" w:type="pct"/>
            <w:vAlign w:val="center"/>
          </w:tcPr>
          <w:p w14:paraId="7054B5D8">
            <w:pPr>
              <w:jc w:val="center"/>
              <w:rPr>
                <w:rFonts w:hint="eastAsia" w:ascii="宋体" w:hAnsi="宋体" w:eastAsia="宋体" w:cs="Times New Roman"/>
                <w:color w:val="auto"/>
                <w:szCs w:val="21"/>
                <w:highlight w:val="none"/>
              </w:rPr>
            </w:pPr>
          </w:p>
        </w:tc>
        <w:tc>
          <w:tcPr>
            <w:tcW w:w="614" w:type="pct"/>
            <w:vAlign w:val="center"/>
          </w:tcPr>
          <w:p w14:paraId="5877ED68">
            <w:pPr>
              <w:jc w:val="center"/>
              <w:rPr>
                <w:rFonts w:hint="eastAsia" w:ascii="宋体" w:hAnsi="宋体" w:eastAsia="宋体" w:cs="Times New Roman"/>
                <w:color w:val="auto"/>
                <w:szCs w:val="21"/>
                <w:highlight w:val="none"/>
              </w:rPr>
            </w:pPr>
          </w:p>
        </w:tc>
        <w:tc>
          <w:tcPr>
            <w:tcW w:w="540" w:type="pct"/>
            <w:vAlign w:val="center"/>
          </w:tcPr>
          <w:p w14:paraId="142EB901">
            <w:pPr>
              <w:jc w:val="center"/>
              <w:rPr>
                <w:rFonts w:hint="eastAsia" w:ascii="宋体" w:hAnsi="宋体" w:eastAsia="宋体" w:cs="Times New Roman"/>
                <w:color w:val="auto"/>
                <w:szCs w:val="21"/>
                <w:highlight w:val="none"/>
              </w:rPr>
            </w:pPr>
          </w:p>
        </w:tc>
        <w:tc>
          <w:tcPr>
            <w:tcW w:w="624" w:type="pct"/>
            <w:vAlign w:val="center"/>
          </w:tcPr>
          <w:p w14:paraId="75A8A77B">
            <w:pPr>
              <w:jc w:val="center"/>
              <w:rPr>
                <w:rFonts w:hint="eastAsia" w:ascii="宋体" w:hAnsi="宋体" w:eastAsia="宋体" w:cs="Times New Roman"/>
                <w:color w:val="auto"/>
                <w:szCs w:val="21"/>
                <w:highlight w:val="none"/>
              </w:rPr>
            </w:pPr>
          </w:p>
        </w:tc>
      </w:tr>
      <w:tr w14:paraId="52CF7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CC337B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6A754FE8">
            <w:pPr>
              <w:jc w:val="center"/>
              <w:rPr>
                <w:rFonts w:hint="eastAsia" w:ascii="宋体" w:hAnsi="宋体" w:eastAsia="宋体" w:cs="Times New Roman"/>
                <w:color w:val="auto"/>
                <w:szCs w:val="21"/>
                <w:highlight w:val="none"/>
              </w:rPr>
            </w:pPr>
          </w:p>
        </w:tc>
        <w:tc>
          <w:tcPr>
            <w:tcW w:w="614" w:type="pct"/>
            <w:vAlign w:val="center"/>
          </w:tcPr>
          <w:p w14:paraId="731A473F">
            <w:pPr>
              <w:jc w:val="center"/>
              <w:rPr>
                <w:rFonts w:hint="eastAsia" w:ascii="宋体" w:hAnsi="宋体" w:eastAsia="宋体" w:cs="Times New Roman"/>
                <w:color w:val="auto"/>
                <w:szCs w:val="21"/>
                <w:highlight w:val="none"/>
              </w:rPr>
            </w:pPr>
          </w:p>
        </w:tc>
        <w:tc>
          <w:tcPr>
            <w:tcW w:w="614" w:type="pct"/>
            <w:vAlign w:val="center"/>
          </w:tcPr>
          <w:p w14:paraId="7A05C6DF">
            <w:pPr>
              <w:jc w:val="center"/>
              <w:rPr>
                <w:rFonts w:hint="eastAsia" w:ascii="宋体" w:hAnsi="宋体" w:eastAsia="宋体" w:cs="Times New Roman"/>
                <w:color w:val="auto"/>
                <w:szCs w:val="21"/>
                <w:highlight w:val="none"/>
              </w:rPr>
            </w:pPr>
          </w:p>
        </w:tc>
        <w:tc>
          <w:tcPr>
            <w:tcW w:w="613" w:type="pct"/>
            <w:vAlign w:val="center"/>
          </w:tcPr>
          <w:p w14:paraId="317BBA23">
            <w:pPr>
              <w:jc w:val="center"/>
              <w:rPr>
                <w:rFonts w:hint="eastAsia" w:ascii="宋体" w:hAnsi="宋体" w:eastAsia="宋体" w:cs="Times New Roman"/>
                <w:color w:val="auto"/>
                <w:szCs w:val="21"/>
                <w:highlight w:val="none"/>
              </w:rPr>
            </w:pPr>
          </w:p>
        </w:tc>
        <w:tc>
          <w:tcPr>
            <w:tcW w:w="614" w:type="pct"/>
            <w:vAlign w:val="center"/>
          </w:tcPr>
          <w:p w14:paraId="54A2ED18">
            <w:pPr>
              <w:jc w:val="center"/>
              <w:rPr>
                <w:rFonts w:hint="eastAsia" w:ascii="宋体" w:hAnsi="宋体" w:eastAsia="宋体" w:cs="Times New Roman"/>
                <w:color w:val="auto"/>
                <w:szCs w:val="21"/>
                <w:highlight w:val="none"/>
              </w:rPr>
            </w:pPr>
          </w:p>
        </w:tc>
        <w:tc>
          <w:tcPr>
            <w:tcW w:w="540" w:type="pct"/>
            <w:vAlign w:val="center"/>
          </w:tcPr>
          <w:p w14:paraId="40764E91">
            <w:pPr>
              <w:jc w:val="center"/>
              <w:rPr>
                <w:rFonts w:hint="eastAsia" w:ascii="宋体" w:hAnsi="宋体" w:eastAsia="宋体" w:cs="Times New Roman"/>
                <w:color w:val="auto"/>
                <w:szCs w:val="21"/>
                <w:highlight w:val="none"/>
              </w:rPr>
            </w:pPr>
          </w:p>
        </w:tc>
        <w:tc>
          <w:tcPr>
            <w:tcW w:w="624" w:type="pct"/>
            <w:vAlign w:val="center"/>
          </w:tcPr>
          <w:p w14:paraId="1B096828">
            <w:pPr>
              <w:jc w:val="center"/>
              <w:rPr>
                <w:rFonts w:hint="eastAsia" w:ascii="宋体" w:hAnsi="宋体" w:eastAsia="宋体" w:cs="Times New Roman"/>
                <w:color w:val="auto"/>
                <w:szCs w:val="21"/>
                <w:highlight w:val="none"/>
              </w:rPr>
            </w:pPr>
          </w:p>
        </w:tc>
      </w:tr>
      <w:tr w14:paraId="2A3D7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D83EB4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348B3CF1">
            <w:pPr>
              <w:jc w:val="center"/>
              <w:rPr>
                <w:rFonts w:hint="eastAsia" w:ascii="宋体" w:hAnsi="宋体" w:eastAsia="宋体" w:cs="Times New Roman"/>
                <w:color w:val="auto"/>
                <w:szCs w:val="21"/>
                <w:highlight w:val="none"/>
              </w:rPr>
            </w:pPr>
          </w:p>
        </w:tc>
        <w:tc>
          <w:tcPr>
            <w:tcW w:w="614" w:type="pct"/>
            <w:vAlign w:val="center"/>
          </w:tcPr>
          <w:p w14:paraId="4ADB2F49">
            <w:pPr>
              <w:jc w:val="center"/>
              <w:rPr>
                <w:rFonts w:hint="eastAsia" w:ascii="宋体" w:hAnsi="宋体" w:eastAsia="宋体" w:cs="Times New Roman"/>
                <w:color w:val="auto"/>
                <w:szCs w:val="21"/>
                <w:highlight w:val="none"/>
              </w:rPr>
            </w:pPr>
          </w:p>
        </w:tc>
        <w:tc>
          <w:tcPr>
            <w:tcW w:w="614" w:type="pct"/>
            <w:vAlign w:val="center"/>
          </w:tcPr>
          <w:p w14:paraId="19A3EDAB">
            <w:pPr>
              <w:jc w:val="center"/>
              <w:rPr>
                <w:rFonts w:hint="eastAsia" w:ascii="宋体" w:hAnsi="宋体" w:eastAsia="宋体" w:cs="Times New Roman"/>
                <w:color w:val="auto"/>
                <w:szCs w:val="21"/>
                <w:highlight w:val="none"/>
              </w:rPr>
            </w:pPr>
          </w:p>
        </w:tc>
        <w:tc>
          <w:tcPr>
            <w:tcW w:w="613" w:type="pct"/>
            <w:vAlign w:val="center"/>
          </w:tcPr>
          <w:p w14:paraId="3803B660">
            <w:pPr>
              <w:jc w:val="center"/>
              <w:rPr>
                <w:rFonts w:hint="eastAsia" w:ascii="宋体" w:hAnsi="宋体" w:eastAsia="宋体" w:cs="Times New Roman"/>
                <w:color w:val="auto"/>
                <w:szCs w:val="21"/>
                <w:highlight w:val="none"/>
              </w:rPr>
            </w:pPr>
          </w:p>
        </w:tc>
        <w:tc>
          <w:tcPr>
            <w:tcW w:w="614" w:type="pct"/>
            <w:vAlign w:val="center"/>
          </w:tcPr>
          <w:p w14:paraId="3914EAD2">
            <w:pPr>
              <w:jc w:val="center"/>
              <w:rPr>
                <w:rFonts w:hint="eastAsia" w:ascii="宋体" w:hAnsi="宋体" w:eastAsia="宋体" w:cs="Times New Roman"/>
                <w:color w:val="auto"/>
                <w:szCs w:val="21"/>
                <w:highlight w:val="none"/>
              </w:rPr>
            </w:pPr>
          </w:p>
        </w:tc>
        <w:tc>
          <w:tcPr>
            <w:tcW w:w="540" w:type="pct"/>
            <w:vAlign w:val="center"/>
          </w:tcPr>
          <w:p w14:paraId="2F612ED6">
            <w:pPr>
              <w:jc w:val="center"/>
              <w:rPr>
                <w:rFonts w:hint="eastAsia" w:ascii="宋体" w:hAnsi="宋体" w:eastAsia="宋体" w:cs="Times New Roman"/>
                <w:color w:val="auto"/>
                <w:szCs w:val="21"/>
                <w:highlight w:val="none"/>
              </w:rPr>
            </w:pPr>
          </w:p>
        </w:tc>
        <w:tc>
          <w:tcPr>
            <w:tcW w:w="624" w:type="pct"/>
            <w:vAlign w:val="center"/>
          </w:tcPr>
          <w:p w14:paraId="0B036CA4">
            <w:pPr>
              <w:jc w:val="center"/>
              <w:rPr>
                <w:rFonts w:hint="eastAsia" w:ascii="宋体" w:hAnsi="宋体" w:eastAsia="宋体" w:cs="Times New Roman"/>
                <w:color w:val="auto"/>
                <w:szCs w:val="21"/>
                <w:highlight w:val="none"/>
              </w:rPr>
            </w:pPr>
          </w:p>
        </w:tc>
      </w:tr>
      <w:tr w14:paraId="00E1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9DEBC3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32BA5064">
            <w:pPr>
              <w:jc w:val="center"/>
              <w:rPr>
                <w:rFonts w:hint="eastAsia" w:ascii="宋体" w:hAnsi="宋体" w:eastAsia="宋体" w:cs="Times New Roman"/>
                <w:color w:val="auto"/>
                <w:szCs w:val="21"/>
                <w:highlight w:val="none"/>
              </w:rPr>
            </w:pPr>
          </w:p>
        </w:tc>
        <w:tc>
          <w:tcPr>
            <w:tcW w:w="614" w:type="pct"/>
            <w:vAlign w:val="center"/>
          </w:tcPr>
          <w:p w14:paraId="0327FF80">
            <w:pPr>
              <w:jc w:val="center"/>
              <w:rPr>
                <w:rFonts w:hint="eastAsia" w:ascii="宋体" w:hAnsi="宋体" w:eastAsia="宋体" w:cs="Times New Roman"/>
                <w:color w:val="auto"/>
                <w:szCs w:val="21"/>
                <w:highlight w:val="none"/>
              </w:rPr>
            </w:pPr>
          </w:p>
        </w:tc>
        <w:tc>
          <w:tcPr>
            <w:tcW w:w="614" w:type="pct"/>
            <w:vAlign w:val="center"/>
          </w:tcPr>
          <w:p w14:paraId="6E5017B2">
            <w:pPr>
              <w:jc w:val="center"/>
              <w:rPr>
                <w:rFonts w:hint="eastAsia" w:ascii="宋体" w:hAnsi="宋体" w:eastAsia="宋体" w:cs="Times New Roman"/>
                <w:color w:val="auto"/>
                <w:szCs w:val="21"/>
                <w:highlight w:val="none"/>
              </w:rPr>
            </w:pPr>
          </w:p>
        </w:tc>
        <w:tc>
          <w:tcPr>
            <w:tcW w:w="613" w:type="pct"/>
            <w:vAlign w:val="center"/>
          </w:tcPr>
          <w:p w14:paraId="4931B2DE">
            <w:pPr>
              <w:jc w:val="center"/>
              <w:rPr>
                <w:rFonts w:hint="eastAsia" w:ascii="宋体" w:hAnsi="宋体" w:eastAsia="宋体" w:cs="Times New Roman"/>
                <w:color w:val="auto"/>
                <w:szCs w:val="21"/>
                <w:highlight w:val="none"/>
              </w:rPr>
            </w:pPr>
          </w:p>
        </w:tc>
        <w:tc>
          <w:tcPr>
            <w:tcW w:w="614" w:type="pct"/>
            <w:vAlign w:val="center"/>
          </w:tcPr>
          <w:p w14:paraId="26F54B55">
            <w:pPr>
              <w:jc w:val="center"/>
              <w:rPr>
                <w:rFonts w:hint="eastAsia" w:ascii="宋体" w:hAnsi="宋体" w:eastAsia="宋体" w:cs="Times New Roman"/>
                <w:color w:val="auto"/>
                <w:szCs w:val="21"/>
                <w:highlight w:val="none"/>
              </w:rPr>
            </w:pPr>
          </w:p>
        </w:tc>
        <w:tc>
          <w:tcPr>
            <w:tcW w:w="540" w:type="pct"/>
            <w:vAlign w:val="center"/>
          </w:tcPr>
          <w:p w14:paraId="31BEFF15">
            <w:pPr>
              <w:jc w:val="center"/>
              <w:rPr>
                <w:rFonts w:hint="eastAsia" w:ascii="宋体" w:hAnsi="宋体" w:eastAsia="宋体" w:cs="Times New Roman"/>
                <w:color w:val="auto"/>
                <w:szCs w:val="21"/>
                <w:highlight w:val="none"/>
              </w:rPr>
            </w:pPr>
          </w:p>
        </w:tc>
        <w:tc>
          <w:tcPr>
            <w:tcW w:w="624" w:type="pct"/>
            <w:vAlign w:val="center"/>
          </w:tcPr>
          <w:p w14:paraId="6CB773CB">
            <w:pPr>
              <w:jc w:val="center"/>
              <w:rPr>
                <w:rFonts w:hint="eastAsia" w:ascii="宋体" w:hAnsi="宋体" w:eastAsia="宋体" w:cs="Times New Roman"/>
                <w:color w:val="auto"/>
                <w:szCs w:val="21"/>
                <w:highlight w:val="none"/>
              </w:rPr>
            </w:pPr>
          </w:p>
        </w:tc>
      </w:tr>
    </w:tbl>
    <w:p w14:paraId="136C0C0E">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48832176">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38C22474">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541C26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71B8BA80">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45111E05">
      <w:pPr>
        <w:widowControl/>
        <w:spacing w:before="870" w:beforeLines="200" w:line="300" w:lineRule="auto"/>
        <w:jc w:val="left"/>
        <w:rPr>
          <w:rFonts w:hint="eastAsia" w:ascii="宋体" w:hAnsi="宋体" w:eastAsia="宋体" w:cs="Times New Roman"/>
          <w:color w:val="auto"/>
          <w:kern w:val="0"/>
          <w:szCs w:val="21"/>
          <w:highlight w:val="none"/>
          <w:lang w:eastAsia="zh-Hans"/>
        </w:rPr>
      </w:pPr>
      <w:bookmarkStart w:id="45"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38762BA">
      <w:pPr>
        <w:widowControl/>
        <w:spacing w:line="300" w:lineRule="auto"/>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5"/>
    </w:p>
    <w:p w14:paraId="2BE4910D">
      <w:pPr>
        <w:pageBreakBefore/>
        <w:rPr>
          <w:rFonts w:ascii="Calibri" w:hAnsi="Calibri" w:eastAsia="宋体" w:cs="Times New Roman"/>
          <w:color w:val="auto"/>
          <w:kern w:val="0"/>
          <w:sz w:val="20"/>
          <w:szCs w:val="20"/>
          <w:highlight w:val="none"/>
          <w:lang w:eastAsia="zh-Hans"/>
        </w:rPr>
      </w:pPr>
      <w:bookmarkStart w:id="46"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ascii="宋体" w:hAnsi="宋体" w:eastAsia="宋体"/>
          <w:b/>
          <w:bCs/>
          <w:color w:val="auto"/>
          <w:sz w:val="24"/>
          <w:szCs w:val="28"/>
          <w:highlight w:val="none"/>
        </w:rPr>
        <w:t>：</w:t>
      </w:r>
      <w:bookmarkEnd w:id="46"/>
    </w:p>
    <w:p w14:paraId="37DF85C6">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7EAD2789">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003EA3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12FD751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3BC0CB5">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512D530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5993C88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F5C12B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6C4CBD3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0D98383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1DCF433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6B7399A">
      <w:pPr>
        <w:spacing w:before="217" w:beforeLines="50" w:after="217" w:afterLines="50" w:line="360" w:lineRule="auto"/>
        <w:rPr>
          <w:rFonts w:hint="eastAsia" w:ascii="宋体" w:hAnsi="宋体" w:eastAsia="宋体"/>
          <w:color w:val="auto"/>
          <w:szCs w:val="21"/>
          <w:highlight w:val="none"/>
        </w:rPr>
      </w:pPr>
    </w:p>
    <w:p w14:paraId="3487284A">
      <w:pPr>
        <w:spacing w:before="217" w:beforeLines="50"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F4BB97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2D4EDE59">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A68EDD5">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39DFC72C">
      <w:pPr>
        <w:widowControl/>
        <w:jc w:val="left"/>
        <w:rPr>
          <w:rFonts w:ascii="Calibri" w:hAnsi="Calibri" w:eastAsia="宋体" w:cs="Times New Roman"/>
          <w:color w:val="auto"/>
          <w:kern w:val="0"/>
          <w:sz w:val="20"/>
          <w:szCs w:val="20"/>
          <w:highlight w:val="none"/>
          <w:lang w:eastAsia="zh-Hans"/>
        </w:rPr>
      </w:pPr>
    </w:p>
    <w:p w14:paraId="220CD68E">
      <w:pPr>
        <w:pageBreakBefore/>
        <w:rPr>
          <w:rFonts w:ascii="Calibri" w:hAnsi="Calibri" w:eastAsia="宋体" w:cs="Times New Roman"/>
          <w:color w:val="auto"/>
          <w:kern w:val="0"/>
          <w:sz w:val="20"/>
          <w:szCs w:val="20"/>
          <w:highlight w:val="none"/>
          <w:lang w:eastAsia="zh-Hans"/>
        </w:rPr>
      </w:pPr>
      <w:bookmarkStart w:id="47"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bookmarkEnd w:id="47"/>
    </w:p>
    <w:p w14:paraId="4A605055">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0632333F">
      <w:pPr>
        <w:spacing w:before="652" w:beforeLines="150" w:line="360" w:lineRule="auto"/>
        <w:rPr>
          <w:rFonts w:hint="eastAsia" w:ascii="宋体" w:hAnsi="宋体" w:eastAsia="宋体"/>
          <w:b/>
          <w:color w:val="auto"/>
          <w:highlight w:val="none"/>
        </w:rPr>
      </w:pPr>
      <w:r>
        <w:rPr>
          <w:rFonts w:hint="eastAsia" w:ascii="宋体" w:hAnsi="宋体" w:eastAsia="宋体"/>
          <w:b/>
          <w:color w:val="auto"/>
          <w:highlight w:val="none"/>
        </w:rPr>
        <w:t>广东智汇城市招标采购有限公司</w:t>
      </w:r>
    </w:p>
    <w:p w14:paraId="78DDA248">
      <w:pPr>
        <w:pStyle w:val="29"/>
        <w:spacing w:line="360" w:lineRule="auto"/>
        <w:ind w:firstLine="450" w:firstLineChars="0"/>
        <w:rPr>
          <w:rFonts w:hint="eastAsia"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521F25E1">
      <w:pPr>
        <w:pStyle w:val="29"/>
        <w:spacing w:line="360" w:lineRule="auto"/>
        <w:ind w:firstLine="428" w:firstLineChars="204"/>
        <w:rPr>
          <w:rFonts w:hint="eastAsia"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BF1DAA5">
      <w:pPr>
        <w:widowControl/>
        <w:spacing w:before="652" w:beforeLines="1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F12CEA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7F245C1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21167EE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6B87C28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4A9B092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0275B00D">
      <w:pPr>
        <w:pStyle w:val="29"/>
        <w:spacing w:line="360" w:lineRule="auto"/>
        <w:ind w:firstLine="0" w:firstLineChars="0"/>
        <w:rPr>
          <w:rFonts w:hint="eastAsia"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1059D6BF">
      <w:pPr>
        <w:pStyle w:val="29"/>
        <w:spacing w:line="360" w:lineRule="auto"/>
        <w:ind w:firstLine="0" w:firstLineChars="0"/>
        <w:rPr>
          <w:rFonts w:hint="eastAsia" w:ascii="宋体" w:eastAsia="宋体"/>
          <w:color w:val="auto"/>
          <w:sz w:val="21"/>
          <w:szCs w:val="21"/>
          <w:highlight w:val="none"/>
        </w:rPr>
      </w:pPr>
    </w:p>
    <w:p w14:paraId="008AF350">
      <w:pPr>
        <w:spacing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7B93D59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2D2CD7E">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12B032E">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36ACB648">
      <w:pPr>
        <w:widowControl/>
        <w:jc w:val="left"/>
        <w:rPr>
          <w:rFonts w:ascii="Calibri" w:hAnsi="Calibri" w:eastAsia="宋体" w:cs="Times New Roman"/>
          <w:color w:val="auto"/>
          <w:kern w:val="0"/>
          <w:sz w:val="20"/>
          <w:szCs w:val="20"/>
          <w:highlight w:val="none"/>
          <w:lang w:eastAsia="zh-Hans"/>
        </w:rPr>
      </w:pPr>
    </w:p>
    <w:p w14:paraId="07603C52">
      <w:pPr>
        <w:pStyle w:val="20"/>
        <w:ind w:right="1890" w:firstLine="640"/>
        <w:jc w:val="center"/>
        <w:rPr>
          <w:color w:val="auto"/>
          <w:highlight w:val="none"/>
        </w:rPr>
      </w:pPr>
    </w:p>
    <w:p w14:paraId="4E85F3AE">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格式十：</w:t>
      </w:r>
    </w:p>
    <w:p w14:paraId="16F9CDEB">
      <w:pPr>
        <w:spacing w:before="217" w:beforeLines="50" w:after="435" w:afterLines="100" w:line="360" w:lineRule="auto"/>
        <w:jc w:val="center"/>
        <w:rPr>
          <w:rFonts w:hint="eastAsia"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385B9111">
      <w:pPr>
        <w:adjustRightInd w:val="0"/>
        <w:snapToGrid w:val="0"/>
        <w:spacing w:line="360" w:lineRule="auto"/>
        <w:rPr>
          <w:rFonts w:hint="eastAsia"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22045F29">
      <w:pPr>
        <w:adjustRightInd w:val="0"/>
        <w:snapToGrid w:val="0"/>
        <w:spacing w:before="217" w:beforeLines="50" w:line="360" w:lineRule="auto"/>
        <w:ind w:firstLine="424" w:firstLineChars="202"/>
        <w:rPr>
          <w:rFonts w:hint="eastAsia"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1CE20E11">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12E72780">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12928BA7">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2BAE151F">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75AACE1">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6D7C1023">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0A765A43">
      <w:pPr>
        <w:pStyle w:val="26"/>
        <w:widowControl/>
        <w:numPr>
          <w:ilvl w:val="0"/>
          <w:numId w:val="13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3058849A">
      <w:pPr>
        <w:adjustRightInd w:val="0"/>
        <w:snapToGrid w:val="0"/>
        <w:spacing w:line="360" w:lineRule="auto"/>
        <w:ind w:firstLine="424" w:firstLineChars="202"/>
        <w:rPr>
          <w:rFonts w:hint="eastAsia"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1120E66">
      <w:pPr>
        <w:adjustRightInd w:val="0"/>
        <w:snapToGrid w:val="0"/>
        <w:spacing w:before="217" w:beforeLines="50" w:line="360" w:lineRule="auto"/>
        <w:ind w:firstLine="420"/>
        <w:rPr>
          <w:rFonts w:hint="eastAsia" w:ascii="宋体" w:hAnsi="宋体" w:eastAsia="宋体"/>
          <w:color w:val="auto"/>
          <w:szCs w:val="21"/>
          <w:highlight w:val="none"/>
        </w:rPr>
      </w:pPr>
      <w:r>
        <w:rPr>
          <w:rFonts w:hint="eastAsia" w:ascii="宋体" w:hAnsi="宋体" w:eastAsia="宋体"/>
          <w:color w:val="auto"/>
          <w:szCs w:val="21"/>
          <w:highlight w:val="none"/>
        </w:rPr>
        <w:t>特此承诺。</w:t>
      </w:r>
    </w:p>
    <w:p w14:paraId="1D332372">
      <w:pPr>
        <w:rPr>
          <w:rFonts w:hint="eastAsia" w:ascii="宋体" w:hAnsi="宋体" w:eastAsia="宋体" w:cs="Times New Roman"/>
          <w:color w:val="auto"/>
          <w:szCs w:val="21"/>
          <w:highlight w:val="none"/>
        </w:rPr>
      </w:pPr>
    </w:p>
    <w:p w14:paraId="6A05A9A1">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F48305D">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E17C42B">
      <w:pPr>
        <w:rPr>
          <w:rFonts w:hint="eastAsia" w:ascii="宋体" w:hAnsi="宋体" w:eastAsia="宋体" w:cs="Times New Roman"/>
          <w:color w:val="auto"/>
          <w:szCs w:val="21"/>
          <w:highlight w:val="none"/>
        </w:rPr>
      </w:pPr>
    </w:p>
    <w:p w14:paraId="6FFD6696">
      <w:pPr>
        <w:pageBreakBefore/>
        <w:rPr>
          <w:rFonts w:ascii="Calibri" w:hAnsi="Calibri" w:eastAsia="宋体" w:cs="Times New Roman"/>
          <w:color w:val="auto"/>
          <w:kern w:val="0"/>
          <w:szCs w:val="21"/>
          <w:highlight w:val="none"/>
          <w:lang w:eastAsia="zh-Hans"/>
        </w:rPr>
      </w:pPr>
      <w:bookmarkStart w:id="48"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hint="eastAsia" w:ascii="宋体" w:hAnsi="宋体" w:eastAsia="宋体"/>
          <w:b/>
          <w:bCs/>
          <w:color w:val="auto"/>
          <w:sz w:val="24"/>
          <w:szCs w:val="28"/>
          <w:highlight w:val="none"/>
          <w:lang w:val="en-US" w:eastAsia="zh-CN"/>
        </w:rPr>
        <w:t>一</w:t>
      </w:r>
      <w:r>
        <w:rPr>
          <w:rFonts w:ascii="宋体" w:hAnsi="宋体" w:eastAsia="宋体"/>
          <w:b/>
          <w:bCs/>
          <w:color w:val="auto"/>
          <w:sz w:val="24"/>
          <w:szCs w:val="28"/>
          <w:highlight w:val="none"/>
        </w:rPr>
        <w:t>：</w:t>
      </w:r>
      <w:bookmarkEnd w:id="48"/>
    </w:p>
    <w:p w14:paraId="7F8920A8">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10B053C3">
      <w:pPr>
        <w:widowControl/>
        <w:jc w:val="left"/>
        <w:rPr>
          <w:rFonts w:ascii="Calibri" w:hAnsi="Calibri" w:eastAsia="宋体" w:cs="Times New Roman"/>
          <w:color w:val="auto"/>
          <w:kern w:val="0"/>
          <w:sz w:val="20"/>
          <w:szCs w:val="20"/>
          <w:highlight w:val="none"/>
          <w:lang w:eastAsia="zh-Hans"/>
        </w:rPr>
      </w:pPr>
    </w:p>
    <w:p w14:paraId="407C53E0">
      <w:pPr>
        <w:pageBreakBefore/>
        <w:rPr>
          <w:rFonts w:hint="eastAsia" w:ascii="宋体" w:hAnsi="宋体" w:eastAsia="宋体"/>
          <w:b/>
          <w:bCs/>
          <w:color w:val="auto"/>
          <w:highlight w:val="none"/>
        </w:rPr>
      </w:pPr>
      <w:bookmarkStart w:id="49" w:name="_Toc391627770"/>
      <w:bookmarkStart w:id="50" w:name="_Toc405313974"/>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w:t>
      </w:r>
    </w:p>
    <w:p w14:paraId="47475077">
      <w:pPr>
        <w:spacing w:after="217" w:afterLines="50" w:line="360" w:lineRule="auto"/>
        <w:jc w:val="center"/>
        <w:rPr>
          <w:rFonts w:hint="eastAsia"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595BE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3A1C12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1E22910E">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7EAEC2C1">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FA17D7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7D3B635F">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5F6B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2447DB2E">
            <w:pPr>
              <w:jc w:val="center"/>
              <w:rPr>
                <w:rFonts w:hint="eastAsia" w:ascii="宋体" w:hAnsi="宋体" w:eastAsia="宋体"/>
                <w:color w:val="auto"/>
                <w:szCs w:val="21"/>
                <w:highlight w:val="none"/>
              </w:rPr>
            </w:pPr>
          </w:p>
        </w:tc>
        <w:tc>
          <w:tcPr>
            <w:tcW w:w="1563" w:type="pct"/>
            <w:vAlign w:val="center"/>
          </w:tcPr>
          <w:p w14:paraId="43686A3D">
            <w:pPr>
              <w:jc w:val="center"/>
              <w:rPr>
                <w:rFonts w:hint="eastAsia" w:ascii="宋体" w:hAnsi="宋体" w:eastAsia="宋体"/>
                <w:color w:val="auto"/>
                <w:szCs w:val="21"/>
                <w:highlight w:val="none"/>
              </w:rPr>
            </w:pPr>
          </w:p>
        </w:tc>
        <w:tc>
          <w:tcPr>
            <w:tcW w:w="1164" w:type="pct"/>
            <w:vAlign w:val="center"/>
          </w:tcPr>
          <w:p w14:paraId="684307AD">
            <w:pPr>
              <w:jc w:val="center"/>
              <w:rPr>
                <w:rFonts w:hint="eastAsia" w:ascii="宋体" w:hAnsi="宋体" w:eastAsia="宋体"/>
                <w:color w:val="auto"/>
                <w:szCs w:val="21"/>
                <w:highlight w:val="none"/>
              </w:rPr>
            </w:pPr>
          </w:p>
        </w:tc>
        <w:tc>
          <w:tcPr>
            <w:tcW w:w="732" w:type="pct"/>
            <w:vAlign w:val="center"/>
          </w:tcPr>
          <w:p w14:paraId="3BC768E7">
            <w:pPr>
              <w:jc w:val="center"/>
              <w:rPr>
                <w:rFonts w:hint="eastAsia" w:ascii="宋体" w:hAnsi="宋体" w:eastAsia="宋体"/>
                <w:color w:val="auto"/>
                <w:szCs w:val="21"/>
                <w:highlight w:val="none"/>
              </w:rPr>
            </w:pPr>
          </w:p>
        </w:tc>
        <w:tc>
          <w:tcPr>
            <w:tcW w:w="1009" w:type="pct"/>
            <w:vAlign w:val="center"/>
          </w:tcPr>
          <w:p w14:paraId="7579A3ED">
            <w:pPr>
              <w:jc w:val="center"/>
              <w:rPr>
                <w:rFonts w:hint="eastAsia" w:ascii="宋体" w:hAnsi="宋体" w:eastAsia="宋体"/>
                <w:color w:val="auto"/>
                <w:szCs w:val="21"/>
                <w:highlight w:val="none"/>
              </w:rPr>
            </w:pPr>
          </w:p>
        </w:tc>
      </w:tr>
      <w:tr w14:paraId="6266F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EE10282">
            <w:pPr>
              <w:jc w:val="center"/>
              <w:rPr>
                <w:rFonts w:hint="eastAsia" w:ascii="宋体" w:hAnsi="宋体" w:eastAsia="宋体"/>
                <w:color w:val="auto"/>
                <w:szCs w:val="21"/>
                <w:highlight w:val="none"/>
              </w:rPr>
            </w:pPr>
          </w:p>
        </w:tc>
        <w:tc>
          <w:tcPr>
            <w:tcW w:w="1563" w:type="pct"/>
            <w:vAlign w:val="center"/>
          </w:tcPr>
          <w:p w14:paraId="43B3AFA9">
            <w:pPr>
              <w:jc w:val="center"/>
              <w:rPr>
                <w:rFonts w:hint="eastAsia" w:ascii="宋体" w:hAnsi="宋体" w:eastAsia="宋体"/>
                <w:color w:val="auto"/>
                <w:szCs w:val="21"/>
                <w:highlight w:val="none"/>
              </w:rPr>
            </w:pPr>
          </w:p>
        </w:tc>
        <w:tc>
          <w:tcPr>
            <w:tcW w:w="1164" w:type="pct"/>
            <w:vAlign w:val="center"/>
          </w:tcPr>
          <w:p w14:paraId="58D85229">
            <w:pPr>
              <w:jc w:val="center"/>
              <w:rPr>
                <w:rFonts w:hint="eastAsia" w:ascii="宋体" w:hAnsi="宋体" w:eastAsia="宋体"/>
                <w:color w:val="auto"/>
                <w:szCs w:val="21"/>
                <w:highlight w:val="none"/>
              </w:rPr>
            </w:pPr>
          </w:p>
        </w:tc>
        <w:tc>
          <w:tcPr>
            <w:tcW w:w="732" w:type="pct"/>
            <w:vAlign w:val="center"/>
          </w:tcPr>
          <w:p w14:paraId="0951E05A">
            <w:pPr>
              <w:jc w:val="center"/>
              <w:rPr>
                <w:rFonts w:hint="eastAsia" w:ascii="宋体" w:hAnsi="宋体" w:eastAsia="宋体"/>
                <w:color w:val="auto"/>
                <w:szCs w:val="21"/>
                <w:highlight w:val="none"/>
              </w:rPr>
            </w:pPr>
          </w:p>
        </w:tc>
        <w:tc>
          <w:tcPr>
            <w:tcW w:w="1009" w:type="pct"/>
            <w:vAlign w:val="center"/>
          </w:tcPr>
          <w:p w14:paraId="6B1019DA">
            <w:pPr>
              <w:jc w:val="center"/>
              <w:rPr>
                <w:rFonts w:hint="eastAsia" w:ascii="宋体" w:hAnsi="宋体" w:eastAsia="宋体"/>
                <w:color w:val="auto"/>
                <w:szCs w:val="21"/>
                <w:highlight w:val="none"/>
              </w:rPr>
            </w:pPr>
          </w:p>
        </w:tc>
      </w:tr>
      <w:tr w14:paraId="45775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B565309">
            <w:pPr>
              <w:jc w:val="center"/>
              <w:rPr>
                <w:rFonts w:hint="eastAsia" w:ascii="宋体" w:hAnsi="宋体" w:eastAsia="宋体"/>
                <w:color w:val="auto"/>
                <w:szCs w:val="21"/>
                <w:highlight w:val="none"/>
              </w:rPr>
            </w:pPr>
          </w:p>
        </w:tc>
        <w:tc>
          <w:tcPr>
            <w:tcW w:w="1563" w:type="pct"/>
            <w:vAlign w:val="center"/>
          </w:tcPr>
          <w:p w14:paraId="34301EE8">
            <w:pPr>
              <w:jc w:val="center"/>
              <w:rPr>
                <w:rFonts w:hint="eastAsia" w:ascii="宋体" w:hAnsi="宋体" w:eastAsia="宋体"/>
                <w:color w:val="auto"/>
                <w:szCs w:val="21"/>
                <w:highlight w:val="none"/>
              </w:rPr>
            </w:pPr>
          </w:p>
        </w:tc>
        <w:tc>
          <w:tcPr>
            <w:tcW w:w="1164" w:type="pct"/>
            <w:vAlign w:val="center"/>
          </w:tcPr>
          <w:p w14:paraId="7C9E7B09">
            <w:pPr>
              <w:jc w:val="center"/>
              <w:rPr>
                <w:rFonts w:hint="eastAsia" w:ascii="宋体" w:hAnsi="宋体" w:eastAsia="宋体"/>
                <w:color w:val="auto"/>
                <w:szCs w:val="21"/>
                <w:highlight w:val="none"/>
              </w:rPr>
            </w:pPr>
          </w:p>
        </w:tc>
        <w:tc>
          <w:tcPr>
            <w:tcW w:w="732" w:type="pct"/>
            <w:vAlign w:val="center"/>
          </w:tcPr>
          <w:p w14:paraId="13402C6F">
            <w:pPr>
              <w:jc w:val="center"/>
              <w:rPr>
                <w:rFonts w:hint="eastAsia" w:ascii="宋体" w:hAnsi="宋体" w:eastAsia="宋体"/>
                <w:color w:val="auto"/>
                <w:szCs w:val="21"/>
                <w:highlight w:val="none"/>
              </w:rPr>
            </w:pPr>
          </w:p>
        </w:tc>
        <w:tc>
          <w:tcPr>
            <w:tcW w:w="1009" w:type="pct"/>
            <w:vAlign w:val="center"/>
          </w:tcPr>
          <w:p w14:paraId="6113C838">
            <w:pPr>
              <w:jc w:val="center"/>
              <w:rPr>
                <w:rFonts w:hint="eastAsia" w:ascii="宋体" w:hAnsi="宋体" w:eastAsia="宋体"/>
                <w:color w:val="auto"/>
                <w:szCs w:val="21"/>
                <w:highlight w:val="none"/>
              </w:rPr>
            </w:pPr>
          </w:p>
        </w:tc>
      </w:tr>
      <w:tr w14:paraId="5064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CE4EF1F">
            <w:pPr>
              <w:jc w:val="center"/>
              <w:rPr>
                <w:rFonts w:hint="eastAsia" w:ascii="宋体" w:hAnsi="宋体" w:eastAsia="宋体"/>
                <w:color w:val="auto"/>
                <w:szCs w:val="21"/>
                <w:highlight w:val="none"/>
              </w:rPr>
            </w:pPr>
          </w:p>
        </w:tc>
        <w:tc>
          <w:tcPr>
            <w:tcW w:w="1563" w:type="pct"/>
            <w:vAlign w:val="center"/>
          </w:tcPr>
          <w:p w14:paraId="79ED29D8">
            <w:pPr>
              <w:jc w:val="center"/>
              <w:rPr>
                <w:rFonts w:hint="eastAsia" w:ascii="宋体" w:hAnsi="宋体" w:eastAsia="宋体"/>
                <w:color w:val="auto"/>
                <w:szCs w:val="21"/>
                <w:highlight w:val="none"/>
              </w:rPr>
            </w:pPr>
          </w:p>
        </w:tc>
        <w:tc>
          <w:tcPr>
            <w:tcW w:w="1164" w:type="pct"/>
            <w:vAlign w:val="center"/>
          </w:tcPr>
          <w:p w14:paraId="37179D84">
            <w:pPr>
              <w:jc w:val="center"/>
              <w:rPr>
                <w:rFonts w:hint="eastAsia" w:ascii="宋体" w:hAnsi="宋体" w:eastAsia="宋体"/>
                <w:color w:val="auto"/>
                <w:szCs w:val="21"/>
                <w:highlight w:val="none"/>
              </w:rPr>
            </w:pPr>
          </w:p>
        </w:tc>
        <w:tc>
          <w:tcPr>
            <w:tcW w:w="732" w:type="pct"/>
            <w:vAlign w:val="center"/>
          </w:tcPr>
          <w:p w14:paraId="7F20EDFB">
            <w:pPr>
              <w:jc w:val="center"/>
              <w:rPr>
                <w:rFonts w:hint="eastAsia" w:ascii="宋体" w:hAnsi="宋体" w:eastAsia="宋体"/>
                <w:color w:val="auto"/>
                <w:szCs w:val="21"/>
                <w:highlight w:val="none"/>
              </w:rPr>
            </w:pPr>
          </w:p>
        </w:tc>
        <w:tc>
          <w:tcPr>
            <w:tcW w:w="1009" w:type="pct"/>
            <w:vAlign w:val="center"/>
          </w:tcPr>
          <w:p w14:paraId="496E352C">
            <w:pPr>
              <w:jc w:val="center"/>
              <w:rPr>
                <w:rFonts w:hint="eastAsia" w:ascii="宋体" w:hAnsi="宋体" w:eastAsia="宋体"/>
                <w:color w:val="auto"/>
                <w:szCs w:val="21"/>
                <w:highlight w:val="none"/>
              </w:rPr>
            </w:pPr>
          </w:p>
        </w:tc>
      </w:tr>
      <w:tr w14:paraId="3937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D383F38">
            <w:pPr>
              <w:jc w:val="center"/>
              <w:rPr>
                <w:rFonts w:hint="eastAsia" w:ascii="宋体" w:hAnsi="宋体" w:eastAsia="宋体"/>
                <w:color w:val="auto"/>
                <w:szCs w:val="21"/>
                <w:highlight w:val="none"/>
              </w:rPr>
            </w:pPr>
          </w:p>
        </w:tc>
        <w:tc>
          <w:tcPr>
            <w:tcW w:w="1563" w:type="pct"/>
            <w:vAlign w:val="center"/>
          </w:tcPr>
          <w:p w14:paraId="59DB7F8A">
            <w:pPr>
              <w:jc w:val="center"/>
              <w:rPr>
                <w:rFonts w:hint="eastAsia" w:ascii="宋体" w:hAnsi="宋体" w:eastAsia="宋体"/>
                <w:color w:val="auto"/>
                <w:szCs w:val="21"/>
                <w:highlight w:val="none"/>
              </w:rPr>
            </w:pPr>
          </w:p>
        </w:tc>
        <w:tc>
          <w:tcPr>
            <w:tcW w:w="1164" w:type="pct"/>
            <w:vAlign w:val="center"/>
          </w:tcPr>
          <w:p w14:paraId="220F84AF">
            <w:pPr>
              <w:jc w:val="center"/>
              <w:rPr>
                <w:rFonts w:hint="eastAsia" w:ascii="宋体" w:hAnsi="宋体" w:eastAsia="宋体"/>
                <w:color w:val="auto"/>
                <w:szCs w:val="21"/>
                <w:highlight w:val="none"/>
              </w:rPr>
            </w:pPr>
          </w:p>
        </w:tc>
        <w:tc>
          <w:tcPr>
            <w:tcW w:w="732" w:type="pct"/>
            <w:vAlign w:val="center"/>
          </w:tcPr>
          <w:p w14:paraId="01D82ACF">
            <w:pPr>
              <w:jc w:val="center"/>
              <w:rPr>
                <w:rFonts w:hint="eastAsia" w:ascii="宋体" w:hAnsi="宋体" w:eastAsia="宋体"/>
                <w:color w:val="auto"/>
                <w:szCs w:val="21"/>
                <w:highlight w:val="none"/>
              </w:rPr>
            </w:pPr>
          </w:p>
        </w:tc>
        <w:tc>
          <w:tcPr>
            <w:tcW w:w="1009" w:type="pct"/>
            <w:vAlign w:val="center"/>
          </w:tcPr>
          <w:p w14:paraId="1039012D">
            <w:pPr>
              <w:jc w:val="center"/>
              <w:rPr>
                <w:rFonts w:hint="eastAsia" w:ascii="宋体" w:hAnsi="宋体" w:eastAsia="宋体"/>
                <w:color w:val="auto"/>
                <w:szCs w:val="21"/>
                <w:highlight w:val="none"/>
              </w:rPr>
            </w:pPr>
          </w:p>
        </w:tc>
      </w:tr>
      <w:tr w14:paraId="4D05A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2C52CD">
            <w:pPr>
              <w:jc w:val="center"/>
              <w:rPr>
                <w:rFonts w:hint="eastAsia" w:ascii="宋体" w:hAnsi="宋体" w:eastAsia="宋体"/>
                <w:color w:val="auto"/>
                <w:szCs w:val="21"/>
                <w:highlight w:val="none"/>
              </w:rPr>
            </w:pPr>
          </w:p>
        </w:tc>
        <w:tc>
          <w:tcPr>
            <w:tcW w:w="1563" w:type="pct"/>
            <w:vAlign w:val="center"/>
          </w:tcPr>
          <w:p w14:paraId="6A4815C6">
            <w:pPr>
              <w:jc w:val="center"/>
              <w:rPr>
                <w:rFonts w:hint="eastAsia" w:ascii="宋体" w:hAnsi="宋体" w:eastAsia="宋体"/>
                <w:color w:val="auto"/>
                <w:szCs w:val="21"/>
                <w:highlight w:val="none"/>
              </w:rPr>
            </w:pPr>
          </w:p>
        </w:tc>
        <w:tc>
          <w:tcPr>
            <w:tcW w:w="1164" w:type="pct"/>
            <w:vAlign w:val="center"/>
          </w:tcPr>
          <w:p w14:paraId="29ECB6CC">
            <w:pPr>
              <w:jc w:val="center"/>
              <w:rPr>
                <w:rFonts w:hint="eastAsia" w:ascii="宋体" w:hAnsi="宋体" w:eastAsia="宋体"/>
                <w:color w:val="auto"/>
                <w:szCs w:val="21"/>
                <w:highlight w:val="none"/>
              </w:rPr>
            </w:pPr>
          </w:p>
        </w:tc>
        <w:tc>
          <w:tcPr>
            <w:tcW w:w="732" w:type="pct"/>
            <w:vAlign w:val="center"/>
          </w:tcPr>
          <w:p w14:paraId="78C52524">
            <w:pPr>
              <w:jc w:val="center"/>
              <w:rPr>
                <w:rFonts w:hint="eastAsia" w:ascii="宋体" w:hAnsi="宋体" w:eastAsia="宋体"/>
                <w:color w:val="auto"/>
                <w:szCs w:val="21"/>
                <w:highlight w:val="none"/>
              </w:rPr>
            </w:pPr>
          </w:p>
        </w:tc>
        <w:tc>
          <w:tcPr>
            <w:tcW w:w="1009" w:type="pct"/>
            <w:vAlign w:val="center"/>
          </w:tcPr>
          <w:p w14:paraId="3018C4E8">
            <w:pPr>
              <w:jc w:val="center"/>
              <w:rPr>
                <w:rFonts w:hint="eastAsia" w:ascii="宋体" w:hAnsi="宋体" w:eastAsia="宋体"/>
                <w:color w:val="auto"/>
                <w:szCs w:val="21"/>
                <w:highlight w:val="none"/>
              </w:rPr>
            </w:pPr>
          </w:p>
        </w:tc>
      </w:tr>
      <w:tr w14:paraId="2E986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FEB425A">
            <w:pPr>
              <w:jc w:val="center"/>
              <w:rPr>
                <w:rFonts w:hint="eastAsia" w:ascii="宋体" w:hAnsi="宋体" w:eastAsia="宋体"/>
                <w:color w:val="auto"/>
                <w:szCs w:val="21"/>
                <w:highlight w:val="none"/>
              </w:rPr>
            </w:pPr>
          </w:p>
        </w:tc>
        <w:tc>
          <w:tcPr>
            <w:tcW w:w="1563" w:type="pct"/>
            <w:vAlign w:val="center"/>
          </w:tcPr>
          <w:p w14:paraId="0193762D">
            <w:pPr>
              <w:jc w:val="center"/>
              <w:rPr>
                <w:rFonts w:hint="eastAsia" w:ascii="宋体" w:hAnsi="宋体" w:eastAsia="宋体"/>
                <w:color w:val="auto"/>
                <w:szCs w:val="21"/>
                <w:highlight w:val="none"/>
              </w:rPr>
            </w:pPr>
          </w:p>
        </w:tc>
        <w:tc>
          <w:tcPr>
            <w:tcW w:w="1164" w:type="pct"/>
            <w:vAlign w:val="center"/>
          </w:tcPr>
          <w:p w14:paraId="3E6CAC18">
            <w:pPr>
              <w:jc w:val="center"/>
              <w:rPr>
                <w:rFonts w:hint="eastAsia" w:ascii="宋体" w:hAnsi="宋体" w:eastAsia="宋体"/>
                <w:color w:val="auto"/>
                <w:szCs w:val="21"/>
                <w:highlight w:val="none"/>
              </w:rPr>
            </w:pPr>
          </w:p>
        </w:tc>
        <w:tc>
          <w:tcPr>
            <w:tcW w:w="732" w:type="pct"/>
            <w:vAlign w:val="center"/>
          </w:tcPr>
          <w:p w14:paraId="270F5857">
            <w:pPr>
              <w:jc w:val="center"/>
              <w:rPr>
                <w:rFonts w:hint="eastAsia" w:ascii="宋体" w:hAnsi="宋体" w:eastAsia="宋体"/>
                <w:color w:val="auto"/>
                <w:szCs w:val="21"/>
                <w:highlight w:val="none"/>
              </w:rPr>
            </w:pPr>
          </w:p>
        </w:tc>
        <w:tc>
          <w:tcPr>
            <w:tcW w:w="1009" w:type="pct"/>
            <w:vAlign w:val="center"/>
          </w:tcPr>
          <w:p w14:paraId="5FC26545">
            <w:pPr>
              <w:jc w:val="center"/>
              <w:rPr>
                <w:rFonts w:hint="eastAsia" w:ascii="宋体" w:hAnsi="宋体" w:eastAsia="宋体"/>
                <w:color w:val="auto"/>
                <w:szCs w:val="21"/>
                <w:highlight w:val="none"/>
              </w:rPr>
            </w:pPr>
          </w:p>
        </w:tc>
      </w:tr>
      <w:tr w14:paraId="38D97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3A44145">
            <w:pPr>
              <w:jc w:val="center"/>
              <w:rPr>
                <w:rFonts w:hint="eastAsia" w:ascii="宋体" w:hAnsi="宋体" w:eastAsia="宋体"/>
                <w:color w:val="auto"/>
                <w:szCs w:val="21"/>
                <w:highlight w:val="none"/>
              </w:rPr>
            </w:pPr>
          </w:p>
        </w:tc>
        <w:tc>
          <w:tcPr>
            <w:tcW w:w="1563" w:type="pct"/>
            <w:vAlign w:val="center"/>
          </w:tcPr>
          <w:p w14:paraId="48848597">
            <w:pPr>
              <w:jc w:val="center"/>
              <w:rPr>
                <w:rFonts w:hint="eastAsia" w:ascii="宋体" w:hAnsi="宋体" w:eastAsia="宋体"/>
                <w:color w:val="auto"/>
                <w:szCs w:val="21"/>
                <w:highlight w:val="none"/>
              </w:rPr>
            </w:pPr>
          </w:p>
        </w:tc>
        <w:tc>
          <w:tcPr>
            <w:tcW w:w="1164" w:type="pct"/>
            <w:vAlign w:val="center"/>
          </w:tcPr>
          <w:p w14:paraId="707C2AF6">
            <w:pPr>
              <w:jc w:val="center"/>
              <w:rPr>
                <w:rFonts w:hint="eastAsia" w:ascii="宋体" w:hAnsi="宋体" w:eastAsia="宋体"/>
                <w:color w:val="auto"/>
                <w:szCs w:val="21"/>
                <w:highlight w:val="none"/>
              </w:rPr>
            </w:pPr>
          </w:p>
        </w:tc>
        <w:tc>
          <w:tcPr>
            <w:tcW w:w="732" w:type="pct"/>
            <w:vAlign w:val="center"/>
          </w:tcPr>
          <w:p w14:paraId="7D7F2F4F">
            <w:pPr>
              <w:jc w:val="center"/>
              <w:rPr>
                <w:rFonts w:hint="eastAsia" w:ascii="宋体" w:hAnsi="宋体" w:eastAsia="宋体"/>
                <w:color w:val="auto"/>
                <w:szCs w:val="21"/>
                <w:highlight w:val="none"/>
              </w:rPr>
            </w:pPr>
          </w:p>
        </w:tc>
        <w:tc>
          <w:tcPr>
            <w:tcW w:w="1009" w:type="pct"/>
            <w:vAlign w:val="center"/>
          </w:tcPr>
          <w:p w14:paraId="47259C25">
            <w:pPr>
              <w:jc w:val="center"/>
              <w:rPr>
                <w:rFonts w:hint="eastAsia" w:ascii="宋体" w:hAnsi="宋体" w:eastAsia="宋体"/>
                <w:color w:val="auto"/>
                <w:szCs w:val="21"/>
                <w:highlight w:val="none"/>
              </w:rPr>
            </w:pPr>
          </w:p>
        </w:tc>
      </w:tr>
    </w:tbl>
    <w:p w14:paraId="1850AD14">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105C87F">
      <w:pPr>
        <w:spacing w:line="360" w:lineRule="auto"/>
        <w:rPr>
          <w:rFonts w:hint="eastAsia"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9"/>
    <w:bookmarkEnd w:id="50"/>
    <w:p w14:paraId="5C77B923">
      <w:pPr>
        <w:pageBreakBefore/>
        <w:rPr>
          <w:rFonts w:hint="eastAsia"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三</w:t>
      </w:r>
      <w:r>
        <w:rPr>
          <w:rFonts w:hint="eastAsia" w:ascii="宋体" w:hAnsi="宋体" w:eastAsia="宋体"/>
          <w:b/>
          <w:bCs/>
          <w:color w:val="auto"/>
          <w:sz w:val="24"/>
          <w:szCs w:val="28"/>
          <w:highlight w:val="none"/>
        </w:rPr>
        <w:t>：</w:t>
      </w:r>
    </w:p>
    <w:p w14:paraId="74C559B9">
      <w:pPr>
        <w:spacing w:after="217" w:afterLines="50" w:line="360" w:lineRule="auto"/>
        <w:jc w:val="center"/>
        <w:rPr>
          <w:rFonts w:hint="eastAsia"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4B0E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2CE8CAB1">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788D9D1">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7C8F5A91">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1C9486B4">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58FFE7B2">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2AE55FA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6E68F77F">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38D1B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9FED14B">
            <w:pPr>
              <w:jc w:val="center"/>
              <w:rPr>
                <w:rFonts w:hint="eastAsia" w:ascii="宋体" w:hAnsi="宋体" w:eastAsia="宋体"/>
                <w:color w:val="auto"/>
                <w:szCs w:val="21"/>
                <w:highlight w:val="none"/>
              </w:rPr>
            </w:pPr>
          </w:p>
        </w:tc>
        <w:tc>
          <w:tcPr>
            <w:tcW w:w="653" w:type="pct"/>
            <w:vAlign w:val="center"/>
          </w:tcPr>
          <w:p w14:paraId="0E67820D">
            <w:pPr>
              <w:jc w:val="center"/>
              <w:rPr>
                <w:rFonts w:hint="eastAsia" w:ascii="宋体" w:hAnsi="宋体" w:eastAsia="宋体"/>
                <w:color w:val="auto"/>
                <w:szCs w:val="21"/>
                <w:highlight w:val="none"/>
              </w:rPr>
            </w:pPr>
          </w:p>
        </w:tc>
        <w:tc>
          <w:tcPr>
            <w:tcW w:w="739" w:type="pct"/>
            <w:vAlign w:val="center"/>
          </w:tcPr>
          <w:p w14:paraId="35414F2D">
            <w:pPr>
              <w:jc w:val="center"/>
              <w:rPr>
                <w:rFonts w:hint="eastAsia" w:ascii="宋体" w:hAnsi="宋体" w:eastAsia="宋体"/>
                <w:color w:val="auto"/>
                <w:szCs w:val="21"/>
                <w:highlight w:val="none"/>
              </w:rPr>
            </w:pPr>
          </w:p>
        </w:tc>
        <w:tc>
          <w:tcPr>
            <w:tcW w:w="1081" w:type="pct"/>
            <w:vAlign w:val="center"/>
          </w:tcPr>
          <w:p w14:paraId="23EC1872">
            <w:pPr>
              <w:jc w:val="center"/>
              <w:rPr>
                <w:rFonts w:hint="eastAsia" w:ascii="宋体" w:hAnsi="宋体" w:eastAsia="宋体"/>
                <w:color w:val="auto"/>
                <w:szCs w:val="21"/>
                <w:highlight w:val="none"/>
              </w:rPr>
            </w:pPr>
          </w:p>
        </w:tc>
        <w:tc>
          <w:tcPr>
            <w:tcW w:w="830" w:type="pct"/>
          </w:tcPr>
          <w:p w14:paraId="4EEED1D9">
            <w:pPr>
              <w:jc w:val="center"/>
              <w:rPr>
                <w:rFonts w:hint="eastAsia" w:ascii="宋体" w:hAnsi="宋体" w:eastAsia="宋体"/>
                <w:color w:val="auto"/>
                <w:szCs w:val="21"/>
                <w:highlight w:val="none"/>
              </w:rPr>
            </w:pPr>
          </w:p>
        </w:tc>
        <w:tc>
          <w:tcPr>
            <w:tcW w:w="582" w:type="pct"/>
            <w:vAlign w:val="center"/>
          </w:tcPr>
          <w:p w14:paraId="24DF7004">
            <w:pPr>
              <w:jc w:val="center"/>
              <w:rPr>
                <w:rFonts w:hint="eastAsia" w:ascii="宋体" w:hAnsi="宋体" w:eastAsia="宋体"/>
                <w:color w:val="auto"/>
                <w:szCs w:val="21"/>
                <w:highlight w:val="none"/>
              </w:rPr>
            </w:pPr>
          </w:p>
        </w:tc>
        <w:tc>
          <w:tcPr>
            <w:tcW w:w="699" w:type="pct"/>
          </w:tcPr>
          <w:p w14:paraId="1522AB13">
            <w:pPr>
              <w:jc w:val="center"/>
              <w:rPr>
                <w:rFonts w:hint="eastAsia" w:ascii="宋体" w:hAnsi="宋体" w:eastAsia="宋体"/>
                <w:color w:val="auto"/>
                <w:szCs w:val="21"/>
                <w:highlight w:val="none"/>
              </w:rPr>
            </w:pPr>
          </w:p>
        </w:tc>
      </w:tr>
      <w:tr w14:paraId="378C0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9F20623">
            <w:pPr>
              <w:jc w:val="center"/>
              <w:rPr>
                <w:rFonts w:hint="eastAsia" w:ascii="宋体" w:hAnsi="宋体" w:eastAsia="宋体"/>
                <w:color w:val="auto"/>
                <w:szCs w:val="21"/>
                <w:highlight w:val="none"/>
              </w:rPr>
            </w:pPr>
          </w:p>
        </w:tc>
        <w:tc>
          <w:tcPr>
            <w:tcW w:w="653" w:type="pct"/>
            <w:vAlign w:val="center"/>
          </w:tcPr>
          <w:p w14:paraId="3751779F">
            <w:pPr>
              <w:jc w:val="center"/>
              <w:rPr>
                <w:rFonts w:hint="eastAsia" w:ascii="宋体" w:hAnsi="宋体" w:eastAsia="宋体"/>
                <w:color w:val="auto"/>
                <w:szCs w:val="21"/>
                <w:highlight w:val="none"/>
              </w:rPr>
            </w:pPr>
          </w:p>
        </w:tc>
        <w:tc>
          <w:tcPr>
            <w:tcW w:w="739" w:type="pct"/>
            <w:vAlign w:val="center"/>
          </w:tcPr>
          <w:p w14:paraId="5B5A50F8">
            <w:pPr>
              <w:jc w:val="center"/>
              <w:rPr>
                <w:rFonts w:hint="eastAsia" w:ascii="宋体" w:hAnsi="宋体" w:eastAsia="宋体"/>
                <w:color w:val="auto"/>
                <w:szCs w:val="21"/>
                <w:highlight w:val="none"/>
              </w:rPr>
            </w:pPr>
          </w:p>
        </w:tc>
        <w:tc>
          <w:tcPr>
            <w:tcW w:w="1081" w:type="pct"/>
            <w:vAlign w:val="center"/>
          </w:tcPr>
          <w:p w14:paraId="0E5C4E76">
            <w:pPr>
              <w:jc w:val="center"/>
              <w:rPr>
                <w:rFonts w:hint="eastAsia" w:ascii="宋体" w:hAnsi="宋体" w:eastAsia="宋体"/>
                <w:color w:val="auto"/>
                <w:szCs w:val="21"/>
                <w:highlight w:val="none"/>
              </w:rPr>
            </w:pPr>
          </w:p>
        </w:tc>
        <w:tc>
          <w:tcPr>
            <w:tcW w:w="830" w:type="pct"/>
          </w:tcPr>
          <w:p w14:paraId="100E512D">
            <w:pPr>
              <w:jc w:val="center"/>
              <w:rPr>
                <w:rFonts w:hint="eastAsia" w:ascii="宋体" w:hAnsi="宋体" w:eastAsia="宋体"/>
                <w:color w:val="auto"/>
                <w:szCs w:val="21"/>
                <w:highlight w:val="none"/>
              </w:rPr>
            </w:pPr>
          </w:p>
        </w:tc>
        <w:tc>
          <w:tcPr>
            <w:tcW w:w="582" w:type="pct"/>
            <w:vAlign w:val="center"/>
          </w:tcPr>
          <w:p w14:paraId="09E3691D">
            <w:pPr>
              <w:jc w:val="center"/>
              <w:rPr>
                <w:rFonts w:hint="eastAsia" w:ascii="宋体" w:hAnsi="宋体" w:eastAsia="宋体"/>
                <w:color w:val="auto"/>
                <w:szCs w:val="21"/>
                <w:highlight w:val="none"/>
              </w:rPr>
            </w:pPr>
          </w:p>
        </w:tc>
        <w:tc>
          <w:tcPr>
            <w:tcW w:w="699" w:type="pct"/>
          </w:tcPr>
          <w:p w14:paraId="1002375D">
            <w:pPr>
              <w:jc w:val="center"/>
              <w:rPr>
                <w:rFonts w:hint="eastAsia" w:ascii="宋体" w:hAnsi="宋体" w:eastAsia="宋体"/>
                <w:color w:val="auto"/>
                <w:szCs w:val="21"/>
                <w:highlight w:val="none"/>
              </w:rPr>
            </w:pPr>
          </w:p>
        </w:tc>
      </w:tr>
      <w:tr w14:paraId="1BFD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078DDEC">
            <w:pPr>
              <w:jc w:val="center"/>
              <w:rPr>
                <w:rFonts w:hint="eastAsia" w:ascii="宋体" w:hAnsi="宋体" w:eastAsia="宋体"/>
                <w:color w:val="auto"/>
                <w:szCs w:val="21"/>
                <w:highlight w:val="none"/>
              </w:rPr>
            </w:pPr>
          </w:p>
        </w:tc>
        <w:tc>
          <w:tcPr>
            <w:tcW w:w="653" w:type="pct"/>
            <w:vAlign w:val="center"/>
          </w:tcPr>
          <w:p w14:paraId="13C48AFC">
            <w:pPr>
              <w:jc w:val="center"/>
              <w:rPr>
                <w:rFonts w:hint="eastAsia" w:ascii="宋体" w:hAnsi="宋体" w:eastAsia="宋体"/>
                <w:color w:val="auto"/>
                <w:szCs w:val="21"/>
                <w:highlight w:val="none"/>
              </w:rPr>
            </w:pPr>
          </w:p>
        </w:tc>
        <w:tc>
          <w:tcPr>
            <w:tcW w:w="739" w:type="pct"/>
            <w:vAlign w:val="center"/>
          </w:tcPr>
          <w:p w14:paraId="5EB12065">
            <w:pPr>
              <w:jc w:val="center"/>
              <w:rPr>
                <w:rFonts w:hint="eastAsia" w:ascii="宋体" w:hAnsi="宋体" w:eastAsia="宋体"/>
                <w:color w:val="auto"/>
                <w:szCs w:val="21"/>
                <w:highlight w:val="none"/>
              </w:rPr>
            </w:pPr>
          </w:p>
        </w:tc>
        <w:tc>
          <w:tcPr>
            <w:tcW w:w="1081" w:type="pct"/>
            <w:vAlign w:val="center"/>
          </w:tcPr>
          <w:p w14:paraId="1F49B7DA">
            <w:pPr>
              <w:jc w:val="center"/>
              <w:rPr>
                <w:rFonts w:hint="eastAsia" w:ascii="宋体" w:hAnsi="宋体" w:eastAsia="宋体"/>
                <w:color w:val="auto"/>
                <w:szCs w:val="21"/>
                <w:highlight w:val="none"/>
              </w:rPr>
            </w:pPr>
          </w:p>
        </w:tc>
        <w:tc>
          <w:tcPr>
            <w:tcW w:w="830" w:type="pct"/>
          </w:tcPr>
          <w:p w14:paraId="2B5DA554">
            <w:pPr>
              <w:jc w:val="center"/>
              <w:rPr>
                <w:rFonts w:hint="eastAsia" w:ascii="宋体" w:hAnsi="宋体" w:eastAsia="宋体"/>
                <w:color w:val="auto"/>
                <w:szCs w:val="21"/>
                <w:highlight w:val="none"/>
              </w:rPr>
            </w:pPr>
          </w:p>
        </w:tc>
        <w:tc>
          <w:tcPr>
            <w:tcW w:w="582" w:type="pct"/>
            <w:vAlign w:val="center"/>
          </w:tcPr>
          <w:p w14:paraId="2F82C244">
            <w:pPr>
              <w:jc w:val="center"/>
              <w:rPr>
                <w:rFonts w:hint="eastAsia" w:ascii="宋体" w:hAnsi="宋体" w:eastAsia="宋体"/>
                <w:color w:val="auto"/>
                <w:szCs w:val="21"/>
                <w:highlight w:val="none"/>
              </w:rPr>
            </w:pPr>
          </w:p>
        </w:tc>
        <w:tc>
          <w:tcPr>
            <w:tcW w:w="699" w:type="pct"/>
          </w:tcPr>
          <w:p w14:paraId="471BC508">
            <w:pPr>
              <w:jc w:val="center"/>
              <w:rPr>
                <w:rFonts w:hint="eastAsia" w:ascii="宋体" w:hAnsi="宋体" w:eastAsia="宋体"/>
                <w:color w:val="auto"/>
                <w:szCs w:val="21"/>
                <w:highlight w:val="none"/>
              </w:rPr>
            </w:pPr>
          </w:p>
        </w:tc>
      </w:tr>
      <w:tr w14:paraId="31893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0202A2D">
            <w:pPr>
              <w:jc w:val="center"/>
              <w:rPr>
                <w:rFonts w:hint="eastAsia" w:ascii="宋体" w:hAnsi="宋体" w:eastAsia="宋体"/>
                <w:color w:val="auto"/>
                <w:szCs w:val="21"/>
                <w:highlight w:val="none"/>
              </w:rPr>
            </w:pPr>
          </w:p>
        </w:tc>
        <w:tc>
          <w:tcPr>
            <w:tcW w:w="653" w:type="pct"/>
            <w:vAlign w:val="center"/>
          </w:tcPr>
          <w:p w14:paraId="2BBCA083">
            <w:pPr>
              <w:jc w:val="center"/>
              <w:rPr>
                <w:rFonts w:hint="eastAsia" w:ascii="宋体" w:hAnsi="宋体" w:eastAsia="宋体"/>
                <w:color w:val="auto"/>
                <w:szCs w:val="21"/>
                <w:highlight w:val="none"/>
              </w:rPr>
            </w:pPr>
          </w:p>
        </w:tc>
        <w:tc>
          <w:tcPr>
            <w:tcW w:w="739" w:type="pct"/>
            <w:vAlign w:val="center"/>
          </w:tcPr>
          <w:p w14:paraId="5CB0E126">
            <w:pPr>
              <w:jc w:val="center"/>
              <w:rPr>
                <w:rFonts w:hint="eastAsia" w:ascii="宋体" w:hAnsi="宋体" w:eastAsia="宋体"/>
                <w:color w:val="auto"/>
                <w:szCs w:val="21"/>
                <w:highlight w:val="none"/>
              </w:rPr>
            </w:pPr>
          </w:p>
        </w:tc>
        <w:tc>
          <w:tcPr>
            <w:tcW w:w="1081" w:type="pct"/>
            <w:vAlign w:val="center"/>
          </w:tcPr>
          <w:p w14:paraId="61644961">
            <w:pPr>
              <w:jc w:val="center"/>
              <w:rPr>
                <w:rFonts w:hint="eastAsia" w:ascii="宋体" w:hAnsi="宋体" w:eastAsia="宋体"/>
                <w:color w:val="auto"/>
                <w:szCs w:val="21"/>
                <w:highlight w:val="none"/>
              </w:rPr>
            </w:pPr>
          </w:p>
        </w:tc>
        <w:tc>
          <w:tcPr>
            <w:tcW w:w="830" w:type="pct"/>
          </w:tcPr>
          <w:p w14:paraId="4BFCEDE5">
            <w:pPr>
              <w:jc w:val="center"/>
              <w:rPr>
                <w:rFonts w:hint="eastAsia" w:ascii="宋体" w:hAnsi="宋体" w:eastAsia="宋体"/>
                <w:color w:val="auto"/>
                <w:szCs w:val="21"/>
                <w:highlight w:val="none"/>
              </w:rPr>
            </w:pPr>
          </w:p>
        </w:tc>
        <w:tc>
          <w:tcPr>
            <w:tcW w:w="582" w:type="pct"/>
            <w:vAlign w:val="center"/>
          </w:tcPr>
          <w:p w14:paraId="2E5E1419">
            <w:pPr>
              <w:jc w:val="center"/>
              <w:rPr>
                <w:rFonts w:hint="eastAsia" w:ascii="宋体" w:hAnsi="宋体" w:eastAsia="宋体"/>
                <w:color w:val="auto"/>
                <w:szCs w:val="21"/>
                <w:highlight w:val="none"/>
              </w:rPr>
            </w:pPr>
          </w:p>
        </w:tc>
        <w:tc>
          <w:tcPr>
            <w:tcW w:w="699" w:type="pct"/>
          </w:tcPr>
          <w:p w14:paraId="37BE3A55">
            <w:pPr>
              <w:jc w:val="center"/>
              <w:rPr>
                <w:rFonts w:hint="eastAsia" w:ascii="宋体" w:hAnsi="宋体" w:eastAsia="宋体"/>
                <w:color w:val="auto"/>
                <w:szCs w:val="21"/>
                <w:highlight w:val="none"/>
              </w:rPr>
            </w:pPr>
          </w:p>
        </w:tc>
      </w:tr>
      <w:tr w14:paraId="25D8F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107FEA">
            <w:pPr>
              <w:jc w:val="center"/>
              <w:rPr>
                <w:rFonts w:hint="eastAsia" w:ascii="宋体" w:hAnsi="宋体" w:eastAsia="宋体"/>
                <w:color w:val="auto"/>
                <w:szCs w:val="21"/>
                <w:highlight w:val="none"/>
              </w:rPr>
            </w:pPr>
          </w:p>
        </w:tc>
        <w:tc>
          <w:tcPr>
            <w:tcW w:w="653" w:type="pct"/>
            <w:vAlign w:val="center"/>
          </w:tcPr>
          <w:p w14:paraId="1F882704">
            <w:pPr>
              <w:jc w:val="center"/>
              <w:rPr>
                <w:rFonts w:hint="eastAsia" w:ascii="宋体" w:hAnsi="宋体" w:eastAsia="宋体"/>
                <w:color w:val="auto"/>
                <w:szCs w:val="21"/>
                <w:highlight w:val="none"/>
              </w:rPr>
            </w:pPr>
          </w:p>
        </w:tc>
        <w:tc>
          <w:tcPr>
            <w:tcW w:w="739" w:type="pct"/>
            <w:vAlign w:val="center"/>
          </w:tcPr>
          <w:p w14:paraId="4A2C1E3A">
            <w:pPr>
              <w:jc w:val="center"/>
              <w:rPr>
                <w:rFonts w:hint="eastAsia" w:ascii="宋体" w:hAnsi="宋体" w:eastAsia="宋体"/>
                <w:color w:val="auto"/>
                <w:szCs w:val="21"/>
                <w:highlight w:val="none"/>
              </w:rPr>
            </w:pPr>
          </w:p>
        </w:tc>
        <w:tc>
          <w:tcPr>
            <w:tcW w:w="1081" w:type="pct"/>
            <w:vAlign w:val="center"/>
          </w:tcPr>
          <w:p w14:paraId="5289C9FF">
            <w:pPr>
              <w:widowControl/>
              <w:tabs>
                <w:tab w:val="right" w:leader="dot" w:pos="8302"/>
              </w:tabs>
              <w:jc w:val="center"/>
              <w:rPr>
                <w:rFonts w:hint="eastAsia" w:ascii="宋体" w:hAnsi="宋体" w:eastAsia="宋体"/>
                <w:color w:val="auto"/>
                <w:kern w:val="0"/>
                <w:szCs w:val="21"/>
                <w:highlight w:val="none"/>
              </w:rPr>
            </w:pPr>
          </w:p>
        </w:tc>
        <w:tc>
          <w:tcPr>
            <w:tcW w:w="830" w:type="pct"/>
          </w:tcPr>
          <w:p w14:paraId="7B8CEECA">
            <w:pPr>
              <w:jc w:val="center"/>
              <w:rPr>
                <w:rFonts w:hint="eastAsia" w:ascii="宋体" w:hAnsi="宋体" w:eastAsia="宋体"/>
                <w:color w:val="auto"/>
                <w:szCs w:val="21"/>
                <w:highlight w:val="none"/>
              </w:rPr>
            </w:pPr>
          </w:p>
        </w:tc>
        <w:tc>
          <w:tcPr>
            <w:tcW w:w="582" w:type="pct"/>
            <w:vAlign w:val="center"/>
          </w:tcPr>
          <w:p w14:paraId="687A5D2F">
            <w:pPr>
              <w:jc w:val="center"/>
              <w:rPr>
                <w:rFonts w:hint="eastAsia" w:ascii="宋体" w:hAnsi="宋体" w:eastAsia="宋体"/>
                <w:color w:val="auto"/>
                <w:szCs w:val="21"/>
                <w:highlight w:val="none"/>
              </w:rPr>
            </w:pPr>
          </w:p>
        </w:tc>
        <w:tc>
          <w:tcPr>
            <w:tcW w:w="699" w:type="pct"/>
          </w:tcPr>
          <w:p w14:paraId="561BD1C4">
            <w:pPr>
              <w:jc w:val="center"/>
              <w:rPr>
                <w:rFonts w:hint="eastAsia" w:ascii="宋体" w:hAnsi="宋体" w:eastAsia="宋体"/>
                <w:color w:val="auto"/>
                <w:szCs w:val="21"/>
                <w:highlight w:val="none"/>
              </w:rPr>
            </w:pPr>
          </w:p>
        </w:tc>
      </w:tr>
      <w:tr w14:paraId="4F3AD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11518CC">
            <w:pPr>
              <w:jc w:val="center"/>
              <w:rPr>
                <w:rFonts w:hint="eastAsia" w:ascii="宋体" w:hAnsi="宋体" w:eastAsia="宋体"/>
                <w:color w:val="auto"/>
                <w:szCs w:val="21"/>
                <w:highlight w:val="none"/>
              </w:rPr>
            </w:pPr>
          </w:p>
        </w:tc>
        <w:tc>
          <w:tcPr>
            <w:tcW w:w="653" w:type="pct"/>
            <w:vAlign w:val="center"/>
          </w:tcPr>
          <w:p w14:paraId="18DE6E8B">
            <w:pPr>
              <w:jc w:val="center"/>
              <w:rPr>
                <w:rFonts w:hint="eastAsia" w:ascii="宋体" w:hAnsi="宋体" w:eastAsia="宋体"/>
                <w:color w:val="auto"/>
                <w:szCs w:val="21"/>
                <w:highlight w:val="none"/>
              </w:rPr>
            </w:pPr>
          </w:p>
        </w:tc>
        <w:tc>
          <w:tcPr>
            <w:tcW w:w="739" w:type="pct"/>
            <w:vAlign w:val="center"/>
          </w:tcPr>
          <w:p w14:paraId="74BCCC7F">
            <w:pPr>
              <w:jc w:val="center"/>
              <w:rPr>
                <w:rFonts w:hint="eastAsia" w:ascii="宋体" w:hAnsi="宋体" w:eastAsia="宋体"/>
                <w:color w:val="auto"/>
                <w:szCs w:val="21"/>
                <w:highlight w:val="none"/>
              </w:rPr>
            </w:pPr>
          </w:p>
        </w:tc>
        <w:tc>
          <w:tcPr>
            <w:tcW w:w="1081" w:type="pct"/>
            <w:vAlign w:val="center"/>
          </w:tcPr>
          <w:p w14:paraId="717EB868">
            <w:pPr>
              <w:widowControl/>
              <w:tabs>
                <w:tab w:val="right" w:leader="dot" w:pos="8302"/>
              </w:tabs>
              <w:jc w:val="center"/>
              <w:rPr>
                <w:rFonts w:hint="eastAsia" w:ascii="宋体" w:hAnsi="宋体" w:eastAsia="宋体"/>
                <w:color w:val="auto"/>
                <w:kern w:val="0"/>
                <w:szCs w:val="21"/>
                <w:highlight w:val="none"/>
              </w:rPr>
            </w:pPr>
          </w:p>
        </w:tc>
        <w:tc>
          <w:tcPr>
            <w:tcW w:w="830" w:type="pct"/>
          </w:tcPr>
          <w:p w14:paraId="7B951FC5">
            <w:pPr>
              <w:jc w:val="center"/>
              <w:rPr>
                <w:rFonts w:hint="eastAsia" w:ascii="宋体" w:hAnsi="宋体" w:eastAsia="宋体"/>
                <w:color w:val="auto"/>
                <w:szCs w:val="21"/>
                <w:highlight w:val="none"/>
              </w:rPr>
            </w:pPr>
          </w:p>
        </w:tc>
        <w:tc>
          <w:tcPr>
            <w:tcW w:w="582" w:type="pct"/>
            <w:vAlign w:val="center"/>
          </w:tcPr>
          <w:p w14:paraId="4C5ACD7B">
            <w:pPr>
              <w:jc w:val="center"/>
              <w:rPr>
                <w:rFonts w:hint="eastAsia" w:ascii="宋体" w:hAnsi="宋体" w:eastAsia="宋体"/>
                <w:color w:val="auto"/>
                <w:szCs w:val="21"/>
                <w:highlight w:val="none"/>
              </w:rPr>
            </w:pPr>
          </w:p>
        </w:tc>
        <w:tc>
          <w:tcPr>
            <w:tcW w:w="699" w:type="pct"/>
          </w:tcPr>
          <w:p w14:paraId="41054FA1">
            <w:pPr>
              <w:jc w:val="center"/>
              <w:rPr>
                <w:rFonts w:hint="eastAsia" w:ascii="宋体" w:hAnsi="宋体" w:eastAsia="宋体"/>
                <w:color w:val="auto"/>
                <w:szCs w:val="21"/>
                <w:highlight w:val="none"/>
              </w:rPr>
            </w:pPr>
          </w:p>
        </w:tc>
      </w:tr>
      <w:tr w14:paraId="13BA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AB9C443">
            <w:pPr>
              <w:jc w:val="center"/>
              <w:rPr>
                <w:rFonts w:hint="eastAsia" w:ascii="宋体" w:hAnsi="宋体" w:eastAsia="宋体"/>
                <w:color w:val="auto"/>
                <w:szCs w:val="21"/>
                <w:highlight w:val="none"/>
              </w:rPr>
            </w:pPr>
          </w:p>
        </w:tc>
        <w:tc>
          <w:tcPr>
            <w:tcW w:w="653" w:type="pct"/>
            <w:vAlign w:val="center"/>
          </w:tcPr>
          <w:p w14:paraId="412F0C63">
            <w:pPr>
              <w:jc w:val="center"/>
              <w:rPr>
                <w:rFonts w:hint="eastAsia" w:ascii="宋体" w:hAnsi="宋体" w:eastAsia="宋体"/>
                <w:color w:val="auto"/>
                <w:szCs w:val="21"/>
                <w:highlight w:val="none"/>
              </w:rPr>
            </w:pPr>
          </w:p>
        </w:tc>
        <w:tc>
          <w:tcPr>
            <w:tcW w:w="739" w:type="pct"/>
            <w:vAlign w:val="center"/>
          </w:tcPr>
          <w:p w14:paraId="04A3BC10">
            <w:pPr>
              <w:jc w:val="center"/>
              <w:rPr>
                <w:rFonts w:hint="eastAsia" w:ascii="宋体" w:hAnsi="宋体" w:eastAsia="宋体"/>
                <w:color w:val="auto"/>
                <w:szCs w:val="21"/>
                <w:highlight w:val="none"/>
              </w:rPr>
            </w:pPr>
          </w:p>
        </w:tc>
        <w:tc>
          <w:tcPr>
            <w:tcW w:w="1081" w:type="pct"/>
            <w:vAlign w:val="center"/>
          </w:tcPr>
          <w:p w14:paraId="2B19D322">
            <w:pPr>
              <w:jc w:val="center"/>
              <w:rPr>
                <w:rFonts w:hint="eastAsia" w:ascii="宋体" w:hAnsi="宋体" w:eastAsia="宋体"/>
                <w:color w:val="auto"/>
                <w:szCs w:val="21"/>
                <w:highlight w:val="none"/>
              </w:rPr>
            </w:pPr>
          </w:p>
        </w:tc>
        <w:tc>
          <w:tcPr>
            <w:tcW w:w="830" w:type="pct"/>
          </w:tcPr>
          <w:p w14:paraId="5BD8A8ED">
            <w:pPr>
              <w:jc w:val="center"/>
              <w:rPr>
                <w:rFonts w:hint="eastAsia" w:ascii="宋体" w:hAnsi="宋体" w:eastAsia="宋体"/>
                <w:color w:val="auto"/>
                <w:szCs w:val="21"/>
                <w:highlight w:val="none"/>
              </w:rPr>
            </w:pPr>
          </w:p>
        </w:tc>
        <w:tc>
          <w:tcPr>
            <w:tcW w:w="582" w:type="pct"/>
            <w:vAlign w:val="center"/>
          </w:tcPr>
          <w:p w14:paraId="24B54022">
            <w:pPr>
              <w:jc w:val="center"/>
              <w:rPr>
                <w:rFonts w:hint="eastAsia" w:ascii="宋体" w:hAnsi="宋体" w:eastAsia="宋体"/>
                <w:color w:val="auto"/>
                <w:szCs w:val="21"/>
                <w:highlight w:val="none"/>
              </w:rPr>
            </w:pPr>
          </w:p>
        </w:tc>
        <w:tc>
          <w:tcPr>
            <w:tcW w:w="699" w:type="pct"/>
          </w:tcPr>
          <w:p w14:paraId="2A85F69A">
            <w:pPr>
              <w:jc w:val="center"/>
              <w:rPr>
                <w:rFonts w:hint="eastAsia" w:ascii="宋体" w:hAnsi="宋体" w:eastAsia="宋体"/>
                <w:color w:val="auto"/>
                <w:szCs w:val="21"/>
                <w:highlight w:val="none"/>
              </w:rPr>
            </w:pPr>
          </w:p>
        </w:tc>
      </w:tr>
      <w:tr w14:paraId="14F72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4BD4BB6">
            <w:pPr>
              <w:jc w:val="center"/>
              <w:rPr>
                <w:rFonts w:hint="eastAsia" w:ascii="宋体" w:hAnsi="宋体" w:eastAsia="宋体"/>
                <w:color w:val="auto"/>
                <w:szCs w:val="21"/>
                <w:highlight w:val="none"/>
              </w:rPr>
            </w:pPr>
          </w:p>
        </w:tc>
        <w:tc>
          <w:tcPr>
            <w:tcW w:w="653" w:type="pct"/>
            <w:vAlign w:val="center"/>
          </w:tcPr>
          <w:p w14:paraId="78109744">
            <w:pPr>
              <w:jc w:val="center"/>
              <w:rPr>
                <w:rFonts w:hint="eastAsia" w:ascii="宋体" w:hAnsi="宋体" w:eastAsia="宋体"/>
                <w:color w:val="auto"/>
                <w:szCs w:val="21"/>
                <w:highlight w:val="none"/>
              </w:rPr>
            </w:pPr>
          </w:p>
        </w:tc>
        <w:tc>
          <w:tcPr>
            <w:tcW w:w="739" w:type="pct"/>
            <w:vAlign w:val="center"/>
          </w:tcPr>
          <w:p w14:paraId="6E43C6F3">
            <w:pPr>
              <w:jc w:val="center"/>
              <w:rPr>
                <w:rFonts w:hint="eastAsia" w:ascii="宋体" w:hAnsi="宋体" w:eastAsia="宋体"/>
                <w:color w:val="auto"/>
                <w:szCs w:val="21"/>
                <w:highlight w:val="none"/>
              </w:rPr>
            </w:pPr>
          </w:p>
        </w:tc>
        <w:tc>
          <w:tcPr>
            <w:tcW w:w="1081" w:type="pct"/>
            <w:vAlign w:val="center"/>
          </w:tcPr>
          <w:p w14:paraId="1BB0F32D">
            <w:pPr>
              <w:jc w:val="center"/>
              <w:rPr>
                <w:rFonts w:hint="eastAsia" w:ascii="宋体" w:hAnsi="宋体" w:eastAsia="宋体"/>
                <w:color w:val="auto"/>
                <w:szCs w:val="21"/>
                <w:highlight w:val="none"/>
              </w:rPr>
            </w:pPr>
          </w:p>
        </w:tc>
        <w:tc>
          <w:tcPr>
            <w:tcW w:w="830" w:type="pct"/>
          </w:tcPr>
          <w:p w14:paraId="56104686">
            <w:pPr>
              <w:jc w:val="center"/>
              <w:rPr>
                <w:rFonts w:hint="eastAsia" w:ascii="宋体" w:hAnsi="宋体" w:eastAsia="宋体"/>
                <w:color w:val="auto"/>
                <w:szCs w:val="21"/>
                <w:highlight w:val="none"/>
              </w:rPr>
            </w:pPr>
          </w:p>
        </w:tc>
        <w:tc>
          <w:tcPr>
            <w:tcW w:w="582" w:type="pct"/>
            <w:vAlign w:val="center"/>
          </w:tcPr>
          <w:p w14:paraId="5451ABC4">
            <w:pPr>
              <w:jc w:val="center"/>
              <w:rPr>
                <w:rFonts w:hint="eastAsia" w:ascii="宋体" w:hAnsi="宋体" w:eastAsia="宋体"/>
                <w:color w:val="auto"/>
                <w:szCs w:val="21"/>
                <w:highlight w:val="none"/>
              </w:rPr>
            </w:pPr>
          </w:p>
        </w:tc>
        <w:tc>
          <w:tcPr>
            <w:tcW w:w="699" w:type="pct"/>
          </w:tcPr>
          <w:p w14:paraId="2B7F7590">
            <w:pPr>
              <w:jc w:val="center"/>
              <w:rPr>
                <w:rFonts w:hint="eastAsia" w:ascii="宋体" w:hAnsi="宋体" w:eastAsia="宋体"/>
                <w:color w:val="auto"/>
                <w:szCs w:val="21"/>
                <w:highlight w:val="none"/>
              </w:rPr>
            </w:pPr>
          </w:p>
        </w:tc>
      </w:tr>
    </w:tbl>
    <w:p w14:paraId="3874C701">
      <w:pPr>
        <w:spacing w:line="360" w:lineRule="auto"/>
        <w:rPr>
          <w:rFonts w:hint="eastAsia" w:ascii="黑体" w:hAnsi="黑体" w:eastAsia="黑体"/>
          <w:color w:val="auto"/>
          <w:highlight w:val="none"/>
        </w:rPr>
      </w:pPr>
    </w:p>
    <w:p w14:paraId="389BCBB8">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D5FFE8">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4F1A531">
      <w:pPr>
        <w:spacing w:line="360" w:lineRule="auto"/>
        <w:rPr>
          <w:rFonts w:hint="eastAsia" w:ascii="黑体" w:hAnsi="黑体" w:eastAsia="黑体"/>
          <w:color w:val="auto"/>
          <w:highlight w:val="none"/>
        </w:rPr>
      </w:pPr>
    </w:p>
    <w:p w14:paraId="2A2C8B75">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四</w:t>
      </w:r>
      <w:r>
        <w:rPr>
          <w:rFonts w:hint="eastAsia" w:ascii="宋体" w:hAnsi="宋体" w:eastAsia="宋体"/>
          <w:b/>
          <w:bCs/>
          <w:color w:val="auto"/>
          <w:sz w:val="24"/>
          <w:szCs w:val="28"/>
          <w:highlight w:val="none"/>
        </w:rPr>
        <w:t>：</w:t>
      </w:r>
    </w:p>
    <w:p w14:paraId="10C13823">
      <w:pPr>
        <w:spacing w:after="217" w:afterLines="50" w:line="360" w:lineRule="auto"/>
        <w:jc w:val="center"/>
        <w:rPr>
          <w:rFonts w:hint="eastAsia"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676C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3A57EDA2">
            <w:pPr>
              <w:jc w:val="center"/>
              <w:rPr>
                <w:rFonts w:hint="eastAsia"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0CAECE48">
            <w:pPr>
              <w:jc w:val="center"/>
              <w:rPr>
                <w:rFonts w:hint="eastAsia" w:ascii="宋体" w:hAnsi="宋体" w:eastAsia="宋体"/>
                <w:color w:val="auto"/>
                <w:szCs w:val="21"/>
                <w:highlight w:val="none"/>
              </w:rPr>
            </w:pPr>
          </w:p>
        </w:tc>
        <w:tc>
          <w:tcPr>
            <w:tcW w:w="480" w:type="pct"/>
            <w:vAlign w:val="center"/>
          </w:tcPr>
          <w:p w14:paraId="221DFBCA">
            <w:pPr>
              <w:jc w:val="center"/>
              <w:rPr>
                <w:rFonts w:hint="eastAsia"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106B75F0">
            <w:pPr>
              <w:jc w:val="center"/>
              <w:rPr>
                <w:rFonts w:hint="eastAsia" w:ascii="宋体" w:hAnsi="宋体" w:eastAsia="宋体"/>
                <w:color w:val="auto"/>
                <w:szCs w:val="21"/>
                <w:highlight w:val="none"/>
              </w:rPr>
            </w:pPr>
          </w:p>
        </w:tc>
        <w:tc>
          <w:tcPr>
            <w:tcW w:w="617" w:type="pct"/>
            <w:gridSpan w:val="2"/>
            <w:vAlign w:val="center"/>
          </w:tcPr>
          <w:p w14:paraId="316D608B">
            <w:pPr>
              <w:jc w:val="center"/>
              <w:rPr>
                <w:rFonts w:hint="eastAsia"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657D16EC">
            <w:pPr>
              <w:jc w:val="center"/>
              <w:rPr>
                <w:rFonts w:hint="eastAsia" w:ascii="宋体" w:hAnsi="宋体" w:eastAsia="宋体"/>
                <w:color w:val="auto"/>
                <w:szCs w:val="21"/>
                <w:highlight w:val="none"/>
              </w:rPr>
            </w:pPr>
          </w:p>
        </w:tc>
      </w:tr>
      <w:tr w14:paraId="562F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18D984DC">
            <w:pPr>
              <w:jc w:val="center"/>
              <w:rPr>
                <w:rFonts w:hint="eastAsia"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252D6098">
            <w:pPr>
              <w:jc w:val="center"/>
              <w:rPr>
                <w:rFonts w:hint="eastAsia" w:ascii="宋体" w:hAnsi="宋体" w:eastAsia="宋体"/>
                <w:color w:val="auto"/>
                <w:szCs w:val="21"/>
                <w:highlight w:val="none"/>
              </w:rPr>
            </w:pPr>
          </w:p>
        </w:tc>
        <w:tc>
          <w:tcPr>
            <w:tcW w:w="480" w:type="pct"/>
            <w:vAlign w:val="center"/>
          </w:tcPr>
          <w:p w14:paraId="13C99860">
            <w:pPr>
              <w:jc w:val="center"/>
              <w:rPr>
                <w:rFonts w:hint="eastAsia"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50F0ACE7">
            <w:pPr>
              <w:jc w:val="center"/>
              <w:rPr>
                <w:rFonts w:hint="eastAsia" w:ascii="宋体" w:hAnsi="宋体" w:eastAsia="宋体"/>
                <w:color w:val="auto"/>
                <w:szCs w:val="21"/>
                <w:highlight w:val="none"/>
              </w:rPr>
            </w:pPr>
          </w:p>
        </w:tc>
        <w:tc>
          <w:tcPr>
            <w:tcW w:w="617" w:type="pct"/>
            <w:gridSpan w:val="2"/>
            <w:vAlign w:val="center"/>
          </w:tcPr>
          <w:p w14:paraId="366DE2F0">
            <w:pPr>
              <w:jc w:val="center"/>
              <w:rPr>
                <w:rFonts w:hint="eastAsia"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4B0ECB4B">
            <w:pPr>
              <w:jc w:val="center"/>
              <w:rPr>
                <w:rFonts w:hint="eastAsia" w:ascii="宋体" w:hAnsi="宋体" w:eastAsia="宋体"/>
                <w:color w:val="auto"/>
                <w:szCs w:val="21"/>
                <w:highlight w:val="none"/>
              </w:rPr>
            </w:pPr>
          </w:p>
        </w:tc>
      </w:tr>
      <w:tr w14:paraId="25F6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427781C1">
            <w:pPr>
              <w:jc w:val="center"/>
              <w:rPr>
                <w:rFonts w:hint="eastAsia"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11C3DC2D">
            <w:pPr>
              <w:jc w:val="center"/>
              <w:rPr>
                <w:rFonts w:hint="eastAsia" w:ascii="宋体" w:hAnsi="宋体" w:eastAsia="宋体"/>
                <w:color w:val="auto"/>
                <w:szCs w:val="21"/>
                <w:highlight w:val="none"/>
              </w:rPr>
            </w:pPr>
          </w:p>
        </w:tc>
        <w:tc>
          <w:tcPr>
            <w:tcW w:w="1502" w:type="pct"/>
            <w:gridSpan w:val="5"/>
            <w:vAlign w:val="center"/>
          </w:tcPr>
          <w:p w14:paraId="32C7F7C8">
            <w:pPr>
              <w:jc w:val="center"/>
              <w:rPr>
                <w:rFonts w:hint="eastAsia"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7D30F990">
            <w:pPr>
              <w:jc w:val="center"/>
              <w:rPr>
                <w:rFonts w:hint="eastAsia" w:ascii="宋体" w:hAnsi="宋体" w:eastAsia="宋体"/>
                <w:color w:val="auto"/>
                <w:szCs w:val="21"/>
                <w:highlight w:val="none"/>
              </w:rPr>
            </w:pPr>
          </w:p>
        </w:tc>
      </w:tr>
      <w:tr w14:paraId="5FD84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39E8099">
            <w:pPr>
              <w:jc w:val="center"/>
              <w:rPr>
                <w:rFonts w:hint="eastAsia"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28F04EC9">
            <w:pPr>
              <w:jc w:val="center"/>
              <w:rPr>
                <w:rFonts w:hint="eastAsia" w:ascii="宋体" w:hAnsi="宋体" w:eastAsia="宋体"/>
                <w:color w:val="auto"/>
                <w:szCs w:val="21"/>
                <w:highlight w:val="none"/>
              </w:rPr>
            </w:pPr>
          </w:p>
        </w:tc>
      </w:tr>
      <w:tr w14:paraId="3CB5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4C3FD2A9">
            <w:pPr>
              <w:jc w:val="center"/>
              <w:rPr>
                <w:rFonts w:hint="eastAsia"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16C73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5E5CE7F0">
            <w:pPr>
              <w:jc w:val="center"/>
              <w:rPr>
                <w:rFonts w:hint="eastAsia"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4AE216A7">
            <w:pPr>
              <w:jc w:val="center"/>
              <w:rPr>
                <w:rFonts w:hint="eastAsia"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15548B2F">
            <w:pPr>
              <w:jc w:val="center"/>
              <w:rPr>
                <w:rFonts w:hint="eastAsia"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2D92459B">
            <w:pPr>
              <w:jc w:val="center"/>
              <w:rPr>
                <w:rFonts w:hint="eastAsia"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2537D8B4">
            <w:pPr>
              <w:jc w:val="center"/>
              <w:rPr>
                <w:rFonts w:hint="eastAsia" w:ascii="宋体" w:hAnsi="宋体" w:eastAsia="宋体"/>
                <w:color w:val="auto"/>
                <w:szCs w:val="21"/>
                <w:highlight w:val="none"/>
              </w:rPr>
            </w:pPr>
            <w:r>
              <w:rPr>
                <w:rFonts w:hint="eastAsia" w:ascii="宋体" w:hAnsi="宋体" w:eastAsia="宋体"/>
                <w:color w:val="auto"/>
                <w:szCs w:val="21"/>
                <w:highlight w:val="none"/>
              </w:rPr>
              <w:t>起止时间</w:t>
            </w:r>
          </w:p>
        </w:tc>
      </w:tr>
      <w:tr w14:paraId="31434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8FEE19">
            <w:pPr>
              <w:jc w:val="center"/>
              <w:rPr>
                <w:rFonts w:hint="eastAsia" w:ascii="宋体" w:hAnsi="宋体" w:eastAsia="宋体"/>
                <w:color w:val="auto"/>
                <w:szCs w:val="21"/>
                <w:highlight w:val="none"/>
              </w:rPr>
            </w:pPr>
          </w:p>
        </w:tc>
        <w:tc>
          <w:tcPr>
            <w:tcW w:w="962" w:type="pct"/>
            <w:gridSpan w:val="2"/>
            <w:vAlign w:val="center"/>
          </w:tcPr>
          <w:p w14:paraId="0E307437">
            <w:pPr>
              <w:jc w:val="center"/>
              <w:rPr>
                <w:rFonts w:hint="eastAsia" w:ascii="宋体" w:hAnsi="宋体" w:eastAsia="宋体"/>
                <w:color w:val="auto"/>
                <w:szCs w:val="21"/>
                <w:highlight w:val="none"/>
              </w:rPr>
            </w:pPr>
          </w:p>
        </w:tc>
        <w:tc>
          <w:tcPr>
            <w:tcW w:w="903" w:type="pct"/>
            <w:gridSpan w:val="4"/>
            <w:vAlign w:val="center"/>
          </w:tcPr>
          <w:p w14:paraId="7C21BDBD">
            <w:pPr>
              <w:jc w:val="center"/>
              <w:rPr>
                <w:rFonts w:hint="eastAsia" w:ascii="宋体" w:hAnsi="宋体" w:eastAsia="宋体"/>
                <w:color w:val="auto"/>
                <w:szCs w:val="21"/>
                <w:highlight w:val="none"/>
              </w:rPr>
            </w:pPr>
          </w:p>
        </w:tc>
        <w:tc>
          <w:tcPr>
            <w:tcW w:w="892" w:type="pct"/>
            <w:gridSpan w:val="2"/>
            <w:vAlign w:val="center"/>
          </w:tcPr>
          <w:p w14:paraId="355D023A">
            <w:pPr>
              <w:jc w:val="center"/>
              <w:rPr>
                <w:rFonts w:hint="eastAsia" w:ascii="宋体" w:hAnsi="宋体" w:eastAsia="宋体"/>
                <w:color w:val="auto"/>
                <w:szCs w:val="21"/>
                <w:highlight w:val="none"/>
              </w:rPr>
            </w:pPr>
          </w:p>
        </w:tc>
        <w:tc>
          <w:tcPr>
            <w:tcW w:w="1399" w:type="pct"/>
            <w:gridSpan w:val="3"/>
            <w:vAlign w:val="center"/>
          </w:tcPr>
          <w:p w14:paraId="0E516802">
            <w:pPr>
              <w:jc w:val="center"/>
              <w:rPr>
                <w:rFonts w:hint="eastAsia" w:ascii="宋体" w:hAnsi="宋体" w:eastAsia="宋体"/>
                <w:color w:val="auto"/>
                <w:szCs w:val="21"/>
                <w:highlight w:val="none"/>
              </w:rPr>
            </w:pPr>
          </w:p>
        </w:tc>
      </w:tr>
      <w:tr w14:paraId="0FF85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834A1D1">
            <w:pPr>
              <w:jc w:val="center"/>
              <w:rPr>
                <w:rFonts w:hint="eastAsia" w:ascii="宋体" w:hAnsi="宋体" w:eastAsia="宋体"/>
                <w:color w:val="auto"/>
                <w:szCs w:val="21"/>
                <w:highlight w:val="none"/>
              </w:rPr>
            </w:pPr>
          </w:p>
        </w:tc>
        <w:tc>
          <w:tcPr>
            <w:tcW w:w="962" w:type="pct"/>
            <w:gridSpan w:val="2"/>
            <w:vAlign w:val="center"/>
          </w:tcPr>
          <w:p w14:paraId="74D686BA">
            <w:pPr>
              <w:jc w:val="center"/>
              <w:rPr>
                <w:rFonts w:hint="eastAsia" w:ascii="宋体" w:hAnsi="宋体" w:eastAsia="宋体"/>
                <w:color w:val="auto"/>
                <w:szCs w:val="21"/>
                <w:highlight w:val="none"/>
              </w:rPr>
            </w:pPr>
          </w:p>
        </w:tc>
        <w:tc>
          <w:tcPr>
            <w:tcW w:w="903" w:type="pct"/>
            <w:gridSpan w:val="4"/>
            <w:vAlign w:val="center"/>
          </w:tcPr>
          <w:p w14:paraId="10FD9A5C">
            <w:pPr>
              <w:jc w:val="center"/>
              <w:rPr>
                <w:rFonts w:hint="eastAsia" w:ascii="宋体" w:hAnsi="宋体" w:eastAsia="宋体"/>
                <w:color w:val="auto"/>
                <w:szCs w:val="21"/>
                <w:highlight w:val="none"/>
              </w:rPr>
            </w:pPr>
          </w:p>
        </w:tc>
        <w:tc>
          <w:tcPr>
            <w:tcW w:w="892" w:type="pct"/>
            <w:gridSpan w:val="2"/>
            <w:vAlign w:val="center"/>
          </w:tcPr>
          <w:p w14:paraId="5F3C9FD8">
            <w:pPr>
              <w:jc w:val="center"/>
              <w:rPr>
                <w:rFonts w:hint="eastAsia" w:ascii="宋体" w:hAnsi="宋体" w:eastAsia="宋体"/>
                <w:color w:val="auto"/>
                <w:szCs w:val="21"/>
                <w:highlight w:val="none"/>
              </w:rPr>
            </w:pPr>
          </w:p>
        </w:tc>
        <w:tc>
          <w:tcPr>
            <w:tcW w:w="1399" w:type="pct"/>
            <w:gridSpan w:val="3"/>
            <w:vAlign w:val="center"/>
          </w:tcPr>
          <w:p w14:paraId="05601B29">
            <w:pPr>
              <w:jc w:val="center"/>
              <w:rPr>
                <w:rFonts w:hint="eastAsia" w:ascii="宋体" w:hAnsi="宋体" w:eastAsia="宋体"/>
                <w:color w:val="auto"/>
                <w:szCs w:val="21"/>
                <w:highlight w:val="none"/>
              </w:rPr>
            </w:pPr>
          </w:p>
        </w:tc>
      </w:tr>
      <w:tr w14:paraId="7B822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2ACB50C">
            <w:pPr>
              <w:jc w:val="center"/>
              <w:rPr>
                <w:rFonts w:hint="eastAsia" w:ascii="宋体" w:hAnsi="宋体" w:eastAsia="宋体"/>
                <w:color w:val="auto"/>
                <w:szCs w:val="21"/>
                <w:highlight w:val="none"/>
              </w:rPr>
            </w:pPr>
          </w:p>
        </w:tc>
        <w:tc>
          <w:tcPr>
            <w:tcW w:w="962" w:type="pct"/>
            <w:gridSpan w:val="2"/>
            <w:vAlign w:val="center"/>
          </w:tcPr>
          <w:p w14:paraId="448F03CA">
            <w:pPr>
              <w:jc w:val="center"/>
              <w:rPr>
                <w:rFonts w:hint="eastAsia" w:ascii="宋体" w:hAnsi="宋体" w:eastAsia="宋体"/>
                <w:color w:val="auto"/>
                <w:szCs w:val="21"/>
                <w:highlight w:val="none"/>
              </w:rPr>
            </w:pPr>
          </w:p>
        </w:tc>
        <w:tc>
          <w:tcPr>
            <w:tcW w:w="903" w:type="pct"/>
            <w:gridSpan w:val="4"/>
            <w:vAlign w:val="center"/>
          </w:tcPr>
          <w:p w14:paraId="25497FC0">
            <w:pPr>
              <w:jc w:val="center"/>
              <w:rPr>
                <w:rFonts w:hint="eastAsia" w:ascii="宋体" w:hAnsi="宋体" w:eastAsia="宋体"/>
                <w:color w:val="auto"/>
                <w:szCs w:val="21"/>
                <w:highlight w:val="none"/>
              </w:rPr>
            </w:pPr>
          </w:p>
        </w:tc>
        <w:tc>
          <w:tcPr>
            <w:tcW w:w="892" w:type="pct"/>
            <w:gridSpan w:val="2"/>
            <w:vAlign w:val="center"/>
          </w:tcPr>
          <w:p w14:paraId="230FE14F">
            <w:pPr>
              <w:jc w:val="center"/>
              <w:rPr>
                <w:rFonts w:hint="eastAsia" w:ascii="宋体" w:hAnsi="宋体" w:eastAsia="宋体"/>
                <w:color w:val="auto"/>
                <w:szCs w:val="21"/>
                <w:highlight w:val="none"/>
              </w:rPr>
            </w:pPr>
          </w:p>
        </w:tc>
        <w:tc>
          <w:tcPr>
            <w:tcW w:w="1399" w:type="pct"/>
            <w:gridSpan w:val="3"/>
            <w:vAlign w:val="center"/>
          </w:tcPr>
          <w:p w14:paraId="46D2E47C">
            <w:pPr>
              <w:jc w:val="center"/>
              <w:rPr>
                <w:rFonts w:hint="eastAsia" w:ascii="宋体" w:hAnsi="宋体" w:eastAsia="宋体"/>
                <w:color w:val="auto"/>
                <w:szCs w:val="21"/>
                <w:highlight w:val="none"/>
              </w:rPr>
            </w:pPr>
          </w:p>
        </w:tc>
      </w:tr>
      <w:tr w14:paraId="6EC95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B7735E4">
            <w:pPr>
              <w:jc w:val="center"/>
              <w:rPr>
                <w:rFonts w:hint="eastAsia" w:ascii="宋体" w:hAnsi="宋体" w:eastAsia="宋体"/>
                <w:color w:val="auto"/>
                <w:szCs w:val="21"/>
                <w:highlight w:val="none"/>
              </w:rPr>
            </w:pPr>
          </w:p>
        </w:tc>
        <w:tc>
          <w:tcPr>
            <w:tcW w:w="962" w:type="pct"/>
            <w:gridSpan w:val="2"/>
            <w:vAlign w:val="center"/>
          </w:tcPr>
          <w:p w14:paraId="0813220F">
            <w:pPr>
              <w:jc w:val="center"/>
              <w:rPr>
                <w:rFonts w:hint="eastAsia" w:ascii="宋体" w:hAnsi="宋体" w:eastAsia="宋体"/>
                <w:color w:val="auto"/>
                <w:szCs w:val="21"/>
                <w:highlight w:val="none"/>
              </w:rPr>
            </w:pPr>
          </w:p>
        </w:tc>
        <w:tc>
          <w:tcPr>
            <w:tcW w:w="903" w:type="pct"/>
            <w:gridSpan w:val="4"/>
            <w:vAlign w:val="center"/>
          </w:tcPr>
          <w:p w14:paraId="4449FFB5">
            <w:pPr>
              <w:jc w:val="center"/>
              <w:rPr>
                <w:rFonts w:hint="eastAsia" w:ascii="宋体" w:hAnsi="宋体" w:eastAsia="宋体"/>
                <w:color w:val="auto"/>
                <w:szCs w:val="21"/>
                <w:highlight w:val="none"/>
              </w:rPr>
            </w:pPr>
          </w:p>
        </w:tc>
        <w:tc>
          <w:tcPr>
            <w:tcW w:w="892" w:type="pct"/>
            <w:gridSpan w:val="2"/>
            <w:vAlign w:val="center"/>
          </w:tcPr>
          <w:p w14:paraId="2BA0F113">
            <w:pPr>
              <w:jc w:val="center"/>
              <w:rPr>
                <w:rFonts w:hint="eastAsia" w:ascii="宋体" w:hAnsi="宋体" w:eastAsia="宋体"/>
                <w:color w:val="auto"/>
                <w:szCs w:val="21"/>
                <w:highlight w:val="none"/>
              </w:rPr>
            </w:pPr>
          </w:p>
        </w:tc>
        <w:tc>
          <w:tcPr>
            <w:tcW w:w="1399" w:type="pct"/>
            <w:gridSpan w:val="3"/>
            <w:vAlign w:val="center"/>
          </w:tcPr>
          <w:p w14:paraId="3FFF16D7">
            <w:pPr>
              <w:jc w:val="center"/>
              <w:rPr>
                <w:rFonts w:hint="eastAsia" w:ascii="宋体" w:hAnsi="宋体" w:eastAsia="宋体"/>
                <w:color w:val="auto"/>
                <w:szCs w:val="21"/>
                <w:highlight w:val="none"/>
              </w:rPr>
            </w:pPr>
          </w:p>
        </w:tc>
      </w:tr>
      <w:tr w14:paraId="4A0D3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2990737">
            <w:pPr>
              <w:jc w:val="center"/>
              <w:rPr>
                <w:rFonts w:hint="eastAsia" w:ascii="宋体" w:hAnsi="宋体" w:eastAsia="宋体"/>
                <w:color w:val="auto"/>
                <w:szCs w:val="21"/>
                <w:highlight w:val="none"/>
              </w:rPr>
            </w:pPr>
          </w:p>
        </w:tc>
        <w:tc>
          <w:tcPr>
            <w:tcW w:w="962" w:type="pct"/>
            <w:gridSpan w:val="2"/>
            <w:vAlign w:val="center"/>
          </w:tcPr>
          <w:p w14:paraId="2A830EE4">
            <w:pPr>
              <w:jc w:val="center"/>
              <w:rPr>
                <w:rFonts w:hint="eastAsia" w:ascii="宋体" w:hAnsi="宋体" w:eastAsia="宋体"/>
                <w:color w:val="auto"/>
                <w:szCs w:val="21"/>
                <w:highlight w:val="none"/>
              </w:rPr>
            </w:pPr>
          </w:p>
        </w:tc>
        <w:tc>
          <w:tcPr>
            <w:tcW w:w="903" w:type="pct"/>
            <w:gridSpan w:val="4"/>
            <w:vAlign w:val="center"/>
          </w:tcPr>
          <w:p w14:paraId="7E5830C8">
            <w:pPr>
              <w:jc w:val="center"/>
              <w:rPr>
                <w:rFonts w:hint="eastAsia" w:ascii="宋体" w:hAnsi="宋体" w:eastAsia="宋体"/>
                <w:color w:val="auto"/>
                <w:szCs w:val="21"/>
                <w:highlight w:val="none"/>
              </w:rPr>
            </w:pPr>
          </w:p>
        </w:tc>
        <w:tc>
          <w:tcPr>
            <w:tcW w:w="892" w:type="pct"/>
            <w:gridSpan w:val="2"/>
            <w:vAlign w:val="center"/>
          </w:tcPr>
          <w:p w14:paraId="17886E31">
            <w:pPr>
              <w:jc w:val="center"/>
              <w:rPr>
                <w:rFonts w:hint="eastAsia" w:ascii="宋体" w:hAnsi="宋体" w:eastAsia="宋体"/>
                <w:color w:val="auto"/>
                <w:szCs w:val="21"/>
                <w:highlight w:val="none"/>
              </w:rPr>
            </w:pPr>
          </w:p>
        </w:tc>
        <w:tc>
          <w:tcPr>
            <w:tcW w:w="1399" w:type="pct"/>
            <w:gridSpan w:val="3"/>
            <w:vAlign w:val="center"/>
          </w:tcPr>
          <w:p w14:paraId="3A4914CB">
            <w:pPr>
              <w:jc w:val="center"/>
              <w:rPr>
                <w:rFonts w:hint="eastAsia" w:ascii="宋体" w:hAnsi="宋体" w:eastAsia="宋体"/>
                <w:color w:val="auto"/>
                <w:szCs w:val="21"/>
                <w:highlight w:val="none"/>
              </w:rPr>
            </w:pPr>
          </w:p>
        </w:tc>
      </w:tr>
    </w:tbl>
    <w:p w14:paraId="61E666DD">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37E2052">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C0C9F17">
      <w:pPr>
        <w:pageBreakBefore/>
        <w:rPr>
          <w:rFonts w:ascii="Calibri" w:hAnsi="Calibri" w:eastAsia="宋体" w:cs="Times New Roman"/>
          <w:color w:val="auto"/>
          <w:kern w:val="0"/>
          <w:sz w:val="20"/>
          <w:szCs w:val="20"/>
          <w:highlight w:val="none"/>
        </w:rPr>
      </w:pPr>
      <w:bookmarkStart w:id="51"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51"/>
    </w:p>
    <w:p w14:paraId="5379C43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4FEE9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6FF97FC4">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00E4E88A">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14E96323">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29384D8E">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784529ED">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61302A65">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1B16DB5D">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5D4DD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612555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63B2DE81">
            <w:pPr>
              <w:rPr>
                <w:rFonts w:hint="eastAsia" w:ascii="宋体" w:hAnsi="宋体" w:eastAsia="宋体" w:cs="Times New Roman"/>
                <w:color w:val="auto"/>
                <w:szCs w:val="21"/>
                <w:highlight w:val="none"/>
              </w:rPr>
            </w:pPr>
          </w:p>
        </w:tc>
        <w:tc>
          <w:tcPr>
            <w:tcW w:w="1113" w:type="pct"/>
          </w:tcPr>
          <w:p w14:paraId="5E7CB339">
            <w:pPr>
              <w:rPr>
                <w:rFonts w:hint="eastAsia" w:ascii="宋体" w:hAnsi="宋体" w:eastAsia="宋体" w:cs="Times New Roman"/>
                <w:color w:val="auto"/>
                <w:szCs w:val="21"/>
                <w:highlight w:val="none"/>
              </w:rPr>
            </w:pPr>
          </w:p>
        </w:tc>
        <w:tc>
          <w:tcPr>
            <w:tcW w:w="704" w:type="pct"/>
          </w:tcPr>
          <w:p w14:paraId="1A795A64">
            <w:pPr>
              <w:rPr>
                <w:rFonts w:hint="eastAsia" w:ascii="宋体" w:hAnsi="宋体" w:eastAsia="宋体" w:cs="Times New Roman"/>
                <w:color w:val="auto"/>
                <w:szCs w:val="21"/>
                <w:highlight w:val="none"/>
              </w:rPr>
            </w:pPr>
          </w:p>
        </w:tc>
        <w:tc>
          <w:tcPr>
            <w:tcW w:w="627" w:type="pct"/>
          </w:tcPr>
          <w:p w14:paraId="1D1C6DED">
            <w:pPr>
              <w:rPr>
                <w:rFonts w:hint="eastAsia" w:ascii="宋体" w:hAnsi="宋体" w:eastAsia="宋体" w:cs="Times New Roman"/>
                <w:color w:val="auto"/>
                <w:szCs w:val="21"/>
                <w:highlight w:val="none"/>
              </w:rPr>
            </w:pPr>
          </w:p>
        </w:tc>
        <w:tc>
          <w:tcPr>
            <w:tcW w:w="705" w:type="pct"/>
          </w:tcPr>
          <w:p w14:paraId="64035AB6">
            <w:pPr>
              <w:rPr>
                <w:rFonts w:hint="eastAsia" w:ascii="宋体" w:hAnsi="宋体" w:eastAsia="宋体" w:cs="Times New Roman"/>
                <w:color w:val="auto"/>
                <w:szCs w:val="21"/>
                <w:highlight w:val="none"/>
              </w:rPr>
            </w:pPr>
          </w:p>
        </w:tc>
        <w:tc>
          <w:tcPr>
            <w:tcW w:w="855" w:type="pct"/>
          </w:tcPr>
          <w:p w14:paraId="5ADFACF4">
            <w:pPr>
              <w:rPr>
                <w:rFonts w:hint="eastAsia" w:ascii="宋体" w:hAnsi="宋体" w:eastAsia="宋体" w:cs="Times New Roman"/>
                <w:color w:val="auto"/>
                <w:szCs w:val="21"/>
                <w:highlight w:val="none"/>
              </w:rPr>
            </w:pPr>
          </w:p>
        </w:tc>
      </w:tr>
      <w:tr w14:paraId="0D8F4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721300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134CAA4B">
            <w:pPr>
              <w:rPr>
                <w:rFonts w:hint="eastAsia" w:ascii="宋体" w:hAnsi="宋体" w:eastAsia="宋体" w:cs="Times New Roman"/>
                <w:color w:val="auto"/>
                <w:szCs w:val="21"/>
                <w:highlight w:val="none"/>
              </w:rPr>
            </w:pPr>
          </w:p>
        </w:tc>
        <w:tc>
          <w:tcPr>
            <w:tcW w:w="1113" w:type="pct"/>
          </w:tcPr>
          <w:p w14:paraId="28C7B4CA">
            <w:pPr>
              <w:rPr>
                <w:rFonts w:hint="eastAsia" w:ascii="宋体" w:hAnsi="宋体" w:eastAsia="宋体" w:cs="Times New Roman"/>
                <w:color w:val="auto"/>
                <w:szCs w:val="21"/>
                <w:highlight w:val="none"/>
              </w:rPr>
            </w:pPr>
          </w:p>
        </w:tc>
        <w:tc>
          <w:tcPr>
            <w:tcW w:w="704" w:type="pct"/>
          </w:tcPr>
          <w:p w14:paraId="1D50516F">
            <w:pPr>
              <w:rPr>
                <w:rFonts w:hint="eastAsia" w:ascii="宋体" w:hAnsi="宋体" w:eastAsia="宋体" w:cs="Times New Roman"/>
                <w:color w:val="auto"/>
                <w:szCs w:val="21"/>
                <w:highlight w:val="none"/>
              </w:rPr>
            </w:pPr>
          </w:p>
        </w:tc>
        <w:tc>
          <w:tcPr>
            <w:tcW w:w="627" w:type="pct"/>
          </w:tcPr>
          <w:p w14:paraId="6D7C3752">
            <w:pPr>
              <w:rPr>
                <w:rFonts w:hint="eastAsia" w:ascii="宋体" w:hAnsi="宋体" w:eastAsia="宋体" w:cs="Times New Roman"/>
                <w:color w:val="auto"/>
                <w:szCs w:val="21"/>
                <w:highlight w:val="none"/>
              </w:rPr>
            </w:pPr>
          </w:p>
        </w:tc>
        <w:tc>
          <w:tcPr>
            <w:tcW w:w="705" w:type="pct"/>
          </w:tcPr>
          <w:p w14:paraId="7B66AA0D">
            <w:pPr>
              <w:rPr>
                <w:rFonts w:hint="eastAsia" w:ascii="宋体" w:hAnsi="宋体" w:eastAsia="宋体" w:cs="Times New Roman"/>
                <w:color w:val="auto"/>
                <w:szCs w:val="21"/>
                <w:highlight w:val="none"/>
              </w:rPr>
            </w:pPr>
          </w:p>
        </w:tc>
        <w:tc>
          <w:tcPr>
            <w:tcW w:w="855" w:type="pct"/>
          </w:tcPr>
          <w:p w14:paraId="7E82509E">
            <w:pPr>
              <w:rPr>
                <w:rFonts w:hint="eastAsia" w:ascii="宋体" w:hAnsi="宋体" w:eastAsia="宋体" w:cs="Times New Roman"/>
                <w:color w:val="auto"/>
                <w:szCs w:val="21"/>
                <w:highlight w:val="none"/>
              </w:rPr>
            </w:pPr>
          </w:p>
        </w:tc>
      </w:tr>
      <w:tr w14:paraId="1A165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EA3A3B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287CF92A">
            <w:pPr>
              <w:rPr>
                <w:rFonts w:hint="eastAsia" w:ascii="宋体" w:hAnsi="宋体" w:eastAsia="宋体" w:cs="Times New Roman"/>
                <w:color w:val="auto"/>
                <w:szCs w:val="21"/>
                <w:highlight w:val="none"/>
              </w:rPr>
            </w:pPr>
          </w:p>
        </w:tc>
        <w:tc>
          <w:tcPr>
            <w:tcW w:w="1113" w:type="pct"/>
          </w:tcPr>
          <w:p w14:paraId="5EE96301">
            <w:pPr>
              <w:rPr>
                <w:rFonts w:hint="eastAsia" w:ascii="宋体" w:hAnsi="宋体" w:eastAsia="宋体" w:cs="Times New Roman"/>
                <w:color w:val="auto"/>
                <w:szCs w:val="21"/>
                <w:highlight w:val="none"/>
              </w:rPr>
            </w:pPr>
          </w:p>
        </w:tc>
        <w:tc>
          <w:tcPr>
            <w:tcW w:w="704" w:type="pct"/>
          </w:tcPr>
          <w:p w14:paraId="68689FAA">
            <w:pPr>
              <w:rPr>
                <w:rFonts w:hint="eastAsia" w:ascii="宋体" w:hAnsi="宋体" w:eastAsia="宋体" w:cs="Times New Roman"/>
                <w:color w:val="auto"/>
                <w:szCs w:val="21"/>
                <w:highlight w:val="none"/>
              </w:rPr>
            </w:pPr>
          </w:p>
        </w:tc>
        <w:tc>
          <w:tcPr>
            <w:tcW w:w="627" w:type="pct"/>
          </w:tcPr>
          <w:p w14:paraId="7B6489A3">
            <w:pPr>
              <w:rPr>
                <w:rFonts w:hint="eastAsia" w:ascii="宋体" w:hAnsi="宋体" w:eastAsia="宋体" w:cs="Times New Roman"/>
                <w:color w:val="auto"/>
                <w:szCs w:val="21"/>
                <w:highlight w:val="none"/>
              </w:rPr>
            </w:pPr>
          </w:p>
        </w:tc>
        <w:tc>
          <w:tcPr>
            <w:tcW w:w="705" w:type="pct"/>
          </w:tcPr>
          <w:p w14:paraId="4AF90445">
            <w:pPr>
              <w:rPr>
                <w:rFonts w:hint="eastAsia" w:ascii="宋体" w:hAnsi="宋体" w:eastAsia="宋体" w:cs="Times New Roman"/>
                <w:color w:val="auto"/>
                <w:szCs w:val="21"/>
                <w:highlight w:val="none"/>
              </w:rPr>
            </w:pPr>
          </w:p>
        </w:tc>
        <w:tc>
          <w:tcPr>
            <w:tcW w:w="855" w:type="pct"/>
          </w:tcPr>
          <w:p w14:paraId="4BE805F3">
            <w:pPr>
              <w:rPr>
                <w:rFonts w:hint="eastAsia" w:ascii="宋体" w:hAnsi="宋体" w:eastAsia="宋体" w:cs="Times New Roman"/>
                <w:color w:val="auto"/>
                <w:szCs w:val="21"/>
                <w:highlight w:val="none"/>
              </w:rPr>
            </w:pPr>
          </w:p>
        </w:tc>
      </w:tr>
      <w:tr w14:paraId="24B8A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03CCFD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511CF20C">
            <w:pPr>
              <w:rPr>
                <w:rFonts w:hint="eastAsia" w:ascii="宋体" w:hAnsi="宋体" w:eastAsia="宋体" w:cs="Times New Roman"/>
                <w:color w:val="auto"/>
                <w:szCs w:val="21"/>
                <w:highlight w:val="none"/>
              </w:rPr>
            </w:pPr>
          </w:p>
        </w:tc>
        <w:tc>
          <w:tcPr>
            <w:tcW w:w="1113" w:type="pct"/>
          </w:tcPr>
          <w:p w14:paraId="40080CF6">
            <w:pPr>
              <w:rPr>
                <w:rFonts w:hint="eastAsia" w:ascii="宋体" w:hAnsi="宋体" w:eastAsia="宋体" w:cs="Times New Roman"/>
                <w:color w:val="auto"/>
                <w:szCs w:val="21"/>
                <w:highlight w:val="none"/>
              </w:rPr>
            </w:pPr>
          </w:p>
        </w:tc>
        <w:tc>
          <w:tcPr>
            <w:tcW w:w="704" w:type="pct"/>
          </w:tcPr>
          <w:p w14:paraId="661DD79B">
            <w:pPr>
              <w:rPr>
                <w:rFonts w:hint="eastAsia" w:ascii="宋体" w:hAnsi="宋体" w:eastAsia="宋体" w:cs="Times New Roman"/>
                <w:color w:val="auto"/>
                <w:szCs w:val="21"/>
                <w:highlight w:val="none"/>
              </w:rPr>
            </w:pPr>
          </w:p>
        </w:tc>
        <w:tc>
          <w:tcPr>
            <w:tcW w:w="627" w:type="pct"/>
          </w:tcPr>
          <w:p w14:paraId="370633F1">
            <w:pPr>
              <w:rPr>
                <w:rFonts w:hint="eastAsia" w:ascii="宋体" w:hAnsi="宋体" w:eastAsia="宋体" w:cs="Times New Roman"/>
                <w:color w:val="auto"/>
                <w:szCs w:val="21"/>
                <w:highlight w:val="none"/>
              </w:rPr>
            </w:pPr>
          </w:p>
        </w:tc>
        <w:tc>
          <w:tcPr>
            <w:tcW w:w="705" w:type="pct"/>
          </w:tcPr>
          <w:p w14:paraId="347BFA4A">
            <w:pPr>
              <w:rPr>
                <w:rFonts w:hint="eastAsia" w:ascii="宋体" w:hAnsi="宋体" w:eastAsia="宋体" w:cs="Times New Roman"/>
                <w:color w:val="auto"/>
                <w:szCs w:val="21"/>
                <w:highlight w:val="none"/>
              </w:rPr>
            </w:pPr>
          </w:p>
        </w:tc>
        <w:tc>
          <w:tcPr>
            <w:tcW w:w="855" w:type="pct"/>
          </w:tcPr>
          <w:p w14:paraId="390B1D1E">
            <w:pPr>
              <w:rPr>
                <w:rFonts w:hint="eastAsia" w:ascii="宋体" w:hAnsi="宋体" w:eastAsia="宋体" w:cs="Times New Roman"/>
                <w:color w:val="auto"/>
                <w:szCs w:val="21"/>
                <w:highlight w:val="none"/>
              </w:rPr>
            </w:pPr>
          </w:p>
        </w:tc>
      </w:tr>
      <w:tr w14:paraId="3CCB5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3E5D0D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6985A10B">
            <w:pPr>
              <w:rPr>
                <w:rFonts w:hint="eastAsia" w:ascii="宋体" w:hAnsi="宋体" w:eastAsia="宋体" w:cs="Times New Roman"/>
                <w:color w:val="auto"/>
                <w:szCs w:val="21"/>
                <w:highlight w:val="none"/>
              </w:rPr>
            </w:pPr>
          </w:p>
        </w:tc>
        <w:tc>
          <w:tcPr>
            <w:tcW w:w="1113" w:type="pct"/>
          </w:tcPr>
          <w:p w14:paraId="0D53E356">
            <w:pPr>
              <w:rPr>
                <w:rFonts w:hint="eastAsia" w:ascii="宋体" w:hAnsi="宋体" w:eastAsia="宋体" w:cs="Times New Roman"/>
                <w:color w:val="auto"/>
                <w:szCs w:val="21"/>
                <w:highlight w:val="none"/>
              </w:rPr>
            </w:pPr>
          </w:p>
        </w:tc>
        <w:tc>
          <w:tcPr>
            <w:tcW w:w="704" w:type="pct"/>
          </w:tcPr>
          <w:p w14:paraId="5C8E9EAC">
            <w:pPr>
              <w:rPr>
                <w:rFonts w:hint="eastAsia" w:ascii="宋体" w:hAnsi="宋体" w:eastAsia="宋体" w:cs="Times New Roman"/>
                <w:color w:val="auto"/>
                <w:szCs w:val="21"/>
                <w:highlight w:val="none"/>
              </w:rPr>
            </w:pPr>
          </w:p>
        </w:tc>
        <w:tc>
          <w:tcPr>
            <w:tcW w:w="627" w:type="pct"/>
          </w:tcPr>
          <w:p w14:paraId="3B7A5B18">
            <w:pPr>
              <w:rPr>
                <w:rFonts w:hint="eastAsia" w:ascii="宋体" w:hAnsi="宋体" w:eastAsia="宋体" w:cs="Times New Roman"/>
                <w:color w:val="auto"/>
                <w:szCs w:val="21"/>
                <w:highlight w:val="none"/>
              </w:rPr>
            </w:pPr>
          </w:p>
        </w:tc>
        <w:tc>
          <w:tcPr>
            <w:tcW w:w="705" w:type="pct"/>
          </w:tcPr>
          <w:p w14:paraId="794272A3">
            <w:pPr>
              <w:rPr>
                <w:rFonts w:hint="eastAsia" w:ascii="宋体" w:hAnsi="宋体" w:eastAsia="宋体" w:cs="Times New Roman"/>
                <w:color w:val="auto"/>
                <w:szCs w:val="21"/>
                <w:highlight w:val="none"/>
              </w:rPr>
            </w:pPr>
          </w:p>
        </w:tc>
        <w:tc>
          <w:tcPr>
            <w:tcW w:w="855" w:type="pct"/>
          </w:tcPr>
          <w:p w14:paraId="625D07C4">
            <w:pPr>
              <w:rPr>
                <w:rFonts w:hint="eastAsia" w:ascii="宋体" w:hAnsi="宋体" w:eastAsia="宋体" w:cs="Times New Roman"/>
                <w:color w:val="auto"/>
                <w:szCs w:val="21"/>
                <w:highlight w:val="none"/>
              </w:rPr>
            </w:pPr>
          </w:p>
        </w:tc>
      </w:tr>
    </w:tbl>
    <w:p w14:paraId="660377C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5D7B96E7">
      <w:pPr>
        <w:widowControl/>
        <w:jc w:val="left"/>
        <w:rPr>
          <w:rFonts w:ascii="Calibri" w:hAnsi="Calibri" w:eastAsia="宋体" w:cs="Times New Roman"/>
          <w:color w:val="auto"/>
          <w:kern w:val="0"/>
          <w:sz w:val="20"/>
          <w:szCs w:val="20"/>
          <w:highlight w:val="none"/>
          <w:lang w:eastAsia="zh-Hans"/>
        </w:rPr>
      </w:pPr>
    </w:p>
    <w:p w14:paraId="55CF99FB">
      <w:pPr>
        <w:widowControl/>
        <w:jc w:val="left"/>
        <w:rPr>
          <w:rFonts w:ascii="Calibri" w:hAnsi="Calibri" w:eastAsia="宋体" w:cs="Times New Roman"/>
          <w:color w:val="auto"/>
          <w:kern w:val="0"/>
          <w:sz w:val="20"/>
          <w:szCs w:val="20"/>
          <w:highlight w:val="none"/>
        </w:rPr>
      </w:pPr>
    </w:p>
    <w:p w14:paraId="5558D225">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5E23EF1">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7C75D4D">
      <w:pPr>
        <w:pageBreakBefore/>
        <w:rPr>
          <w:rFonts w:ascii="Calibri" w:hAnsi="Calibri" w:eastAsia="宋体" w:cs="Times New Roman"/>
          <w:color w:val="auto"/>
          <w:kern w:val="0"/>
          <w:sz w:val="20"/>
          <w:szCs w:val="20"/>
          <w:highlight w:val="none"/>
          <w:lang w:eastAsia="zh-Hans"/>
        </w:rPr>
      </w:pPr>
      <w:bookmarkStart w:id="52"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52"/>
    </w:p>
    <w:p w14:paraId="4E85FDF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782"/>
        <w:gridCol w:w="1564"/>
        <w:gridCol w:w="1250"/>
        <w:gridCol w:w="1250"/>
        <w:gridCol w:w="1407"/>
        <w:gridCol w:w="1252"/>
        <w:gridCol w:w="845"/>
      </w:tblGrid>
      <w:tr w14:paraId="50B3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vAlign w:val="center"/>
          </w:tcPr>
          <w:p w14:paraId="17163889">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34E51F7">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3F04A0B0">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6A3F668F">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6BA0567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1966E24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3C5D5B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4" w:type="pct"/>
            <w:vAlign w:val="center"/>
          </w:tcPr>
          <w:p w14:paraId="5E8B497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3DF8A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7002136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764AFA65">
            <w:pPr>
              <w:jc w:val="center"/>
              <w:rPr>
                <w:rFonts w:ascii="Calibri" w:hAnsi="Calibri" w:eastAsia="宋体" w:cs="Times New Roman"/>
                <w:color w:val="auto"/>
                <w:szCs w:val="24"/>
                <w:highlight w:val="none"/>
              </w:rPr>
            </w:pPr>
          </w:p>
        </w:tc>
        <w:tc>
          <w:tcPr>
            <w:tcW w:w="842" w:type="pct"/>
          </w:tcPr>
          <w:p w14:paraId="3484EF07">
            <w:pPr>
              <w:jc w:val="center"/>
              <w:rPr>
                <w:rFonts w:ascii="Calibri" w:hAnsi="Calibri" w:eastAsia="宋体" w:cs="Times New Roman"/>
                <w:color w:val="auto"/>
                <w:szCs w:val="24"/>
                <w:highlight w:val="none"/>
              </w:rPr>
            </w:pPr>
          </w:p>
        </w:tc>
        <w:tc>
          <w:tcPr>
            <w:tcW w:w="673" w:type="pct"/>
          </w:tcPr>
          <w:p w14:paraId="68FFBFB3">
            <w:pPr>
              <w:jc w:val="center"/>
              <w:rPr>
                <w:rFonts w:ascii="Calibri" w:hAnsi="Calibri" w:eastAsia="宋体" w:cs="Times New Roman"/>
                <w:color w:val="auto"/>
                <w:szCs w:val="24"/>
                <w:highlight w:val="none"/>
              </w:rPr>
            </w:pPr>
          </w:p>
        </w:tc>
        <w:tc>
          <w:tcPr>
            <w:tcW w:w="673" w:type="pct"/>
          </w:tcPr>
          <w:p w14:paraId="1BA1859B">
            <w:pPr>
              <w:jc w:val="center"/>
              <w:rPr>
                <w:rFonts w:ascii="Calibri" w:hAnsi="Calibri" w:eastAsia="宋体" w:cs="Times New Roman"/>
                <w:color w:val="auto"/>
                <w:szCs w:val="24"/>
                <w:highlight w:val="none"/>
              </w:rPr>
            </w:pPr>
          </w:p>
        </w:tc>
        <w:tc>
          <w:tcPr>
            <w:tcW w:w="757" w:type="pct"/>
          </w:tcPr>
          <w:p w14:paraId="6809E588">
            <w:pPr>
              <w:jc w:val="center"/>
              <w:rPr>
                <w:rFonts w:ascii="Calibri" w:hAnsi="Calibri" w:eastAsia="宋体" w:cs="Times New Roman"/>
                <w:color w:val="auto"/>
                <w:szCs w:val="24"/>
                <w:highlight w:val="none"/>
              </w:rPr>
            </w:pPr>
          </w:p>
        </w:tc>
        <w:tc>
          <w:tcPr>
            <w:tcW w:w="674" w:type="pct"/>
          </w:tcPr>
          <w:p w14:paraId="2107B64F">
            <w:pPr>
              <w:jc w:val="center"/>
              <w:rPr>
                <w:rFonts w:ascii="Calibri" w:hAnsi="Calibri" w:eastAsia="宋体" w:cs="Times New Roman"/>
                <w:color w:val="auto"/>
                <w:szCs w:val="24"/>
                <w:highlight w:val="none"/>
              </w:rPr>
            </w:pPr>
          </w:p>
        </w:tc>
        <w:tc>
          <w:tcPr>
            <w:tcW w:w="454" w:type="pct"/>
          </w:tcPr>
          <w:p w14:paraId="7E9CF0A7">
            <w:pPr>
              <w:jc w:val="center"/>
              <w:rPr>
                <w:rFonts w:ascii="Calibri" w:hAnsi="Calibri" w:eastAsia="宋体" w:cs="Times New Roman"/>
                <w:color w:val="auto"/>
                <w:szCs w:val="24"/>
                <w:highlight w:val="none"/>
              </w:rPr>
            </w:pPr>
          </w:p>
        </w:tc>
      </w:tr>
      <w:tr w14:paraId="007E7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7880C6B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29C32D0A">
            <w:pPr>
              <w:jc w:val="center"/>
              <w:rPr>
                <w:rFonts w:ascii="Calibri" w:hAnsi="Calibri" w:eastAsia="宋体" w:cs="Times New Roman"/>
                <w:color w:val="auto"/>
                <w:szCs w:val="24"/>
                <w:highlight w:val="none"/>
              </w:rPr>
            </w:pPr>
          </w:p>
        </w:tc>
        <w:tc>
          <w:tcPr>
            <w:tcW w:w="842" w:type="pct"/>
          </w:tcPr>
          <w:p w14:paraId="380DF2F4">
            <w:pPr>
              <w:jc w:val="center"/>
              <w:rPr>
                <w:rFonts w:ascii="Calibri" w:hAnsi="Calibri" w:eastAsia="宋体" w:cs="Times New Roman"/>
                <w:color w:val="auto"/>
                <w:szCs w:val="24"/>
                <w:highlight w:val="none"/>
              </w:rPr>
            </w:pPr>
          </w:p>
        </w:tc>
        <w:tc>
          <w:tcPr>
            <w:tcW w:w="673" w:type="pct"/>
          </w:tcPr>
          <w:p w14:paraId="0F091735">
            <w:pPr>
              <w:jc w:val="center"/>
              <w:rPr>
                <w:rFonts w:ascii="Calibri" w:hAnsi="Calibri" w:eastAsia="宋体" w:cs="Times New Roman"/>
                <w:color w:val="auto"/>
                <w:szCs w:val="24"/>
                <w:highlight w:val="none"/>
              </w:rPr>
            </w:pPr>
          </w:p>
        </w:tc>
        <w:tc>
          <w:tcPr>
            <w:tcW w:w="673" w:type="pct"/>
          </w:tcPr>
          <w:p w14:paraId="1BFF8968">
            <w:pPr>
              <w:jc w:val="center"/>
              <w:rPr>
                <w:rFonts w:ascii="Calibri" w:hAnsi="Calibri" w:eastAsia="宋体" w:cs="Times New Roman"/>
                <w:color w:val="auto"/>
                <w:szCs w:val="24"/>
                <w:highlight w:val="none"/>
              </w:rPr>
            </w:pPr>
          </w:p>
        </w:tc>
        <w:tc>
          <w:tcPr>
            <w:tcW w:w="757" w:type="pct"/>
          </w:tcPr>
          <w:p w14:paraId="3A9B6EE6">
            <w:pPr>
              <w:jc w:val="center"/>
              <w:rPr>
                <w:rFonts w:ascii="Calibri" w:hAnsi="Calibri" w:eastAsia="宋体" w:cs="Times New Roman"/>
                <w:color w:val="auto"/>
                <w:szCs w:val="24"/>
                <w:highlight w:val="none"/>
              </w:rPr>
            </w:pPr>
          </w:p>
        </w:tc>
        <w:tc>
          <w:tcPr>
            <w:tcW w:w="674" w:type="pct"/>
          </w:tcPr>
          <w:p w14:paraId="3D689073">
            <w:pPr>
              <w:jc w:val="center"/>
              <w:rPr>
                <w:rFonts w:ascii="Calibri" w:hAnsi="Calibri" w:eastAsia="宋体" w:cs="Times New Roman"/>
                <w:color w:val="auto"/>
                <w:szCs w:val="24"/>
                <w:highlight w:val="none"/>
              </w:rPr>
            </w:pPr>
          </w:p>
        </w:tc>
        <w:tc>
          <w:tcPr>
            <w:tcW w:w="454" w:type="pct"/>
          </w:tcPr>
          <w:p w14:paraId="4575B955">
            <w:pPr>
              <w:jc w:val="center"/>
              <w:rPr>
                <w:rFonts w:ascii="Calibri" w:hAnsi="Calibri" w:eastAsia="宋体" w:cs="Times New Roman"/>
                <w:color w:val="auto"/>
                <w:szCs w:val="24"/>
                <w:highlight w:val="none"/>
              </w:rPr>
            </w:pPr>
          </w:p>
        </w:tc>
      </w:tr>
      <w:tr w14:paraId="3032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47E31F3E">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73C19D33">
            <w:pPr>
              <w:jc w:val="center"/>
              <w:rPr>
                <w:rFonts w:ascii="Calibri" w:hAnsi="Calibri" w:eastAsia="宋体" w:cs="Times New Roman"/>
                <w:color w:val="auto"/>
                <w:szCs w:val="24"/>
                <w:highlight w:val="none"/>
              </w:rPr>
            </w:pPr>
          </w:p>
        </w:tc>
        <w:tc>
          <w:tcPr>
            <w:tcW w:w="842" w:type="pct"/>
          </w:tcPr>
          <w:p w14:paraId="1F60762C">
            <w:pPr>
              <w:jc w:val="center"/>
              <w:rPr>
                <w:rFonts w:ascii="Calibri" w:hAnsi="Calibri" w:eastAsia="宋体" w:cs="Times New Roman"/>
                <w:color w:val="auto"/>
                <w:szCs w:val="24"/>
                <w:highlight w:val="none"/>
              </w:rPr>
            </w:pPr>
          </w:p>
        </w:tc>
        <w:tc>
          <w:tcPr>
            <w:tcW w:w="673" w:type="pct"/>
          </w:tcPr>
          <w:p w14:paraId="2CD2AE02">
            <w:pPr>
              <w:jc w:val="center"/>
              <w:rPr>
                <w:rFonts w:ascii="Calibri" w:hAnsi="Calibri" w:eastAsia="宋体" w:cs="Times New Roman"/>
                <w:color w:val="auto"/>
                <w:szCs w:val="24"/>
                <w:highlight w:val="none"/>
              </w:rPr>
            </w:pPr>
          </w:p>
        </w:tc>
        <w:tc>
          <w:tcPr>
            <w:tcW w:w="673" w:type="pct"/>
          </w:tcPr>
          <w:p w14:paraId="139A365C">
            <w:pPr>
              <w:jc w:val="center"/>
              <w:rPr>
                <w:rFonts w:ascii="Calibri" w:hAnsi="Calibri" w:eastAsia="宋体" w:cs="Times New Roman"/>
                <w:color w:val="auto"/>
                <w:szCs w:val="24"/>
                <w:highlight w:val="none"/>
              </w:rPr>
            </w:pPr>
          </w:p>
        </w:tc>
        <w:tc>
          <w:tcPr>
            <w:tcW w:w="757" w:type="pct"/>
          </w:tcPr>
          <w:p w14:paraId="2EE330F8">
            <w:pPr>
              <w:jc w:val="center"/>
              <w:rPr>
                <w:rFonts w:ascii="Calibri" w:hAnsi="Calibri" w:eastAsia="宋体" w:cs="Times New Roman"/>
                <w:color w:val="auto"/>
                <w:szCs w:val="24"/>
                <w:highlight w:val="none"/>
              </w:rPr>
            </w:pPr>
          </w:p>
        </w:tc>
        <w:tc>
          <w:tcPr>
            <w:tcW w:w="674" w:type="pct"/>
          </w:tcPr>
          <w:p w14:paraId="003B8F5B">
            <w:pPr>
              <w:jc w:val="center"/>
              <w:rPr>
                <w:rFonts w:ascii="Calibri" w:hAnsi="Calibri" w:eastAsia="宋体" w:cs="Times New Roman"/>
                <w:color w:val="auto"/>
                <w:szCs w:val="24"/>
                <w:highlight w:val="none"/>
              </w:rPr>
            </w:pPr>
          </w:p>
        </w:tc>
        <w:tc>
          <w:tcPr>
            <w:tcW w:w="454" w:type="pct"/>
          </w:tcPr>
          <w:p w14:paraId="25DCDB36">
            <w:pPr>
              <w:jc w:val="center"/>
              <w:rPr>
                <w:rFonts w:ascii="Calibri" w:hAnsi="Calibri" w:eastAsia="宋体" w:cs="Times New Roman"/>
                <w:color w:val="auto"/>
                <w:szCs w:val="24"/>
                <w:highlight w:val="none"/>
              </w:rPr>
            </w:pPr>
          </w:p>
        </w:tc>
      </w:tr>
      <w:tr w14:paraId="6B7D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2870E51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43E4A3B9">
            <w:pPr>
              <w:jc w:val="center"/>
              <w:rPr>
                <w:rFonts w:ascii="Calibri" w:hAnsi="Calibri" w:eastAsia="宋体" w:cs="Times New Roman"/>
                <w:color w:val="auto"/>
                <w:szCs w:val="24"/>
                <w:highlight w:val="none"/>
              </w:rPr>
            </w:pPr>
          </w:p>
        </w:tc>
        <w:tc>
          <w:tcPr>
            <w:tcW w:w="842" w:type="pct"/>
          </w:tcPr>
          <w:p w14:paraId="0835142B">
            <w:pPr>
              <w:jc w:val="center"/>
              <w:rPr>
                <w:rFonts w:ascii="Calibri" w:hAnsi="Calibri" w:eastAsia="宋体" w:cs="Times New Roman"/>
                <w:color w:val="auto"/>
                <w:szCs w:val="24"/>
                <w:highlight w:val="none"/>
              </w:rPr>
            </w:pPr>
          </w:p>
        </w:tc>
        <w:tc>
          <w:tcPr>
            <w:tcW w:w="673" w:type="pct"/>
          </w:tcPr>
          <w:p w14:paraId="6CA9F959">
            <w:pPr>
              <w:jc w:val="center"/>
              <w:rPr>
                <w:rFonts w:ascii="Calibri" w:hAnsi="Calibri" w:eastAsia="宋体" w:cs="Times New Roman"/>
                <w:color w:val="auto"/>
                <w:szCs w:val="24"/>
                <w:highlight w:val="none"/>
              </w:rPr>
            </w:pPr>
          </w:p>
        </w:tc>
        <w:tc>
          <w:tcPr>
            <w:tcW w:w="673" w:type="pct"/>
          </w:tcPr>
          <w:p w14:paraId="116AF13E">
            <w:pPr>
              <w:jc w:val="center"/>
              <w:rPr>
                <w:rFonts w:ascii="Calibri" w:hAnsi="Calibri" w:eastAsia="宋体" w:cs="Times New Roman"/>
                <w:color w:val="auto"/>
                <w:szCs w:val="24"/>
                <w:highlight w:val="none"/>
              </w:rPr>
            </w:pPr>
          </w:p>
        </w:tc>
        <w:tc>
          <w:tcPr>
            <w:tcW w:w="757" w:type="pct"/>
          </w:tcPr>
          <w:p w14:paraId="6ACD4171">
            <w:pPr>
              <w:jc w:val="center"/>
              <w:rPr>
                <w:rFonts w:ascii="Calibri" w:hAnsi="Calibri" w:eastAsia="宋体" w:cs="Times New Roman"/>
                <w:color w:val="auto"/>
                <w:szCs w:val="24"/>
                <w:highlight w:val="none"/>
              </w:rPr>
            </w:pPr>
          </w:p>
        </w:tc>
        <w:tc>
          <w:tcPr>
            <w:tcW w:w="674" w:type="pct"/>
          </w:tcPr>
          <w:p w14:paraId="0D1FC4AD">
            <w:pPr>
              <w:jc w:val="center"/>
              <w:rPr>
                <w:rFonts w:ascii="Calibri" w:hAnsi="Calibri" w:eastAsia="宋体" w:cs="Times New Roman"/>
                <w:color w:val="auto"/>
                <w:szCs w:val="24"/>
                <w:highlight w:val="none"/>
              </w:rPr>
            </w:pPr>
          </w:p>
        </w:tc>
        <w:tc>
          <w:tcPr>
            <w:tcW w:w="454" w:type="pct"/>
          </w:tcPr>
          <w:p w14:paraId="3BE4DA38">
            <w:pPr>
              <w:jc w:val="center"/>
              <w:rPr>
                <w:rFonts w:ascii="Calibri" w:hAnsi="Calibri" w:eastAsia="宋体" w:cs="Times New Roman"/>
                <w:color w:val="auto"/>
                <w:szCs w:val="24"/>
                <w:highlight w:val="none"/>
              </w:rPr>
            </w:pPr>
          </w:p>
        </w:tc>
      </w:tr>
      <w:tr w14:paraId="5137B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4145F0D7">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7C0304E7">
            <w:pPr>
              <w:jc w:val="center"/>
              <w:rPr>
                <w:rFonts w:ascii="Calibri" w:hAnsi="Calibri" w:eastAsia="宋体" w:cs="Times New Roman"/>
                <w:color w:val="auto"/>
                <w:szCs w:val="24"/>
                <w:highlight w:val="none"/>
              </w:rPr>
            </w:pPr>
          </w:p>
        </w:tc>
        <w:tc>
          <w:tcPr>
            <w:tcW w:w="842" w:type="pct"/>
          </w:tcPr>
          <w:p w14:paraId="2DA73E22">
            <w:pPr>
              <w:jc w:val="center"/>
              <w:rPr>
                <w:rFonts w:ascii="Calibri" w:hAnsi="Calibri" w:eastAsia="宋体" w:cs="Times New Roman"/>
                <w:color w:val="auto"/>
                <w:szCs w:val="24"/>
                <w:highlight w:val="none"/>
              </w:rPr>
            </w:pPr>
          </w:p>
        </w:tc>
        <w:tc>
          <w:tcPr>
            <w:tcW w:w="673" w:type="pct"/>
          </w:tcPr>
          <w:p w14:paraId="695049AD">
            <w:pPr>
              <w:jc w:val="center"/>
              <w:rPr>
                <w:rFonts w:ascii="Calibri" w:hAnsi="Calibri" w:eastAsia="宋体" w:cs="Times New Roman"/>
                <w:color w:val="auto"/>
                <w:szCs w:val="24"/>
                <w:highlight w:val="none"/>
              </w:rPr>
            </w:pPr>
          </w:p>
        </w:tc>
        <w:tc>
          <w:tcPr>
            <w:tcW w:w="673" w:type="pct"/>
          </w:tcPr>
          <w:p w14:paraId="749430E6">
            <w:pPr>
              <w:jc w:val="center"/>
              <w:rPr>
                <w:rFonts w:ascii="Calibri" w:hAnsi="Calibri" w:eastAsia="宋体" w:cs="Times New Roman"/>
                <w:color w:val="auto"/>
                <w:szCs w:val="24"/>
                <w:highlight w:val="none"/>
              </w:rPr>
            </w:pPr>
          </w:p>
        </w:tc>
        <w:tc>
          <w:tcPr>
            <w:tcW w:w="757" w:type="pct"/>
          </w:tcPr>
          <w:p w14:paraId="0BDDF476">
            <w:pPr>
              <w:jc w:val="center"/>
              <w:rPr>
                <w:rFonts w:ascii="Calibri" w:hAnsi="Calibri" w:eastAsia="宋体" w:cs="Times New Roman"/>
                <w:color w:val="auto"/>
                <w:szCs w:val="24"/>
                <w:highlight w:val="none"/>
              </w:rPr>
            </w:pPr>
          </w:p>
        </w:tc>
        <w:tc>
          <w:tcPr>
            <w:tcW w:w="674" w:type="pct"/>
          </w:tcPr>
          <w:p w14:paraId="5FEA153A">
            <w:pPr>
              <w:jc w:val="center"/>
              <w:rPr>
                <w:rFonts w:ascii="Calibri" w:hAnsi="Calibri" w:eastAsia="宋体" w:cs="Times New Roman"/>
                <w:color w:val="auto"/>
                <w:szCs w:val="24"/>
                <w:highlight w:val="none"/>
              </w:rPr>
            </w:pPr>
          </w:p>
        </w:tc>
        <w:tc>
          <w:tcPr>
            <w:tcW w:w="454" w:type="pct"/>
          </w:tcPr>
          <w:p w14:paraId="17DDA7C5">
            <w:pPr>
              <w:jc w:val="center"/>
              <w:rPr>
                <w:rFonts w:ascii="Calibri" w:hAnsi="Calibri" w:eastAsia="宋体" w:cs="Times New Roman"/>
                <w:color w:val="auto"/>
                <w:szCs w:val="24"/>
                <w:highlight w:val="none"/>
              </w:rPr>
            </w:pPr>
          </w:p>
        </w:tc>
      </w:tr>
      <w:tr w14:paraId="2BF8C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7CB54C1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7DF8A283">
            <w:pPr>
              <w:jc w:val="center"/>
              <w:rPr>
                <w:rFonts w:ascii="Calibri" w:hAnsi="Calibri" w:eastAsia="宋体" w:cs="Times New Roman"/>
                <w:color w:val="auto"/>
                <w:szCs w:val="24"/>
                <w:highlight w:val="none"/>
              </w:rPr>
            </w:pPr>
          </w:p>
        </w:tc>
        <w:tc>
          <w:tcPr>
            <w:tcW w:w="842" w:type="pct"/>
          </w:tcPr>
          <w:p w14:paraId="1CBCE97C">
            <w:pPr>
              <w:jc w:val="center"/>
              <w:rPr>
                <w:rFonts w:ascii="Calibri" w:hAnsi="Calibri" w:eastAsia="宋体" w:cs="Times New Roman"/>
                <w:color w:val="auto"/>
                <w:szCs w:val="24"/>
                <w:highlight w:val="none"/>
              </w:rPr>
            </w:pPr>
          </w:p>
        </w:tc>
        <w:tc>
          <w:tcPr>
            <w:tcW w:w="673" w:type="pct"/>
          </w:tcPr>
          <w:p w14:paraId="4DA3DFAB">
            <w:pPr>
              <w:jc w:val="center"/>
              <w:rPr>
                <w:rFonts w:ascii="Calibri" w:hAnsi="Calibri" w:eastAsia="宋体" w:cs="Times New Roman"/>
                <w:color w:val="auto"/>
                <w:szCs w:val="24"/>
                <w:highlight w:val="none"/>
              </w:rPr>
            </w:pPr>
          </w:p>
        </w:tc>
        <w:tc>
          <w:tcPr>
            <w:tcW w:w="673" w:type="pct"/>
          </w:tcPr>
          <w:p w14:paraId="514813BA">
            <w:pPr>
              <w:jc w:val="center"/>
              <w:rPr>
                <w:rFonts w:ascii="Calibri" w:hAnsi="Calibri" w:eastAsia="宋体" w:cs="Times New Roman"/>
                <w:color w:val="auto"/>
                <w:szCs w:val="24"/>
                <w:highlight w:val="none"/>
              </w:rPr>
            </w:pPr>
          </w:p>
        </w:tc>
        <w:tc>
          <w:tcPr>
            <w:tcW w:w="757" w:type="pct"/>
          </w:tcPr>
          <w:p w14:paraId="302D18AD">
            <w:pPr>
              <w:jc w:val="center"/>
              <w:rPr>
                <w:rFonts w:ascii="Calibri" w:hAnsi="Calibri" w:eastAsia="宋体" w:cs="Times New Roman"/>
                <w:color w:val="auto"/>
                <w:szCs w:val="24"/>
                <w:highlight w:val="none"/>
              </w:rPr>
            </w:pPr>
          </w:p>
        </w:tc>
        <w:tc>
          <w:tcPr>
            <w:tcW w:w="674" w:type="pct"/>
          </w:tcPr>
          <w:p w14:paraId="2F4C44DF">
            <w:pPr>
              <w:jc w:val="center"/>
              <w:rPr>
                <w:rFonts w:ascii="Calibri" w:hAnsi="Calibri" w:eastAsia="宋体" w:cs="Times New Roman"/>
                <w:color w:val="auto"/>
                <w:szCs w:val="24"/>
                <w:highlight w:val="none"/>
              </w:rPr>
            </w:pPr>
          </w:p>
        </w:tc>
        <w:tc>
          <w:tcPr>
            <w:tcW w:w="454" w:type="pct"/>
          </w:tcPr>
          <w:p w14:paraId="198BE48B">
            <w:pPr>
              <w:jc w:val="center"/>
              <w:rPr>
                <w:rFonts w:ascii="Calibri" w:hAnsi="Calibri" w:eastAsia="宋体" w:cs="Times New Roman"/>
                <w:color w:val="auto"/>
                <w:szCs w:val="24"/>
                <w:highlight w:val="none"/>
              </w:rPr>
            </w:pPr>
          </w:p>
        </w:tc>
      </w:tr>
      <w:tr w14:paraId="56CD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4" w:type="pct"/>
          </w:tcPr>
          <w:p w14:paraId="2F558227">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21540274">
            <w:pPr>
              <w:jc w:val="center"/>
              <w:rPr>
                <w:rFonts w:ascii="Calibri" w:hAnsi="Calibri" w:eastAsia="宋体" w:cs="Times New Roman"/>
                <w:color w:val="auto"/>
                <w:szCs w:val="24"/>
                <w:highlight w:val="none"/>
              </w:rPr>
            </w:pPr>
          </w:p>
        </w:tc>
        <w:tc>
          <w:tcPr>
            <w:tcW w:w="842" w:type="pct"/>
          </w:tcPr>
          <w:p w14:paraId="00C97CD2">
            <w:pPr>
              <w:jc w:val="center"/>
              <w:rPr>
                <w:rFonts w:ascii="Calibri" w:hAnsi="Calibri" w:eastAsia="宋体" w:cs="Times New Roman"/>
                <w:color w:val="auto"/>
                <w:szCs w:val="24"/>
                <w:highlight w:val="none"/>
              </w:rPr>
            </w:pPr>
          </w:p>
        </w:tc>
        <w:tc>
          <w:tcPr>
            <w:tcW w:w="673" w:type="pct"/>
          </w:tcPr>
          <w:p w14:paraId="34F95CE1">
            <w:pPr>
              <w:jc w:val="center"/>
              <w:rPr>
                <w:rFonts w:ascii="Calibri" w:hAnsi="Calibri" w:eastAsia="宋体" w:cs="Times New Roman"/>
                <w:color w:val="auto"/>
                <w:szCs w:val="24"/>
                <w:highlight w:val="none"/>
              </w:rPr>
            </w:pPr>
          </w:p>
        </w:tc>
        <w:tc>
          <w:tcPr>
            <w:tcW w:w="673" w:type="pct"/>
          </w:tcPr>
          <w:p w14:paraId="73057669">
            <w:pPr>
              <w:jc w:val="center"/>
              <w:rPr>
                <w:rFonts w:ascii="Calibri" w:hAnsi="Calibri" w:eastAsia="宋体" w:cs="Times New Roman"/>
                <w:color w:val="auto"/>
                <w:szCs w:val="24"/>
                <w:highlight w:val="none"/>
              </w:rPr>
            </w:pPr>
          </w:p>
        </w:tc>
        <w:tc>
          <w:tcPr>
            <w:tcW w:w="757" w:type="pct"/>
          </w:tcPr>
          <w:p w14:paraId="5C03179C">
            <w:pPr>
              <w:jc w:val="center"/>
              <w:rPr>
                <w:rFonts w:ascii="Calibri" w:hAnsi="Calibri" w:eastAsia="宋体" w:cs="Times New Roman"/>
                <w:color w:val="auto"/>
                <w:szCs w:val="24"/>
                <w:highlight w:val="none"/>
              </w:rPr>
            </w:pPr>
          </w:p>
        </w:tc>
        <w:tc>
          <w:tcPr>
            <w:tcW w:w="674" w:type="pct"/>
          </w:tcPr>
          <w:p w14:paraId="4F8BAD9E">
            <w:pPr>
              <w:jc w:val="center"/>
              <w:rPr>
                <w:rFonts w:ascii="Calibri" w:hAnsi="Calibri" w:eastAsia="宋体" w:cs="Times New Roman"/>
                <w:color w:val="auto"/>
                <w:szCs w:val="24"/>
                <w:highlight w:val="none"/>
              </w:rPr>
            </w:pPr>
          </w:p>
        </w:tc>
        <w:tc>
          <w:tcPr>
            <w:tcW w:w="454" w:type="pct"/>
          </w:tcPr>
          <w:p w14:paraId="441C1399">
            <w:pPr>
              <w:jc w:val="center"/>
              <w:rPr>
                <w:rFonts w:ascii="Calibri" w:hAnsi="Calibri" w:eastAsia="宋体" w:cs="Times New Roman"/>
                <w:color w:val="auto"/>
                <w:szCs w:val="24"/>
                <w:highlight w:val="none"/>
              </w:rPr>
            </w:pPr>
          </w:p>
        </w:tc>
      </w:tr>
    </w:tbl>
    <w:p w14:paraId="680617E6">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71F6670B">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03B0399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34E064B7">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7"/>
          <w:rFonts w:ascii="宋体" w:hAnsi="宋体" w:eastAsia="宋体" w:cs="Arial"/>
          <w:i w:val="0"/>
          <w:iCs w:val="0"/>
          <w:color w:val="auto"/>
          <w:szCs w:val="21"/>
          <w:highlight w:val="none"/>
          <w:shd w:val="clear" w:color="auto" w:fill="FFFFFF"/>
        </w:rPr>
        <w:t>/</w:t>
      </w:r>
      <w:r>
        <w:rPr>
          <w:rStyle w:val="17"/>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7"/>
          <w:rFonts w:ascii="宋体" w:hAnsi="宋体" w:eastAsia="宋体" w:cs="Arial"/>
          <w:i w:val="0"/>
          <w:iCs w:val="0"/>
          <w:color w:val="auto"/>
          <w:szCs w:val="21"/>
          <w:highlight w:val="none"/>
          <w:shd w:val="clear" w:color="auto" w:fill="FFFFFF"/>
        </w:rPr>
        <w:t>。</w:t>
      </w:r>
    </w:p>
    <w:p w14:paraId="07647328">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06783D6D">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3" w:name="_Hlk169717981"/>
      <w:r>
        <w:rPr>
          <w:rFonts w:ascii="宋体" w:hAnsi="宋体" w:eastAsia="宋体" w:cs="Times New Roman"/>
          <w:color w:val="auto"/>
          <w:kern w:val="0"/>
          <w:szCs w:val="21"/>
          <w:highlight w:val="none"/>
          <w:lang w:eastAsia="zh-Hans"/>
        </w:rPr>
        <w:t>“备注”</w:t>
      </w:r>
      <w:bookmarkEnd w:id="53"/>
      <w:r>
        <w:rPr>
          <w:rFonts w:ascii="宋体" w:hAnsi="宋体" w:eastAsia="宋体" w:cs="Times New Roman"/>
          <w:color w:val="auto"/>
          <w:kern w:val="0"/>
          <w:szCs w:val="21"/>
          <w:highlight w:val="none"/>
          <w:lang w:eastAsia="zh-Hans"/>
        </w:rPr>
        <w:t>处可填写偏离情况的说明。</w:t>
      </w:r>
    </w:p>
    <w:p w14:paraId="26FC18CD">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4AE8060">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B04D15C">
      <w:pPr>
        <w:pageBreakBefore/>
        <w:rPr>
          <w:rFonts w:ascii="Calibri" w:hAnsi="Calibri" w:eastAsia="宋体" w:cs="Times New Roman"/>
          <w:color w:val="auto"/>
          <w:kern w:val="0"/>
          <w:sz w:val="20"/>
          <w:szCs w:val="20"/>
          <w:highlight w:val="none"/>
          <w:lang w:eastAsia="zh-Hans"/>
        </w:rPr>
      </w:pPr>
      <w:bookmarkStart w:id="54"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七</w:t>
      </w:r>
      <w:r>
        <w:rPr>
          <w:rFonts w:ascii="宋体" w:hAnsi="宋体" w:eastAsia="宋体"/>
          <w:b/>
          <w:bCs/>
          <w:color w:val="auto"/>
          <w:sz w:val="24"/>
          <w:szCs w:val="28"/>
          <w:highlight w:val="none"/>
        </w:rPr>
        <w:t>：</w:t>
      </w:r>
      <w:bookmarkEnd w:id="54"/>
    </w:p>
    <w:p w14:paraId="3D9735AC">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7159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428AD870">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0D3379CD">
            <w:pPr>
              <w:widowControl/>
              <w:jc w:val="center"/>
              <w:rPr>
                <w:rFonts w:hint="eastAsia"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5F394157">
            <w:pPr>
              <w:widowControl/>
              <w:jc w:val="center"/>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3DC01E2">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5D1B8D8B">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25560EB9">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5656835E">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6B38C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C1FC68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C8136C5">
            <w:pPr>
              <w:rPr>
                <w:rFonts w:hint="eastAsia" w:ascii="宋体" w:hAnsi="宋体" w:eastAsia="宋体" w:cs="Times New Roman"/>
                <w:color w:val="auto"/>
                <w:szCs w:val="21"/>
                <w:highlight w:val="none"/>
              </w:rPr>
            </w:pPr>
          </w:p>
        </w:tc>
        <w:tc>
          <w:tcPr>
            <w:tcW w:w="850" w:type="pct"/>
          </w:tcPr>
          <w:p w14:paraId="377052BC">
            <w:pPr>
              <w:rPr>
                <w:rFonts w:hint="eastAsia" w:ascii="宋体" w:hAnsi="宋体" w:eastAsia="宋体" w:cs="Times New Roman"/>
                <w:color w:val="auto"/>
                <w:szCs w:val="21"/>
                <w:highlight w:val="none"/>
              </w:rPr>
            </w:pPr>
          </w:p>
        </w:tc>
        <w:tc>
          <w:tcPr>
            <w:tcW w:w="896" w:type="pct"/>
          </w:tcPr>
          <w:p w14:paraId="1F0B798A">
            <w:pPr>
              <w:rPr>
                <w:rFonts w:hint="eastAsia" w:ascii="宋体" w:hAnsi="宋体" w:eastAsia="宋体" w:cs="Times New Roman"/>
                <w:color w:val="auto"/>
                <w:szCs w:val="21"/>
                <w:highlight w:val="none"/>
              </w:rPr>
            </w:pPr>
          </w:p>
        </w:tc>
        <w:tc>
          <w:tcPr>
            <w:tcW w:w="712" w:type="pct"/>
          </w:tcPr>
          <w:p w14:paraId="0BE12C07">
            <w:pPr>
              <w:rPr>
                <w:rFonts w:hint="eastAsia" w:ascii="宋体" w:hAnsi="宋体" w:eastAsia="宋体" w:cs="Times New Roman"/>
                <w:color w:val="auto"/>
                <w:szCs w:val="21"/>
                <w:highlight w:val="none"/>
              </w:rPr>
            </w:pPr>
          </w:p>
        </w:tc>
        <w:tc>
          <w:tcPr>
            <w:tcW w:w="712" w:type="pct"/>
          </w:tcPr>
          <w:p w14:paraId="29E46BE7">
            <w:pPr>
              <w:rPr>
                <w:rFonts w:hint="eastAsia" w:ascii="宋体" w:hAnsi="宋体" w:eastAsia="宋体" w:cs="Times New Roman"/>
                <w:color w:val="auto"/>
                <w:szCs w:val="21"/>
                <w:highlight w:val="none"/>
              </w:rPr>
            </w:pPr>
          </w:p>
        </w:tc>
        <w:tc>
          <w:tcPr>
            <w:tcW w:w="712" w:type="pct"/>
          </w:tcPr>
          <w:p w14:paraId="4C4DBC7C">
            <w:pPr>
              <w:rPr>
                <w:rFonts w:hint="eastAsia" w:ascii="宋体" w:hAnsi="宋体" w:eastAsia="宋体" w:cs="Times New Roman"/>
                <w:color w:val="auto"/>
                <w:szCs w:val="21"/>
                <w:highlight w:val="none"/>
              </w:rPr>
            </w:pPr>
          </w:p>
        </w:tc>
      </w:tr>
      <w:tr w14:paraId="6463C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E3CC58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70833241">
            <w:pPr>
              <w:rPr>
                <w:rFonts w:hint="eastAsia" w:ascii="宋体" w:hAnsi="宋体" w:eastAsia="宋体" w:cs="Times New Roman"/>
                <w:color w:val="auto"/>
                <w:szCs w:val="21"/>
                <w:highlight w:val="none"/>
              </w:rPr>
            </w:pPr>
          </w:p>
        </w:tc>
        <w:tc>
          <w:tcPr>
            <w:tcW w:w="850" w:type="pct"/>
          </w:tcPr>
          <w:p w14:paraId="03C5EA26">
            <w:pPr>
              <w:rPr>
                <w:rFonts w:hint="eastAsia" w:ascii="宋体" w:hAnsi="宋体" w:eastAsia="宋体" w:cs="Times New Roman"/>
                <w:color w:val="auto"/>
                <w:szCs w:val="21"/>
                <w:highlight w:val="none"/>
              </w:rPr>
            </w:pPr>
          </w:p>
        </w:tc>
        <w:tc>
          <w:tcPr>
            <w:tcW w:w="896" w:type="pct"/>
          </w:tcPr>
          <w:p w14:paraId="05E53B41">
            <w:pPr>
              <w:rPr>
                <w:rFonts w:hint="eastAsia" w:ascii="宋体" w:hAnsi="宋体" w:eastAsia="宋体" w:cs="Times New Roman"/>
                <w:color w:val="auto"/>
                <w:szCs w:val="21"/>
                <w:highlight w:val="none"/>
              </w:rPr>
            </w:pPr>
          </w:p>
        </w:tc>
        <w:tc>
          <w:tcPr>
            <w:tcW w:w="712" w:type="pct"/>
          </w:tcPr>
          <w:p w14:paraId="7DD64911">
            <w:pPr>
              <w:rPr>
                <w:rFonts w:hint="eastAsia" w:ascii="宋体" w:hAnsi="宋体" w:eastAsia="宋体" w:cs="Times New Roman"/>
                <w:color w:val="auto"/>
                <w:szCs w:val="21"/>
                <w:highlight w:val="none"/>
              </w:rPr>
            </w:pPr>
          </w:p>
        </w:tc>
        <w:tc>
          <w:tcPr>
            <w:tcW w:w="712" w:type="pct"/>
          </w:tcPr>
          <w:p w14:paraId="55AC0386">
            <w:pPr>
              <w:rPr>
                <w:rFonts w:hint="eastAsia" w:ascii="宋体" w:hAnsi="宋体" w:eastAsia="宋体" w:cs="Times New Roman"/>
                <w:color w:val="auto"/>
                <w:szCs w:val="21"/>
                <w:highlight w:val="none"/>
              </w:rPr>
            </w:pPr>
          </w:p>
        </w:tc>
        <w:tc>
          <w:tcPr>
            <w:tcW w:w="712" w:type="pct"/>
          </w:tcPr>
          <w:p w14:paraId="3372E818">
            <w:pPr>
              <w:rPr>
                <w:rFonts w:hint="eastAsia" w:ascii="宋体" w:hAnsi="宋体" w:eastAsia="宋体" w:cs="Times New Roman"/>
                <w:color w:val="auto"/>
                <w:szCs w:val="21"/>
                <w:highlight w:val="none"/>
              </w:rPr>
            </w:pPr>
          </w:p>
        </w:tc>
      </w:tr>
      <w:tr w14:paraId="42CCC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439CF1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26109798">
            <w:pPr>
              <w:rPr>
                <w:rFonts w:hint="eastAsia" w:ascii="宋体" w:hAnsi="宋体" w:eastAsia="宋体" w:cs="Times New Roman"/>
                <w:color w:val="auto"/>
                <w:szCs w:val="21"/>
                <w:highlight w:val="none"/>
              </w:rPr>
            </w:pPr>
          </w:p>
        </w:tc>
        <w:tc>
          <w:tcPr>
            <w:tcW w:w="850" w:type="pct"/>
          </w:tcPr>
          <w:p w14:paraId="304A4B7B">
            <w:pPr>
              <w:rPr>
                <w:rFonts w:hint="eastAsia" w:ascii="宋体" w:hAnsi="宋体" w:eastAsia="宋体" w:cs="Times New Roman"/>
                <w:color w:val="auto"/>
                <w:szCs w:val="21"/>
                <w:highlight w:val="none"/>
              </w:rPr>
            </w:pPr>
          </w:p>
        </w:tc>
        <w:tc>
          <w:tcPr>
            <w:tcW w:w="896" w:type="pct"/>
          </w:tcPr>
          <w:p w14:paraId="1D560D0B">
            <w:pPr>
              <w:rPr>
                <w:rFonts w:hint="eastAsia" w:ascii="宋体" w:hAnsi="宋体" w:eastAsia="宋体" w:cs="Times New Roman"/>
                <w:color w:val="auto"/>
                <w:szCs w:val="21"/>
                <w:highlight w:val="none"/>
              </w:rPr>
            </w:pPr>
          </w:p>
        </w:tc>
        <w:tc>
          <w:tcPr>
            <w:tcW w:w="712" w:type="pct"/>
          </w:tcPr>
          <w:p w14:paraId="0AE154E5">
            <w:pPr>
              <w:rPr>
                <w:rFonts w:hint="eastAsia" w:ascii="宋体" w:hAnsi="宋体" w:eastAsia="宋体" w:cs="Times New Roman"/>
                <w:color w:val="auto"/>
                <w:szCs w:val="21"/>
                <w:highlight w:val="none"/>
              </w:rPr>
            </w:pPr>
          </w:p>
        </w:tc>
        <w:tc>
          <w:tcPr>
            <w:tcW w:w="712" w:type="pct"/>
          </w:tcPr>
          <w:p w14:paraId="0ABFD775">
            <w:pPr>
              <w:rPr>
                <w:rFonts w:hint="eastAsia" w:ascii="宋体" w:hAnsi="宋体" w:eastAsia="宋体" w:cs="Times New Roman"/>
                <w:color w:val="auto"/>
                <w:szCs w:val="21"/>
                <w:highlight w:val="none"/>
              </w:rPr>
            </w:pPr>
          </w:p>
        </w:tc>
        <w:tc>
          <w:tcPr>
            <w:tcW w:w="712" w:type="pct"/>
          </w:tcPr>
          <w:p w14:paraId="32CE9579">
            <w:pPr>
              <w:rPr>
                <w:rFonts w:hint="eastAsia" w:ascii="宋体" w:hAnsi="宋体" w:eastAsia="宋体" w:cs="Times New Roman"/>
                <w:color w:val="auto"/>
                <w:szCs w:val="21"/>
                <w:highlight w:val="none"/>
              </w:rPr>
            </w:pPr>
          </w:p>
        </w:tc>
      </w:tr>
      <w:tr w14:paraId="06A51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F19393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57ED67FF">
            <w:pPr>
              <w:rPr>
                <w:rFonts w:hint="eastAsia" w:ascii="宋体" w:hAnsi="宋体" w:eastAsia="宋体" w:cs="Times New Roman"/>
                <w:color w:val="auto"/>
                <w:szCs w:val="21"/>
                <w:highlight w:val="none"/>
              </w:rPr>
            </w:pPr>
          </w:p>
        </w:tc>
        <w:tc>
          <w:tcPr>
            <w:tcW w:w="850" w:type="pct"/>
          </w:tcPr>
          <w:p w14:paraId="66820E43">
            <w:pPr>
              <w:rPr>
                <w:rFonts w:hint="eastAsia" w:ascii="宋体" w:hAnsi="宋体" w:eastAsia="宋体" w:cs="Times New Roman"/>
                <w:color w:val="auto"/>
                <w:szCs w:val="21"/>
                <w:highlight w:val="none"/>
              </w:rPr>
            </w:pPr>
          </w:p>
        </w:tc>
        <w:tc>
          <w:tcPr>
            <w:tcW w:w="896" w:type="pct"/>
          </w:tcPr>
          <w:p w14:paraId="546B6F14">
            <w:pPr>
              <w:rPr>
                <w:rFonts w:hint="eastAsia" w:ascii="宋体" w:hAnsi="宋体" w:eastAsia="宋体" w:cs="Times New Roman"/>
                <w:color w:val="auto"/>
                <w:szCs w:val="21"/>
                <w:highlight w:val="none"/>
              </w:rPr>
            </w:pPr>
          </w:p>
        </w:tc>
        <w:tc>
          <w:tcPr>
            <w:tcW w:w="712" w:type="pct"/>
          </w:tcPr>
          <w:p w14:paraId="2C254EA0">
            <w:pPr>
              <w:rPr>
                <w:rFonts w:hint="eastAsia" w:ascii="宋体" w:hAnsi="宋体" w:eastAsia="宋体" w:cs="Times New Roman"/>
                <w:color w:val="auto"/>
                <w:szCs w:val="21"/>
                <w:highlight w:val="none"/>
              </w:rPr>
            </w:pPr>
          </w:p>
        </w:tc>
        <w:tc>
          <w:tcPr>
            <w:tcW w:w="712" w:type="pct"/>
          </w:tcPr>
          <w:p w14:paraId="13252EC8">
            <w:pPr>
              <w:rPr>
                <w:rFonts w:hint="eastAsia" w:ascii="宋体" w:hAnsi="宋体" w:eastAsia="宋体" w:cs="Times New Roman"/>
                <w:color w:val="auto"/>
                <w:szCs w:val="21"/>
                <w:highlight w:val="none"/>
              </w:rPr>
            </w:pPr>
          </w:p>
        </w:tc>
        <w:tc>
          <w:tcPr>
            <w:tcW w:w="712" w:type="pct"/>
          </w:tcPr>
          <w:p w14:paraId="170712CE">
            <w:pPr>
              <w:rPr>
                <w:rFonts w:hint="eastAsia" w:ascii="宋体" w:hAnsi="宋体" w:eastAsia="宋体" w:cs="Times New Roman"/>
                <w:color w:val="auto"/>
                <w:szCs w:val="21"/>
                <w:highlight w:val="none"/>
              </w:rPr>
            </w:pPr>
          </w:p>
        </w:tc>
      </w:tr>
      <w:tr w14:paraId="7BF6E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60BF5B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4608913E">
            <w:pPr>
              <w:rPr>
                <w:rFonts w:hint="eastAsia" w:ascii="宋体" w:hAnsi="宋体" w:eastAsia="宋体" w:cs="Times New Roman"/>
                <w:color w:val="auto"/>
                <w:szCs w:val="21"/>
                <w:highlight w:val="none"/>
              </w:rPr>
            </w:pPr>
          </w:p>
        </w:tc>
        <w:tc>
          <w:tcPr>
            <w:tcW w:w="850" w:type="pct"/>
          </w:tcPr>
          <w:p w14:paraId="09F0E5C1">
            <w:pPr>
              <w:rPr>
                <w:rFonts w:hint="eastAsia" w:ascii="宋体" w:hAnsi="宋体" w:eastAsia="宋体" w:cs="Times New Roman"/>
                <w:color w:val="auto"/>
                <w:szCs w:val="21"/>
                <w:highlight w:val="none"/>
              </w:rPr>
            </w:pPr>
          </w:p>
        </w:tc>
        <w:tc>
          <w:tcPr>
            <w:tcW w:w="896" w:type="pct"/>
          </w:tcPr>
          <w:p w14:paraId="34AF7B99">
            <w:pPr>
              <w:rPr>
                <w:rFonts w:hint="eastAsia" w:ascii="宋体" w:hAnsi="宋体" w:eastAsia="宋体" w:cs="Times New Roman"/>
                <w:color w:val="auto"/>
                <w:szCs w:val="21"/>
                <w:highlight w:val="none"/>
              </w:rPr>
            </w:pPr>
          </w:p>
        </w:tc>
        <w:tc>
          <w:tcPr>
            <w:tcW w:w="712" w:type="pct"/>
          </w:tcPr>
          <w:p w14:paraId="26E289CE">
            <w:pPr>
              <w:rPr>
                <w:rFonts w:hint="eastAsia" w:ascii="宋体" w:hAnsi="宋体" w:eastAsia="宋体" w:cs="Times New Roman"/>
                <w:color w:val="auto"/>
                <w:szCs w:val="21"/>
                <w:highlight w:val="none"/>
              </w:rPr>
            </w:pPr>
          </w:p>
        </w:tc>
        <w:tc>
          <w:tcPr>
            <w:tcW w:w="712" w:type="pct"/>
          </w:tcPr>
          <w:p w14:paraId="796915A4">
            <w:pPr>
              <w:rPr>
                <w:rFonts w:hint="eastAsia" w:ascii="宋体" w:hAnsi="宋体" w:eastAsia="宋体" w:cs="Times New Roman"/>
                <w:color w:val="auto"/>
                <w:szCs w:val="21"/>
                <w:highlight w:val="none"/>
              </w:rPr>
            </w:pPr>
          </w:p>
        </w:tc>
        <w:tc>
          <w:tcPr>
            <w:tcW w:w="712" w:type="pct"/>
          </w:tcPr>
          <w:p w14:paraId="4D71A58F">
            <w:pPr>
              <w:rPr>
                <w:rFonts w:hint="eastAsia" w:ascii="宋体" w:hAnsi="宋体" w:eastAsia="宋体" w:cs="Times New Roman"/>
                <w:color w:val="auto"/>
                <w:szCs w:val="21"/>
                <w:highlight w:val="none"/>
              </w:rPr>
            </w:pPr>
          </w:p>
        </w:tc>
      </w:tr>
      <w:tr w14:paraId="1F44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403658F">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28C6F40E">
            <w:pPr>
              <w:rPr>
                <w:rFonts w:hint="eastAsia" w:ascii="宋体" w:hAnsi="宋体" w:eastAsia="宋体" w:cs="Times New Roman"/>
                <w:color w:val="auto"/>
                <w:szCs w:val="21"/>
                <w:highlight w:val="none"/>
              </w:rPr>
            </w:pPr>
          </w:p>
        </w:tc>
        <w:tc>
          <w:tcPr>
            <w:tcW w:w="850" w:type="pct"/>
          </w:tcPr>
          <w:p w14:paraId="4C6ED304">
            <w:pPr>
              <w:rPr>
                <w:rFonts w:hint="eastAsia" w:ascii="宋体" w:hAnsi="宋体" w:eastAsia="宋体" w:cs="Times New Roman"/>
                <w:color w:val="auto"/>
                <w:szCs w:val="21"/>
                <w:highlight w:val="none"/>
              </w:rPr>
            </w:pPr>
          </w:p>
        </w:tc>
        <w:tc>
          <w:tcPr>
            <w:tcW w:w="896" w:type="pct"/>
          </w:tcPr>
          <w:p w14:paraId="21DC3C05">
            <w:pPr>
              <w:rPr>
                <w:rFonts w:hint="eastAsia" w:ascii="宋体" w:hAnsi="宋体" w:eastAsia="宋体" w:cs="Times New Roman"/>
                <w:color w:val="auto"/>
                <w:szCs w:val="21"/>
                <w:highlight w:val="none"/>
              </w:rPr>
            </w:pPr>
          </w:p>
        </w:tc>
        <w:tc>
          <w:tcPr>
            <w:tcW w:w="712" w:type="pct"/>
          </w:tcPr>
          <w:p w14:paraId="2771E48A">
            <w:pPr>
              <w:rPr>
                <w:rFonts w:hint="eastAsia" w:ascii="宋体" w:hAnsi="宋体" w:eastAsia="宋体" w:cs="Times New Roman"/>
                <w:color w:val="auto"/>
                <w:szCs w:val="21"/>
                <w:highlight w:val="none"/>
              </w:rPr>
            </w:pPr>
          </w:p>
        </w:tc>
        <w:tc>
          <w:tcPr>
            <w:tcW w:w="712" w:type="pct"/>
          </w:tcPr>
          <w:p w14:paraId="02375505">
            <w:pPr>
              <w:rPr>
                <w:rFonts w:hint="eastAsia" w:ascii="宋体" w:hAnsi="宋体" w:eastAsia="宋体" w:cs="Times New Roman"/>
                <w:color w:val="auto"/>
                <w:szCs w:val="21"/>
                <w:highlight w:val="none"/>
              </w:rPr>
            </w:pPr>
          </w:p>
        </w:tc>
        <w:tc>
          <w:tcPr>
            <w:tcW w:w="712" w:type="pct"/>
          </w:tcPr>
          <w:p w14:paraId="29880C4A">
            <w:pPr>
              <w:rPr>
                <w:rFonts w:hint="eastAsia" w:ascii="宋体" w:hAnsi="宋体" w:eastAsia="宋体" w:cs="Times New Roman"/>
                <w:color w:val="auto"/>
                <w:szCs w:val="21"/>
                <w:highlight w:val="none"/>
              </w:rPr>
            </w:pPr>
          </w:p>
        </w:tc>
      </w:tr>
      <w:tr w14:paraId="67B0C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EEF80B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6DE1458D">
            <w:pPr>
              <w:rPr>
                <w:rFonts w:hint="eastAsia" w:ascii="宋体" w:hAnsi="宋体" w:eastAsia="宋体" w:cs="Times New Roman"/>
                <w:color w:val="auto"/>
                <w:szCs w:val="21"/>
                <w:highlight w:val="none"/>
              </w:rPr>
            </w:pPr>
          </w:p>
        </w:tc>
        <w:tc>
          <w:tcPr>
            <w:tcW w:w="850" w:type="pct"/>
          </w:tcPr>
          <w:p w14:paraId="4DC3035D">
            <w:pPr>
              <w:rPr>
                <w:rFonts w:hint="eastAsia" w:ascii="宋体" w:hAnsi="宋体" w:eastAsia="宋体" w:cs="Times New Roman"/>
                <w:color w:val="auto"/>
                <w:szCs w:val="21"/>
                <w:highlight w:val="none"/>
              </w:rPr>
            </w:pPr>
          </w:p>
        </w:tc>
        <w:tc>
          <w:tcPr>
            <w:tcW w:w="896" w:type="pct"/>
          </w:tcPr>
          <w:p w14:paraId="70FD9499">
            <w:pPr>
              <w:rPr>
                <w:rFonts w:hint="eastAsia" w:ascii="宋体" w:hAnsi="宋体" w:eastAsia="宋体" w:cs="Times New Roman"/>
                <w:color w:val="auto"/>
                <w:szCs w:val="21"/>
                <w:highlight w:val="none"/>
              </w:rPr>
            </w:pPr>
          </w:p>
        </w:tc>
        <w:tc>
          <w:tcPr>
            <w:tcW w:w="712" w:type="pct"/>
          </w:tcPr>
          <w:p w14:paraId="1F43320A">
            <w:pPr>
              <w:rPr>
                <w:rFonts w:hint="eastAsia" w:ascii="宋体" w:hAnsi="宋体" w:eastAsia="宋体" w:cs="Times New Roman"/>
                <w:color w:val="auto"/>
                <w:szCs w:val="21"/>
                <w:highlight w:val="none"/>
              </w:rPr>
            </w:pPr>
          </w:p>
        </w:tc>
        <w:tc>
          <w:tcPr>
            <w:tcW w:w="712" w:type="pct"/>
          </w:tcPr>
          <w:p w14:paraId="49FA70B0">
            <w:pPr>
              <w:rPr>
                <w:rFonts w:hint="eastAsia" w:ascii="宋体" w:hAnsi="宋体" w:eastAsia="宋体" w:cs="Times New Roman"/>
                <w:color w:val="auto"/>
                <w:szCs w:val="21"/>
                <w:highlight w:val="none"/>
              </w:rPr>
            </w:pPr>
          </w:p>
        </w:tc>
        <w:tc>
          <w:tcPr>
            <w:tcW w:w="712" w:type="pct"/>
          </w:tcPr>
          <w:p w14:paraId="123646F4">
            <w:pPr>
              <w:rPr>
                <w:rFonts w:hint="eastAsia" w:ascii="宋体" w:hAnsi="宋体" w:eastAsia="宋体" w:cs="Times New Roman"/>
                <w:color w:val="auto"/>
                <w:szCs w:val="21"/>
                <w:highlight w:val="none"/>
              </w:rPr>
            </w:pPr>
          </w:p>
        </w:tc>
      </w:tr>
      <w:tr w14:paraId="0C74D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6D4B11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678B03C5">
            <w:pPr>
              <w:rPr>
                <w:rFonts w:hint="eastAsia" w:ascii="宋体" w:hAnsi="宋体" w:eastAsia="宋体" w:cs="Times New Roman"/>
                <w:color w:val="auto"/>
                <w:szCs w:val="21"/>
                <w:highlight w:val="none"/>
              </w:rPr>
            </w:pPr>
          </w:p>
        </w:tc>
        <w:tc>
          <w:tcPr>
            <w:tcW w:w="850" w:type="pct"/>
          </w:tcPr>
          <w:p w14:paraId="520505B1">
            <w:pPr>
              <w:rPr>
                <w:rFonts w:hint="eastAsia" w:ascii="宋体" w:hAnsi="宋体" w:eastAsia="宋体" w:cs="Times New Roman"/>
                <w:color w:val="auto"/>
                <w:szCs w:val="21"/>
                <w:highlight w:val="none"/>
              </w:rPr>
            </w:pPr>
          </w:p>
        </w:tc>
        <w:tc>
          <w:tcPr>
            <w:tcW w:w="896" w:type="pct"/>
          </w:tcPr>
          <w:p w14:paraId="07CAFF4E">
            <w:pPr>
              <w:rPr>
                <w:rFonts w:hint="eastAsia" w:ascii="宋体" w:hAnsi="宋体" w:eastAsia="宋体" w:cs="Times New Roman"/>
                <w:color w:val="auto"/>
                <w:szCs w:val="21"/>
                <w:highlight w:val="none"/>
              </w:rPr>
            </w:pPr>
          </w:p>
        </w:tc>
        <w:tc>
          <w:tcPr>
            <w:tcW w:w="712" w:type="pct"/>
          </w:tcPr>
          <w:p w14:paraId="6408D3C7">
            <w:pPr>
              <w:rPr>
                <w:rFonts w:hint="eastAsia" w:ascii="宋体" w:hAnsi="宋体" w:eastAsia="宋体" w:cs="Times New Roman"/>
                <w:color w:val="auto"/>
                <w:szCs w:val="21"/>
                <w:highlight w:val="none"/>
              </w:rPr>
            </w:pPr>
          </w:p>
        </w:tc>
        <w:tc>
          <w:tcPr>
            <w:tcW w:w="712" w:type="pct"/>
          </w:tcPr>
          <w:p w14:paraId="6E7666C7">
            <w:pPr>
              <w:rPr>
                <w:rFonts w:hint="eastAsia" w:ascii="宋体" w:hAnsi="宋体" w:eastAsia="宋体" w:cs="Times New Roman"/>
                <w:color w:val="auto"/>
                <w:szCs w:val="21"/>
                <w:highlight w:val="none"/>
              </w:rPr>
            </w:pPr>
          </w:p>
        </w:tc>
        <w:tc>
          <w:tcPr>
            <w:tcW w:w="712" w:type="pct"/>
          </w:tcPr>
          <w:p w14:paraId="090BB4ED">
            <w:pPr>
              <w:rPr>
                <w:rFonts w:hint="eastAsia" w:ascii="宋体" w:hAnsi="宋体" w:eastAsia="宋体" w:cs="Times New Roman"/>
                <w:color w:val="auto"/>
                <w:szCs w:val="21"/>
                <w:highlight w:val="none"/>
              </w:rPr>
            </w:pPr>
          </w:p>
        </w:tc>
      </w:tr>
      <w:tr w14:paraId="352E0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225110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31147C9">
            <w:pPr>
              <w:rPr>
                <w:rFonts w:hint="eastAsia" w:ascii="宋体" w:hAnsi="宋体" w:eastAsia="宋体" w:cs="Times New Roman"/>
                <w:color w:val="auto"/>
                <w:szCs w:val="21"/>
                <w:highlight w:val="none"/>
              </w:rPr>
            </w:pPr>
          </w:p>
        </w:tc>
        <w:tc>
          <w:tcPr>
            <w:tcW w:w="850" w:type="pct"/>
          </w:tcPr>
          <w:p w14:paraId="34A27672">
            <w:pPr>
              <w:rPr>
                <w:rFonts w:hint="eastAsia" w:ascii="宋体" w:hAnsi="宋体" w:eastAsia="宋体" w:cs="Times New Roman"/>
                <w:color w:val="auto"/>
                <w:szCs w:val="21"/>
                <w:highlight w:val="none"/>
              </w:rPr>
            </w:pPr>
          </w:p>
        </w:tc>
        <w:tc>
          <w:tcPr>
            <w:tcW w:w="896" w:type="pct"/>
          </w:tcPr>
          <w:p w14:paraId="3F332504">
            <w:pPr>
              <w:rPr>
                <w:rFonts w:hint="eastAsia" w:ascii="宋体" w:hAnsi="宋体" w:eastAsia="宋体" w:cs="Times New Roman"/>
                <w:color w:val="auto"/>
                <w:szCs w:val="21"/>
                <w:highlight w:val="none"/>
              </w:rPr>
            </w:pPr>
          </w:p>
        </w:tc>
        <w:tc>
          <w:tcPr>
            <w:tcW w:w="712" w:type="pct"/>
          </w:tcPr>
          <w:p w14:paraId="65670DD1">
            <w:pPr>
              <w:rPr>
                <w:rFonts w:hint="eastAsia" w:ascii="宋体" w:hAnsi="宋体" w:eastAsia="宋体" w:cs="Times New Roman"/>
                <w:color w:val="auto"/>
                <w:szCs w:val="21"/>
                <w:highlight w:val="none"/>
              </w:rPr>
            </w:pPr>
          </w:p>
        </w:tc>
        <w:tc>
          <w:tcPr>
            <w:tcW w:w="712" w:type="pct"/>
          </w:tcPr>
          <w:p w14:paraId="3DEB9C13">
            <w:pPr>
              <w:rPr>
                <w:rFonts w:hint="eastAsia" w:ascii="宋体" w:hAnsi="宋体" w:eastAsia="宋体" w:cs="Times New Roman"/>
                <w:color w:val="auto"/>
                <w:szCs w:val="21"/>
                <w:highlight w:val="none"/>
              </w:rPr>
            </w:pPr>
          </w:p>
        </w:tc>
        <w:tc>
          <w:tcPr>
            <w:tcW w:w="712" w:type="pct"/>
          </w:tcPr>
          <w:p w14:paraId="74E48CFC">
            <w:pPr>
              <w:rPr>
                <w:rFonts w:hint="eastAsia" w:ascii="宋体" w:hAnsi="宋体" w:eastAsia="宋体" w:cs="Times New Roman"/>
                <w:color w:val="auto"/>
                <w:szCs w:val="21"/>
                <w:highlight w:val="none"/>
              </w:rPr>
            </w:pPr>
          </w:p>
        </w:tc>
      </w:tr>
      <w:tr w14:paraId="0E8FE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05DFCF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0EE94361">
            <w:pPr>
              <w:rPr>
                <w:rFonts w:hint="eastAsia" w:ascii="宋体" w:hAnsi="宋体" w:eastAsia="宋体" w:cs="Times New Roman"/>
                <w:color w:val="auto"/>
                <w:szCs w:val="21"/>
                <w:highlight w:val="none"/>
              </w:rPr>
            </w:pPr>
          </w:p>
        </w:tc>
        <w:tc>
          <w:tcPr>
            <w:tcW w:w="850" w:type="pct"/>
          </w:tcPr>
          <w:p w14:paraId="302FDDBA">
            <w:pPr>
              <w:rPr>
                <w:rFonts w:hint="eastAsia" w:ascii="宋体" w:hAnsi="宋体" w:eastAsia="宋体" w:cs="Times New Roman"/>
                <w:color w:val="auto"/>
                <w:szCs w:val="21"/>
                <w:highlight w:val="none"/>
              </w:rPr>
            </w:pPr>
          </w:p>
        </w:tc>
        <w:tc>
          <w:tcPr>
            <w:tcW w:w="896" w:type="pct"/>
          </w:tcPr>
          <w:p w14:paraId="0512F819">
            <w:pPr>
              <w:rPr>
                <w:rFonts w:hint="eastAsia" w:ascii="宋体" w:hAnsi="宋体" w:eastAsia="宋体" w:cs="Times New Roman"/>
                <w:color w:val="auto"/>
                <w:szCs w:val="21"/>
                <w:highlight w:val="none"/>
              </w:rPr>
            </w:pPr>
          </w:p>
        </w:tc>
        <w:tc>
          <w:tcPr>
            <w:tcW w:w="712" w:type="pct"/>
          </w:tcPr>
          <w:p w14:paraId="0E4069FA">
            <w:pPr>
              <w:rPr>
                <w:rFonts w:hint="eastAsia" w:ascii="宋体" w:hAnsi="宋体" w:eastAsia="宋体" w:cs="Times New Roman"/>
                <w:color w:val="auto"/>
                <w:szCs w:val="21"/>
                <w:highlight w:val="none"/>
              </w:rPr>
            </w:pPr>
          </w:p>
        </w:tc>
        <w:tc>
          <w:tcPr>
            <w:tcW w:w="712" w:type="pct"/>
          </w:tcPr>
          <w:p w14:paraId="66375A38">
            <w:pPr>
              <w:rPr>
                <w:rFonts w:hint="eastAsia" w:ascii="宋体" w:hAnsi="宋体" w:eastAsia="宋体" w:cs="Times New Roman"/>
                <w:color w:val="auto"/>
                <w:szCs w:val="21"/>
                <w:highlight w:val="none"/>
              </w:rPr>
            </w:pPr>
          </w:p>
        </w:tc>
        <w:tc>
          <w:tcPr>
            <w:tcW w:w="712" w:type="pct"/>
          </w:tcPr>
          <w:p w14:paraId="51911387">
            <w:pPr>
              <w:rPr>
                <w:rFonts w:hint="eastAsia" w:ascii="宋体" w:hAnsi="宋体" w:eastAsia="宋体" w:cs="Times New Roman"/>
                <w:color w:val="auto"/>
                <w:szCs w:val="21"/>
                <w:highlight w:val="none"/>
              </w:rPr>
            </w:pPr>
          </w:p>
        </w:tc>
      </w:tr>
    </w:tbl>
    <w:p w14:paraId="184EC3C7">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0F0569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47A8B70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2A723A6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171B1CD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0E4D551E">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2FC6C589">
      <w:pPr>
        <w:widowControl/>
        <w:spacing w:before="435" w:beforeLines="1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E48865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F21F6C2">
      <w:pPr>
        <w:pageBreakBefore/>
        <w:rPr>
          <w:rFonts w:ascii="Calibri" w:hAnsi="Calibri" w:eastAsia="宋体" w:cs="Times New Roman"/>
          <w:color w:val="auto"/>
          <w:kern w:val="0"/>
          <w:sz w:val="20"/>
          <w:szCs w:val="20"/>
          <w:highlight w:val="none"/>
          <w:lang w:eastAsia="zh-Hans"/>
        </w:rPr>
      </w:pPr>
      <w:bookmarkStart w:id="55" w:name="_Toc16979980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十八</w:t>
      </w:r>
      <w:r>
        <w:rPr>
          <w:rFonts w:ascii="宋体" w:hAnsi="宋体" w:eastAsia="宋体"/>
          <w:b/>
          <w:bCs/>
          <w:color w:val="auto"/>
          <w:sz w:val="24"/>
          <w:szCs w:val="28"/>
          <w:highlight w:val="none"/>
        </w:rPr>
        <w:t>：</w:t>
      </w:r>
      <w:bookmarkEnd w:id="55"/>
    </w:p>
    <w:p w14:paraId="6A96183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63DFF86B">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7662BC9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0F1252C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4BAEFE1F">
      <w:pPr>
        <w:widowControl/>
        <w:jc w:val="left"/>
        <w:rPr>
          <w:rFonts w:ascii="Calibri" w:hAnsi="Calibri" w:eastAsia="宋体" w:cs="Times New Roman"/>
          <w:color w:val="auto"/>
          <w:kern w:val="0"/>
          <w:sz w:val="20"/>
          <w:szCs w:val="20"/>
          <w:highlight w:val="none"/>
          <w:lang w:eastAsia="zh-Hans"/>
        </w:rPr>
      </w:pPr>
    </w:p>
    <w:p w14:paraId="651D1A8F">
      <w:pPr>
        <w:pageBreakBefore/>
        <w:rPr>
          <w:rFonts w:ascii="Calibri" w:hAnsi="Calibri" w:eastAsia="宋体" w:cs="Times New Roman"/>
          <w:color w:val="auto"/>
          <w:kern w:val="0"/>
          <w:sz w:val="20"/>
          <w:szCs w:val="20"/>
          <w:highlight w:val="none"/>
          <w:lang w:eastAsia="zh-Hans"/>
        </w:rPr>
      </w:pPr>
      <w:bookmarkStart w:id="56" w:name="_Toc16979980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十九</w:t>
      </w:r>
      <w:r>
        <w:rPr>
          <w:rFonts w:ascii="宋体" w:hAnsi="宋体" w:eastAsia="宋体"/>
          <w:b/>
          <w:bCs/>
          <w:color w:val="auto"/>
          <w:sz w:val="24"/>
          <w:szCs w:val="28"/>
          <w:highlight w:val="none"/>
        </w:rPr>
        <w:t>：</w:t>
      </w:r>
      <w:bookmarkEnd w:id="56"/>
    </w:p>
    <w:p w14:paraId="03742FE5">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2EBE24E5">
      <w:pPr>
        <w:widowControl/>
        <w:spacing w:before="217" w:beforeLines="50" w:after="217" w:afterLines="5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5E03AFAB">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280F73A6">
      <w:pPr>
        <w:widowControl/>
        <w:spacing w:before="217" w:beforeLines="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AD981F7">
      <w:pPr>
        <w:widowControl/>
        <w:spacing w:before="1087" w:beforeLines="250"/>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581A7198">
      <w:pPr>
        <w:widowControl/>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4E5547E3">
      <w:pPr>
        <w:widowControl/>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08DB483B">
      <w:pPr>
        <w:widowControl/>
        <w:ind w:firstLine="3542" w:firstLineChars="1687"/>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661A52F6">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21ADC50A">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7877F085">
      <w:pPr>
        <w:pageBreakBefore/>
        <w:rPr>
          <w:rFonts w:ascii="Calibri" w:hAnsi="Calibri" w:eastAsia="宋体" w:cs="Times New Roman"/>
          <w:color w:val="auto"/>
          <w:kern w:val="0"/>
          <w:sz w:val="20"/>
          <w:szCs w:val="20"/>
          <w:highlight w:val="none"/>
          <w:lang w:eastAsia="zh-Hans"/>
        </w:rPr>
      </w:pPr>
      <w:bookmarkStart w:id="57" w:name="_Toc169799804"/>
      <w:r>
        <w:rPr>
          <w:rFonts w:ascii="宋体" w:hAnsi="宋体" w:eastAsia="宋体"/>
          <w:b/>
          <w:bCs/>
          <w:color w:val="auto"/>
          <w:sz w:val="24"/>
          <w:szCs w:val="28"/>
          <w:highlight w:val="none"/>
        </w:rPr>
        <w:t>格式二十：</w:t>
      </w:r>
      <w:bookmarkEnd w:id="57"/>
    </w:p>
    <w:p w14:paraId="5083489A">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524F2BB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34BDED3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6AAF2FE3">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E9A3F85">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14AB07D4">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153D3A49">
      <w:pPr>
        <w:widowControl/>
        <w:tabs>
          <w:tab w:val="center" w:pos="5019"/>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2B17A53C">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6CFD8655">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23C3C7C2">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39E96F7A">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3B0A864B">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p>
    <w:p w14:paraId="5A8543F4">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4448D370">
      <w:pPr>
        <w:widowControl/>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询问人：（公章）</w:t>
      </w:r>
    </w:p>
    <w:p w14:paraId="10D3414B">
      <w:pPr>
        <w:widowControl/>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法定代表人（授权代表）：</w:t>
      </w:r>
    </w:p>
    <w:p w14:paraId="78198311">
      <w:pPr>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6A9930C1">
      <w:pPr>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2E624079">
      <w:pPr>
        <w:adjustRightInd w:val="0"/>
        <w:spacing w:before="435" w:beforeLines="100" w:line="360" w:lineRule="auto"/>
        <w:jc w:val="right"/>
        <w:rPr>
          <w:rFonts w:hint="eastAsia"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D8089D8">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1F6DB39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593D17D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4FE280F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F45BAD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20613280">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63B9069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4F2BDFE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17D641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7DE4D14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45EE3AF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68B7065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75D055A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759E8FB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0F1BFCD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0B72095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3DB502A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37E3D06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5A96ED7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768DA6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2BCB655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6C1B15AD">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0FE84323">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1273C9ED">
      <w:pPr>
        <w:widowControl/>
        <w:spacing w:before="217" w:beforeLines="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049480B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0ABA580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E6A7E5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558CE4D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2F9FE48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4DA6EC30">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34536827">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1DAA9D14">
      <w:pPr>
        <w:widowControl/>
        <w:jc w:val="left"/>
        <w:rPr>
          <w:rFonts w:hint="eastAsia" w:ascii="宋体" w:hAnsi="宋体" w:eastAsia="宋体" w:cs="Times New Roman"/>
          <w:color w:val="auto"/>
          <w:kern w:val="0"/>
          <w:szCs w:val="21"/>
          <w:highlight w:val="none"/>
          <w:lang w:eastAsia="zh-Hans"/>
        </w:rPr>
      </w:pPr>
      <w:bookmarkStart w:id="58" w:name="_Hlk170136144"/>
      <w:r>
        <w:rPr>
          <w:rFonts w:ascii="宋体" w:hAnsi="宋体" w:eastAsia="宋体" w:cs="Times New Roman"/>
          <w:color w:val="auto"/>
          <w:kern w:val="0"/>
          <w:szCs w:val="21"/>
          <w:highlight w:val="none"/>
          <w:lang w:eastAsia="zh-Hans"/>
        </w:rPr>
        <w:t>一、投诉相关主体基本情况</w:t>
      </w:r>
    </w:p>
    <w:p w14:paraId="64EC2C97">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25729265">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1825A25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354818A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544C4E4">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B28C32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3FD7FC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7261F9E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1775A6D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7EFFCDD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64A0504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7AA1914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159C47C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C20A77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3DBCD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11CE0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51F233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1ADB246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5BDB75C3">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60DF1F5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0AEE138C">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3BFA77D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567A0AC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25955DB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23536D6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BE4825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1D607B3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1974391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126278C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740992A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4918A33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C406D9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4942706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18DDE9D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3AAF94F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7D3621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6B64BD6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98FE1A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53A559B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193D5FD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3FC4AA1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1A5A2E3F">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8"/>
    <w:p w14:paraId="772D1377">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74CF52C0">
      <w:pPr>
        <w:widowControl/>
        <w:jc w:val="left"/>
        <w:rPr>
          <w:rFonts w:ascii="Calibri" w:hAnsi="Calibri" w:eastAsia="宋体" w:cs="Times New Roman"/>
          <w:color w:val="auto"/>
          <w:kern w:val="0"/>
          <w:sz w:val="20"/>
          <w:szCs w:val="20"/>
          <w:highlight w:val="none"/>
          <w:lang w:eastAsia="zh-Hans"/>
        </w:rPr>
      </w:pPr>
    </w:p>
    <w:p w14:paraId="427AA23D">
      <w:pPr>
        <w:widowControl/>
        <w:jc w:val="left"/>
        <w:rPr>
          <w:rFonts w:ascii="Calibri" w:hAnsi="Calibri" w:eastAsia="宋体" w:cs="Times New Roman"/>
          <w:color w:val="auto"/>
          <w:kern w:val="0"/>
          <w:sz w:val="20"/>
          <w:szCs w:val="20"/>
          <w:highlight w:val="none"/>
          <w:lang w:eastAsia="zh-Hans"/>
        </w:rPr>
      </w:pPr>
    </w:p>
    <w:p w14:paraId="57A5B5D8">
      <w:pPr>
        <w:pageBreakBefore/>
        <w:rPr>
          <w:rFonts w:ascii="Calibri" w:hAnsi="Calibri" w:eastAsia="宋体" w:cs="Times New Roman"/>
          <w:color w:val="auto"/>
          <w:kern w:val="0"/>
          <w:sz w:val="20"/>
          <w:szCs w:val="20"/>
          <w:highlight w:val="none"/>
          <w:lang w:eastAsia="zh-Hans"/>
        </w:rPr>
      </w:pPr>
      <w:bookmarkStart w:id="59"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val="en-US" w:eastAsia="zh-CN"/>
        </w:rPr>
        <w:t>一</w:t>
      </w:r>
      <w:r>
        <w:rPr>
          <w:rFonts w:ascii="宋体" w:hAnsi="宋体" w:eastAsia="宋体"/>
          <w:b/>
          <w:bCs/>
          <w:color w:val="auto"/>
          <w:sz w:val="24"/>
          <w:szCs w:val="28"/>
          <w:highlight w:val="none"/>
        </w:rPr>
        <w:t>：</w:t>
      </w:r>
      <w:bookmarkEnd w:id="59"/>
    </w:p>
    <w:p w14:paraId="7E323DF6">
      <w:pPr>
        <w:widowControl/>
        <w:jc w:val="left"/>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（以下格式文件由供应商根据需要选用）</w:t>
      </w:r>
    </w:p>
    <w:p w14:paraId="6C9B37F7">
      <w:pPr>
        <w:pStyle w:val="20"/>
        <w:rPr>
          <w:rFonts w:hint="default" w:ascii="Calibri" w:hAnsi="Calibri" w:eastAsia="宋体" w:cs="Times New Roman"/>
          <w:color w:val="auto"/>
          <w:sz w:val="21"/>
          <w:szCs w:val="21"/>
          <w:highlight w:val="none"/>
        </w:rPr>
      </w:pPr>
      <w:r>
        <w:rPr>
          <w:rFonts w:ascii="Calibri" w:hAnsi="Calibri" w:eastAsia="宋体" w:cs="Times New Roman"/>
          <w:color w:val="auto"/>
          <w:sz w:val="21"/>
          <w:szCs w:val="21"/>
          <w:highlight w:val="none"/>
        </w:rPr>
        <w:t>项目实施方案、质量保证及售后服务承诺等内容和格式自拟。</w:t>
      </w:r>
    </w:p>
    <w:p w14:paraId="16D45E54">
      <w:pPr>
        <w:rPr>
          <w:rFonts w:hint="eastAsia"/>
          <w:color w:val="auto"/>
          <w:highlight w:val="none"/>
        </w:rPr>
      </w:pPr>
    </w:p>
    <w:p w14:paraId="0C8B4411">
      <w:pPr>
        <w:rPr>
          <w:rFonts w:ascii="Calibri" w:hAnsi="Calibri" w:eastAsia="宋体" w:cs="Times New Roman"/>
          <w:color w:val="auto"/>
          <w:kern w:val="0"/>
          <w:sz w:val="20"/>
          <w:szCs w:val="20"/>
          <w:highlight w:val="none"/>
          <w:lang w:eastAsia="zh-Hans"/>
        </w:rPr>
      </w:pPr>
    </w:p>
    <w:p w14:paraId="6B02ADFB">
      <w:pPr>
        <w:pageBreakBefore/>
        <w:rPr>
          <w:rFonts w:hint="eastAsia"/>
          <w:bCs/>
          <w:color w:val="auto"/>
          <w:highlight w:val="none"/>
        </w:rPr>
      </w:pPr>
      <w:r>
        <w:rPr>
          <w:rFonts w:hint="eastAsia" w:ascii="宋体" w:hAnsi="宋体" w:eastAsia="宋体"/>
          <w:b/>
          <w:bCs/>
          <w:color w:val="auto"/>
          <w:sz w:val="24"/>
          <w:szCs w:val="28"/>
          <w:highlight w:val="none"/>
        </w:rPr>
        <w:t>唱标信封格式</w:t>
      </w:r>
    </w:p>
    <w:p w14:paraId="4E776EF8">
      <w:pPr>
        <w:spacing w:before="652" w:beforeLines="150"/>
        <w:jc w:val="center"/>
        <w:rPr>
          <w:rFonts w:hint="eastAsia" w:ascii="宋体" w:hAnsi="宋体" w:eastAsia="宋体"/>
          <w:b/>
          <w:bCs/>
          <w:color w:val="auto"/>
          <w:sz w:val="60"/>
          <w:szCs w:val="60"/>
          <w:highlight w:val="none"/>
        </w:rPr>
      </w:pPr>
      <w:r>
        <w:rPr>
          <w:rFonts w:hint="eastAsia" w:ascii="宋体" w:hAnsi="宋体" w:eastAsia="宋体"/>
          <w:b/>
          <w:bCs/>
          <w:color w:val="auto"/>
          <w:sz w:val="60"/>
          <w:szCs w:val="60"/>
          <w:highlight w:val="none"/>
        </w:rPr>
        <w:t>2025年东莞航道所外场业务感知终端运维项目</w:t>
      </w:r>
    </w:p>
    <w:p w14:paraId="508105F4">
      <w:pPr>
        <w:spacing w:before="652" w:beforeLines="150"/>
        <w:jc w:val="center"/>
        <w:rPr>
          <w:rFonts w:hint="eastAsia"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62C338CE">
      <w:pPr>
        <w:jc w:val="center"/>
        <w:rPr>
          <w:rFonts w:hint="eastAsia" w:ascii="宋体" w:hAnsi="宋体" w:eastAsia="宋体"/>
          <w:b/>
          <w:bCs/>
          <w:color w:val="auto"/>
          <w:highlight w:val="none"/>
          <w:lang w:eastAsia="zh-CN"/>
        </w:rPr>
      </w:pPr>
    </w:p>
    <w:p w14:paraId="4CF68330">
      <w:pPr>
        <w:jc w:val="center"/>
        <w:rPr>
          <w:rFonts w:hint="eastAsia" w:ascii="宋体" w:hAnsi="宋体" w:eastAsia="宋体"/>
          <w:b/>
          <w:bCs/>
          <w:color w:val="auto"/>
          <w:highlight w:val="none"/>
          <w:lang w:eastAsia="zh-CN"/>
        </w:rPr>
      </w:pPr>
    </w:p>
    <w:p w14:paraId="32674356">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hint="eastAsia"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743EEE3B">
      <w:pPr>
        <w:widowControl/>
        <w:spacing w:line="360" w:lineRule="auto"/>
        <w:ind w:firstLine="1558" w:firstLineChars="485"/>
        <w:jc w:val="left"/>
        <w:outlineLvl w:val="3"/>
        <w:rPr>
          <w:rFonts w:hint="eastAsia"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18D602BD">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3C73E989">
      <w:pPr>
        <w:rPr>
          <w:rFonts w:hint="eastAsia" w:ascii="黑体" w:hAnsi="黑体" w:eastAsia="黑体"/>
          <w:bCs/>
          <w:color w:val="auto"/>
          <w:sz w:val="50"/>
          <w:szCs w:val="50"/>
          <w:highlight w:val="none"/>
        </w:rPr>
      </w:pPr>
      <w:r>
        <w:rPr>
          <w:rFonts w:hint="eastAsia" w:ascii="黑体" w:hAnsi="黑体" w:eastAsia="黑体"/>
          <w:bCs/>
          <w:color w:val="auto"/>
          <w:sz w:val="50"/>
          <w:szCs w:val="50"/>
          <w:highlight w:val="none"/>
        </w:rPr>
        <w:br w:type="page"/>
      </w:r>
    </w:p>
    <w:p w14:paraId="37B626D6">
      <w:pPr>
        <w:pStyle w:val="26"/>
        <w:numPr>
          <w:ilvl w:val="0"/>
          <w:numId w:val="134"/>
        </w:numPr>
        <w:spacing w:line="360" w:lineRule="auto"/>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6D750103">
      <w:pPr>
        <w:pStyle w:val="26"/>
        <w:numPr>
          <w:ilvl w:val="0"/>
          <w:numId w:val="134"/>
        </w:numPr>
        <w:spacing w:line="360" w:lineRule="auto"/>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分项报价表加盖投标人公章</w:t>
      </w:r>
      <w:r>
        <w:rPr>
          <w:rFonts w:hint="eastAsia" w:ascii="宋体" w:hAnsi="宋体" w:eastAsia="宋体"/>
          <w:bCs/>
          <w:color w:val="auto"/>
          <w:szCs w:val="21"/>
          <w:highlight w:val="none"/>
        </w:rPr>
        <w:t>（如适用）</w:t>
      </w:r>
      <w:r>
        <w:rPr>
          <w:rFonts w:hint="eastAsia" w:ascii="宋体" w:hAnsi="宋体" w:eastAsia="宋体"/>
          <w:color w:val="auto"/>
          <w:szCs w:val="21"/>
          <w:highlight w:val="none"/>
        </w:rPr>
        <w:t>；</w:t>
      </w:r>
    </w:p>
    <w:p w14:paraId="2BE84688">
      <w:pPr>
        <w:pStyle w:val="26"/>
        <w:numPr>
          <w:ilvl w:val="0"/>
          <w:numId w:val="134"/>
        </w:numPr>
        <w:spacing w:line="360" w:lineRule="auto"/>
        <w:ind w:firstLineChars="0"/>
        <w:rPr>
          <w:rFonts w:hint="eastAsia"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法定代表人证明书或法定代表人授权委托书加盖投标人公章；</w:t>
      </w:r>
    </w:p>
    <w:p w14:paraId="1FED3417">
      <w:pPr>
        <w:rPr>
          <w:rFonts w:hint="eastAsia"/>
          <w:color w:val="auto"/>
          <w:highlight w:val="none"/>
        </w:rPr>
      </w:pPr>
      <w:r>
        <w:rPr>
          <w:rFonts w:hint="eastAsia"/>
          <w:color w:val="auto"/>
          <w:highlight w:val="none"/>
        </w:rPr>
        <w:br w:type="page"/>
      </w:r>
    </w:p>
    <w:p w14:paraId="5B3E8359">
      <w:pPr>
        <w:rPr>
          <w:rFonts w:hint="eastAsia" w:ascii="宋体" w:hAnsi="宋体" w:eastAsia="宋体" w:cs="宋体"/>
          <w:b/>
          <w:bCs/>
          <w:sz w:val="24"/>
          <w:szCs w:val="28"/>
          <w:highlight w:val="none"/>
          <w:lang w:eastAsia="zh-CN"/>
        </w:rPr>
      </w:pPr>
      <w:r>
        <w:rPr>
          <w:rFonts w:hint="eastAsia" w:ascii="宋体" w:hAnsi="宋体" w:eastAsia="宋体" w:cs="宋体"/>
          <w:b/>
          <w:bCs/>
          <w:sz w:val="24"/>
          <w:szCs w:val="28"/>
          <w:highlight w:val="none"/>
          <w:lang w:val="en-US" w:eastAsia="zh-CN"/>
        </w:rPr>
        <w:t>一、开标一览表</w:t>
      </w:r>
    </w:p>
    <w:p w14:paraId="1113E3D4">
      <w:pPr>
        <w:widowControl/>
        <w:jc w:val="center"/>
        <w:outlineLvl w:val="3"/>
        <w:rPr>
          <w:rFonts w:hint="eastAsia" w:ascii="Calibri" w:hAnsi="Calibri" w:eastAsia="宋体" w:cs="Times New Roman"/>
          <w:b/>
          <w:color w:val="auto"/>
          <w:kern w:val="0"/>
          <w:sz w:val="32"/>
          <w:highlight w:val="none"/>
          <w:lang w:eastAsia="zh-CN"/>
        </w:rPr>
      </w:pPr>
      <w:r>
        <w:rPr>
          <w:rFonts w:ascii="Calibri" w:hAnsi="Calibri" w:eastAsia="宋体" w:cs="Times New Roman"/>
          <w:b/>
          <w:color w:val="auto"/>
          <w:kern w:val="0"/>
          <w:sz w:val="32"/>
          <w:highlight w:val="none"/>
          <w:lang w:eastAsia="zh-Hans"/>
        </w:rPr>
        <w:t>开标一览表</w:t>
      </w:r>
    </w:p>
    <w:p w14:paraId="119AA64E">
      <w:pPr>
        <w:widowControl/>
        <w:jc w:val="center"/>
        <w:outlineLvl w:val="3"/>
        <w:rPr>
          <w:rFonts w:hint="eastAsia" w:ascii="Calibri" w:hAnsi="Calibri" w:eastAsia="宋体" w:cs="Times New Roman"/>
          <w:b/>
          <w:color w:val="auto"/>
          <w:kern w:val="0"/>
          <w:sz w:val="32"/>
          <w:highlight w:val="none"/>
          <w:lang w:eastAsia="zh-CN"/>
        </w:rPr>
      </w:pPr>
    </w:p>
    <w:p w14:paraId="3887FDD7">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2CE7F960">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BAF30E0">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05D2731B">
      <w:pPr>
        <w:widowControl/>
        <w:jc w:val="left"/>
        <w:rPr>
          <w:rFonts w:ascii="Calibri" w:hAnsi="Calibri" w:eastAsia="宋体" w:cs="Times New Roman"/>
          <w:color w:val="auto"/>
          <w:kern w:val="0"/>
          <w:szCs w:val="21"/>
          <w:highlight w:val="none"/>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0BA5A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6F53171B">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2061A73B">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A28A1FB">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7CAF9052">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备注</w:t>
            </w:r>
          </w:p>
        </w:tc>
      </w:tr>
      <w:tr w14:paraId="3890A2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73AFAB01">
            <w:pPr>
              <w:overflowPunct w:val="0"/>
              <w:adjustRightInd w:val="0"/>
              <w:spacing w:line="46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6304D9A9">
            <w:pPr>
              <w:overflowPunct w:val="0"/>
              <w:adjustRightInd w:val="0"/>
              <w:spacing w:line="460" w:lineRule="exact"/>
              <w:jc w:val="center"/>
              <w:rPr>
                <w:rFonts w:hint="eastAsia"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24FCE7A9">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23011F51">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0194CAC2">
            <w:pPr>
              <w:overflowPunct w:val="0"/>
              <w:adjustRightInd w:val="0"/>
              <w:spacing w:line="460" w:lineRule="exact"/>
              <w:jc w:val="center"/>
              <w:rPr>
                <w:rFonts w:hint="eastAsia" w:ascii="宋体" w:hAnsi="宋体" w:eastAsia="宋体"/>
                <w:color w:val="auto"/>
                <w:szCs w:val="21"/>
                <w:highlight w:val="none"/>
              </w:rPr>
            </w:pPr>
          </w:p>
        </w:tc>
      </w:tr>
    </w:tbl>
    <w:p w14:paraId="6A3C1E29">
      <w:pPr>
        <w:widowControl/>
        <w:jc w:val="left"/>
        <w:rPr>
          <w:rFonts w:hint="eastAsia" w:ascii="宋体" w:hAnsi="宋体" w:eastAsia="宋体" w:cs="宋体"/>
          <w:color w:val="auto"/>
          <w:kern w:val="0"/>
          <w:szCs w:val="21"/>
          <w:highlight w:val="none"/>
        </w:rPr>
      </w:pPr>
    </w:p>
    <w:p w14:paraId="49D0B3C7">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1）投标总价栏须用文字和数字两种方式表示的投标总价。</w:t>
      </w:r>
    </w:p>
    <w:p w14:paraId="0149C837">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2）开标一览表内容与投标文件中相应内容不一致的，以开标一览表为准。</w:t>
      </w:r>
    </w:p>
    <w:p w14:paraId="04C67285">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3）大写金额和小写金额不一致的，以大写金额为准。</w:t>
      </w:r>
    </w:p>
    <w:p w14:paraId="270665FA">
      <w:pPr>
        <w:widowControl/>
        <w:jc w:val="left"/>
        <w:rPr>
          <w:rFonts w:ascii="Calibri" w:hAnsi="Calibri" w:eastAsia="宋体" w:cs="Times New Roman"/>
          <w:color w:val="auto"/>
          <w:kern w:val="0"/>
          <w:szCs w:val="21"/>
          <w:highlight w:val="none"/>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282B7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0CABEBB">
            <w:pPr>
              <w:overflowPunct w:val="0"/>
              <w:adjustRightInd w:val="0"/>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20B5D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178CB7AB">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1B8E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6062F7B">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7312DAC8">
      <w:pPr>
        <w:widowControl/>
        <w:jc w:val="left"/>
        <w:rPr>
          <w:rFonts w:ascii="Calibri" w:hAnsi="Calibri" w:eastAsia="宋体" w:cs="Times New Roman"/>
          <w:color w:val="auto"/>
          <w:kern w:val="0"/>
          <w:sz w:val="20"/>
          <w:szCs w:val="20"/>
          <w:highlight w:val="none"/>
          <w:lang w:eastAsia="zh-Hans"/>
        </w:rPr>
      </w:pPr>
    </w:p>
    <w:p w14:paraId="09457665">
      <w:pPr>
        <w:widowControl/>
        <w:jc w:val="left"/>
        <w:rPr>
          <w:rFonts w:ascii="Calibri" w:hAnsi="Calibri" w:eastAsia="宋体" w:cs="Times New Roman"/>
          <w:color w:val="auto"/>
          <w:kern w:val="0"/>
          <w:sz w:val="20"/>
          <w:szCs w:val="20"/>
          <w:highlight w:val="none"/>
          <w:lang w:eastAsia="zh-Hans"/>
        </w:rPr>
      </w:pPr>
    </w:p>
    <w:p w14:paraId="25347134">
      <w:pPr>
        <w:rPr>
          <w:highlight w:val="none"/>
        </w:rPr>
      </w:pPr>
      <w:r>
        <w:rPr>
          <w:highlight w:val="none"/>
        </w:rPr>
        <w:br w:type="page"/>
      </w:r>
    </w:p>
    <w:p w14:paraId="537E1A9B">
      <w:pPr>
        <w:rPr>
          <w:highlight w:val="none"/>
          <w:lang w:eastAsia="zh-Hans"/>
        </w:rPr>
      </w:pPr>
      <w:r>
        <w:rPr>
          <w:rFonts w:hint="eastAsia" w:ascii="宋体" w:hAnsi="宋体" w:eastAsia="宋体" w:cs="宋体"/>
          <w:b/>
          <w:bCs/>
          <w:sz w:val="24"/>
          <w:szCs w:val="28"/>
          <w:highlight w:val="none"/>
          <w:lang w:val="en-US" w:eastAsia="zh-CN"/>
        </w:rPr>
        <w:t>二、分项报价表</w:t>
      </w:r>
    </w:p>
    <w:p w14:paraId="40F2D176">
      <w:pPr>
        <w:widowControl/>
        <w:jc w:val="center"/>
        <w:outlineLvl w:val="3"/>
        <w:rPr>
          <w:rFonts w:hint="eastAsia" w:ascii="宋体" w:hAnsi="宋体" w:eastAsia="宋体" w:cs="Times New Roman"/>
          <w:color w:val="auto"/>
          <w:kern w:val="0"/>
          <w:sz w:val="20"/>
          <w:szCs w:val="20"/>
          <w:highlight w:val="none"/>
          <w:lang w:eastAsia="zh-Hans"/>
        </w:rPr>
      </w:pPr>
      <w:r>
        <w:rPr>
          <w:rFonts w:ascii="宋体" w:hAnsi="宋体" w:eastAsia="宋体" w:cs="Times New Roman"/>
          <w:b/>
          <w:color w:val="auto"/>
          <w:kern w:val="0"/>
          <w:sz w:val="32"/>
          <w:highlight w:val="none"/>
          <w:lang w:eastAsia="zh-Hans"/>
        </w:rPr>
        <w:t>分项报价表</w:t>
      </w:r>
    </w:p>
    <w:p w14:paraId="754016C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7BCF666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1AE30CF7">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p w14:paraId="4723E09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货币及单位：人民币/元</w:t>
      </w:r>
    </w:p>
    <w:p w14:paraId="70C95398">
      <w:pPr>
        <w:widowControl/>
        <w:jc w:val="left"/>
        <w:rPr>
          <w:rFonts w:hint="eastAsia" w:ascii="宋体" w:hAnsi="宋体" w:eastAsia="宋体" w:cs="Times New Roman"/>
          <w:color w:val="auto"/>
          <w:kern w:val="0"/>
          <w:szCs w:val="21"/>
          <w:highlight w:val="none"/>
          <w:lang w:eastAsia="zh-Hans"/>
        </w:rPr>
      </w:pPr>
    </w:p>
    <w:tbl>
      <w:tblPr>
        <w:tblStyle w:val="1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623BCE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74B60AC">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153" w:type="pct"/>
          </w:tcPr>
          <w:p w14:paraId="422EBEFE">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服务名称</w:t>
            </w:r>
          </w:p>
        </w:tc>
        <w:tc>
          <w:tcPr>
            <w:tcW w:w="1045" w:type="pct"/>
          </w:tcPr>
          <w:p w14:paraId="1DF8914F">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w:t>
            </w:r>
          </w:p>
        </w:tc>
        <w:tc>
          <w:tcPr>
            <w:tcW w:w="1045" w:type="pct"/>
          </w:tcPr>
          <w:p w14:paraId="3920D526">
            <w:pPr>
              <w:widowControl/>
              <w:spacing w:line="300" w:lineRule="auto"/>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数量</w:t>
            </w:r>
          </w:p>
        </w:tc>
        <w:tc>
          <w:tcPr>
            <w:tcW w:w="1035" w:type="pct"/>
          </w:tcPr>
          <w:p w14:paraId="5A08727B">
            <w:pPr>
              <w:widowControl/>
              <w:spacing w:line="300" w:lineRule="auto"/>
              <w:jc w:val="center"/>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合计</w:t>
            </w:r>
          </w:p>
        </w:tc>
      </w:tr>
      <w:tr w14:paraId="549033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4D2B14D">
            <w:pPr>
              <w:spacing w:line="300" w:lineRule="auto"/>
              <w:jc w:val="center"/>
              <w:rPr>
                <w:rFonts w:hint="eastAsia" w:ascii="宋体" w:hAnsi="宋体" w:eastAsia="宋体" w:cs="Times New Roman"/>
                <w:color w:val="auto"/>
                <w:szCs w:val="21"/>
                <w:highlight w:val="none"/>
              </w:rPr>
            </w:pPr>
          </w:p>
        </w:tc>
        <w:tc>
          <w:tcPr>
            <w:tcW w:w="1153" w:type="pct"/>
          </w:tcPr>
          <w:p w14:paraId="3F3E7CD3">
            <w:pPr>
              <w:spacing w:line="300" w:lineRule="auto"/>
              <w:jc w:val="center"/>
              <w:rPr>
                <w:rFonts w:hint="eastAsia" w:ascii="宋体" w:hAnsi="宋体" w:eastAsia="宋体" w:cs="Times New Roman"/>
                <w:color w:val="auto"/>
                <w:szCs w:val="21"/>
                <w:highlight w:val="none"/>
              </w:rPr>
            </w:pPr>
          </w:p>
        </w:tc>
        <w:tc>
          <w:tcPr>
            <w:tcW w:w="1045" w:type="pct"/>
          </w:tcPr>
          <w:p w14:paraId="458C0D29">
            <w:pPr>
              <w:spacing w:line="300" w:lineRule="auto"/>
              <w:jc w:val="center"/>
              <w:rPr>
                <w:rFonts w:hint="eastAsia" w:ascii="宋体" w:hAnsi="宋体" w:eastAsia="宋体" w:cs="Times New Roman"/>
                <w:color w:val="auto"/>
                <w:szCs w:val="21"/>
                <w:highlight w:val="none"/>
              </w:rPr>
            </w:pPr>
          </w:p>
        </w:tc>
        <w:tc>
          <w:tcPr>
            <w:tcW w:w="1045" w:type="pct"/>
          </w:tcPr>
          <w:p w14:paraId="344A8471">
            <w:pPr>
              <w:spacing w:line="300" w:lineRule="auto"/>
              <w:jc w:val="center"/>
              <w:rPr>
                <w:rFonts w:hint="eastAsia" w:ascii="宋体" w:hAnsi="宋体" w:eastAsia="宋体" w:cs="Times New Roman"/>
                <w:color w:val="auto"/>
                <w:szCs w:val="21"/>
                <w:highlight w:val="none"/>
              </w:rPr>
            </w:pPr>
          </w:p>
        </w:tc>
        <w:tc>
          <w:tcPr>
            <w:tcW w:w="1035" w:type="pct"/>
          </w:tcPr>
          <w:p w14:paraId="60AA88E5">
            <w:pPr>
              <w:spacing w:line="300" w:lineRule="auto"/>
              <w:jc w:val="center"/>
              <w:rPr>
                <w:rFonts w:hint="eastAsia" w:ascii="宋体" w:hAnsi="宋体" w:eastAsia="宋体" w:cs="Times New Roman"/>
                <w:color w:val="auto"/>
                <w:szCs w:val="21"/>
                <w:highlight w:val="none"/>
              </w:rPr>
            </w:pPr>
          </w:p>
        </w:tc>
      </w:tr>
      <w:tr w14:paraId="76A962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352C862D">
            <w:pPr>
              <w:spacing w:line="300" w:lineRule="auto"/>
              <w:jc w:val="center"/>
              <w:rPr>
                <w:rFonts w:hint="eastAsia" w:ascii="宋体" w:hAnsi="宋体" w:eastAsia="宋体" w:cs="Times New Roman"/>
                <w:color w:val="auto"/>
                <w:szCs w:val="21"/>
                <w:highlight w:val="none"/>
              </w:rPr>
            </w:pPr>
          </w:p>
        </w:tc>
        <w:tc>
          <w:tcPr>
            <w:tcW w:w="1153" w:type="pct"/>
          </w:tcPr>
          <w:p w14:paraId="74BD471B">
            <w:pPr>
              <w:spacing w:line="300" w:lineRule="auto"/>
              <w:jc w:val="center"/>
              <w:rPr>
                <w:rFonts w:hint="eastAsia" w:ascii="宋体" w:hAnsi="宋体" w:eastAsia="宋体" w:cs="Times New Roman"/>
                <w:color w:val="auto"/>
                <w:szCs w:val="21"/>
                <w:highlight w:val="none"/>
              </w:rPr>
            </w:pPr>
          </w:p>
        </w:tc>
        <w:tc>
          <w:tcPr>
            <w:tcW w:w="1045" w:type="pct"/>
          </w:tcPr>
          <w:p w14:paraId="72FA2198">
            <w:pPr>
              <w:spacing w:line="300" w:lineRule="auto"/>
              <w:jc w:val="center"/>
              <w:rPr>
                <w:rFonts w:hint="eastAsia" w:ascii="宋体" w:hAnsi="宋体" w:eastAsia="宋体" w:cs="Times New Roman"/>
                <w:color w:val="auto"/>
                <w:szCs w:val="21"/>
                <w:highlight w:val="none"/>
              </w:rPr>
            </w:pPr>
          </w:p>
        </w:tc>
        <w:tc>
          <w:tcPr>
            <w:tcW w:w="1045" w:type="pct"/>
          </w:tcPr>
          <w:p w14:paraId="586EDA13">
            <w:pPr>
              <w:spacing w:line="300" w:lineRule="auto"/>
              <w:jc w:val="center"/>
              <w:rPr>
                <w:rFonts w:hint="eastAsia" w:ascii="宋体" w:hAnsi="宋体" w:eastAsia="宋体" w:cs="Times New Roman"/>
                <w:color w:val="auto"/>
                <w:szCs w:val="21"/>
                <w:highlight w:val="none"/>
              </w:rPr>
            </w:pPr>
          </w:p>
        </w:tc>
        <w:tc>
          <w:tcPr>
            <w:tcW w:w="1035" w:type="pct"/>
          </w:tcPr>
          <w:p w14:paraId="71779ED8">
            <w:pPr>
              <w:spacing w:line="300" w:lineRule="auto"/>
              <w:jc w:val="center"/>
              <w:rPr>
                <w:rFonts w:hint="eastAsia" w:ascii="宋体" w:hAnsi="宋体" w:eastAsia="宋体" w:cs="Times New Roman"/>
                <w:color w:val="auto"/>
                <w:szCs w:val="21"/>
                <w:highlight w:val="none"/>
              </w:rPr>
            </w:pPr>
          </w:p>
        </w:tc>
      </w:tr>
      <w:tr w14:paraId="7AC83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4B89982">
            <w:pPr>
              <w:spacing w:line="300" w:lineRule="auto"/>
              <w:jc w:val="center"/>
              <w:rPr>
                <w:rFonts w:hint="eastAsia"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w:t>
            </w:r>
          </w:p>
        </w:tc>
        <w:tc>
          <w:tcPr>
            <w:tcW w:w="1153" w:type="pct"/>
          </w:tcPr>
          <w:p w14:paraId="3B4E690B">
            <w:pPr>
              <w:spacing w:line="300" w:lineRule="auto"/>
              <w:jc w:val="center"/>
              <w:rPr>
                <w:rFonts w:hint="eastAsia" w:ascii="宋体" w:hAnsi="宋体" w:eastAsia="宋体" w:cs="Times New Roman"/>
                <w:color w:val="auto"/>
                <w:szCs w:val="21"/>
                <w:highlight w:val="none"/>
              </w:rPr>
            </w:pPr>
          </w:p>
        </w:tc>
        <w:tc>
          <w:tcPr>
            <w:tcW w:w="1045" w:type="pct"/>
          </w:tcPr>
          <w:p w14:paraId="29B9CD7E">
            <w:pPr>
              <w:spacing w:line="300" w:lineRule="auto"/>
              <w:jc w:val="center"/>
              <w:rPr>
                <w:rFonts w:hint="eastAsia" w:ascii="宋体" w:hAnsi="宋体" w:eastAsia="宋体" w:cs="Times New Roman"/>
                <w:color w:val="auto"/>
                <w:szCs w:val="21"/>
                <w:highlight w:val="none"/>
              </w:rPr>
            </w:pPr>
          </w:p>
        </w:tc>
        <w:tc>
          <w:tcPr>
            <w:tcW w:w="1045" w:type="pct"/>
          </w:tcPr>
          <w:p w14:paraId="736E06CC">
            <w:pPr>
              <w:spacing w:line="300" w:lineRule="auto"/>
              <w:jc w:val="center"/>
              <w:rPr>
                <w:rFonts w:hint="eastAsia" w:ascii="宋体" w:hAnsi="宋体" w:eastAsia="宋体" w:cs="Times New Roman"/>
                <w:color w:val="auto"/>
                <w:szCs w:val="21"/>
                <w:highlight w:val="none"/>
              </w:rPr>
            </w:pPr>
          </w:p>
        </w:tc>
        <w:tc>
          <w:tcPr>
            <w:tcW w:w="1035" w:type="pct"/>
          </w:tcPr>
          <w:p w14:paraId="2731DCF6">
            <w:pPr>
              <w:spacing w:line="300" w:lineRule="auto"/>
              <w:jc w:val="center"/>
              <w:rPr>
                <w:rFonts w:hint="eastAsia" w:ascii="宋体" w:hAnsi="宋体" w:eastAsia="宋体" w:cs="Times New Roman"/>
                <w:color w:val="auto"/>
                <w:szCs w:val="21"/>
                <w:highlight w:val="none"/>
              </w:rPr>
            </w:pPr>
          </w:p>
        </w:tc>
      </w:tr>
      <w:tr w14:paraId="392D7B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2DD91AFE">
            <w:pPr>
              <w:spacing w:line="300" w:lineRule="auto"/>
              <w:rPr>
                <w:rFonts w:hint="eastAsia" w:ascii="宋体" w:hAnsi="宋体" w:eastAsia="宋体" w:cs="Times New Roman"/>
                <w:color w:val="auto"/>
                <w:szCs w:val="21"/>
                <w:highlight w:val="none"/>
              </w:rPr>
            </w:pPr>
            <w:r>
              <w:rPr>
                <w:rFonts w:hint="eastAsia" w:ascii="宋体" w:hAnsi="宋体" w:eastAsia="宋体" w:cs="Times New Roman"/>
                <w:color w:val="auto"/>
                <w:kern w:val="0"/>
                <w:szCs w:val="21"/>
                <w:highlight w:val="none"/>
              </w:rPr>
              <w:t>总价：</w:t>
            </w: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tc>
      </w:tr>
    </w:tbl>
    <w:p w14:paraId="35E65482">
      <w:pPr>
        <w:widowControl/>
        <w:jc w:val="left"/>
        <w:rPr>
          <w:rFonts w:ascii="Calibri" w:hAnsi="Calibri" w:eastAsia="宋体" w:cs="Times New Roman"/>
          <w:color w:val="auto"/>
          <w:kern w:val="0"/>
          <w:sz w:val="20"/>
          <w:szCs w:val="20"/>
          <w:highlight w:val="none"/>
          <w:lang w:eastAsia="zh-Hans"/>
        </w:rPr>
      </w:pPr>
    </w:p>
    <w:p w14:paraId="56333593">
      <w:pPr>
        <w:widowControl/>
        <w:jc w:val="left"/>
        <w:rPr>
          <w:rFonts w:ascii="Calibri" w:hAnsi="Calibri" w:eastAsia="宋体" w:cs="Times New Roman"/>
          <w:color w:val="auto"/>
          <w:kern w:val="0"/>
          <w:sz w:val="20"/>
          <w:szCs w:val="20"/>
          <w:highlight w:val="none"/>
          <w:lang w:eastAsia="zh-Hans"/>
        </w:rPr>
      </w:pPr>
    </w:p>
    <w:p w14:paraId="341770E9">
      <w:pPr>
        <w:widowControl/>
        <w:jc w:val="left"/>
        <w:outlineLvl w:val="2"/>
        <w:rPr>
          <w:rFonts w:ascii="Calibri" w:hAnsi="Calibri" w:eastAsia="宋体" w:cs="Times New Roman"/>
          <w:b/>
          <w:color w:val="auto"/>
          <w:kern w:val="0"/>
          <w:sz w:val="28"/>
          <w:szCs w:val="20"/>
          <w:highlight w:val="none"/>
        </w:rPr>
      </w:pPr>
    </w:p>
    <w:p w14:paraId="73C4606D">
      <w:pPr>
        <w:widowControl/>
        <w:spacing w:line="300" w:lineRule="auto"/>
        <w:jc w:val="left"/>
        <w:rPr>
          <w:rFonts w:hint="eastAsia" w:ascii="宋体" w:hAnsi="宋体" w:eastAsia="宋体" w:cs="Times New Roman"/>
          <w:color w:val="auto"/>
          <w:kern w:val="0"/>
          <w:szCs w:val="21"/>
          <w:highlight w:val="none"/>
          <w:lang w:eastAsia="zh-Hans"/>
        </w:rPr>
      </w:pPr>
    </w:p>
    <w:p w14:paraId="7891A17D">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130E5582">
      <w:pPr>
        <w:rPr>
          <w:rFonts w:hint="eastAsia"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7FFCC8B">
      <w:pPr>
        <w:rPr>
          <w:highlight w:val="none"/>
        </w:rPr>
      </w:pPr>
      <w:r>
        <w:rPr>
          <w:highlight w:val="none"/>
        </w:rPr>
        <w:br w:type="page"/>
      </w:r>
    </w:p>
    <w:p w14:paraId="3BD05060">
      <w:pPr>
        <w:rPr>
          <w:highlight w:val="none"/>
          <w:lang w:eastAsia="zh-Hans"/>
        </w:rPr>
      </w:pPr>
      <w:r>
        <w:rPr>
          <w:rFonts w:hint="eastAsia" w:ascii="宋体" w:hAnsi="宋体" w:eastAsia="宋体" w:cs="宋体"/>
          <w:b/>
          <w:bCs/>
          <w:sz w:val="24"/>
          <w:szCs w:val="28"/>
          <w:highlight w:val="none"/>
          <w:lang w:val="en-US" w:eastAsia="zh-CN"/>
        </w:rPr>
        <w:t>三、法定代表人证明书或法定代表人授权委托书</w:t>
      </w:r>
    </w:p>
    <w:p w14:paraId="38CF1096">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12F50860">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26327BA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2E6A614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00380E68">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5495C57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0831618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5B26A0D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5CF50D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0EBD095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2FC4E57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A5CF5C3">
      <w:pPr>
        <w:spacing w:before="217" w:beforeLines="50" w:after="217" w:afterLines="50" w:line="360" w:lineRule="auto"/>
        <w:rPr>
          <w:rFonts w:hint="eastAsia" w:ascii="宋体" w:hAnsi="宋体" w:eastAsia="宋体"/>
          <w:color w:val="auto"/>
          <w:szCs w:val="21"/>
          <w:highlight w:val="none"/>
        </w:rPr>
      </w:pPr>
    </w:p>
    <w:p w14:paraId="3CA2EC35">
      <w:pPr>
        <w:spacing w:before="217" w:beforeLines="50"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9F531B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4BD72CD3">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0FFA2F7A">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55C3147D">
      <w:pPr>
        <w:widowControl/>
        <w:jc w:val="left"/>
        <w:rPr>
          <w:rFonts w:ascii="Calibri" w:hAnsi="Calibri" w:eastAsia="宋体" w:cs="Times New Roman"/>
          <w:color w:val="auto"/>
          <w:kern w:val="0"/>
          <w:sz w:val="20"/>
          <w:szCs w:val="20"/>
          <w:highlight w:val="none"/>
          <w:lang w:eastAsia="zh-Hans"/>
        </w:rPr>
      </w:pPr>
    </w:p>
    <w:p w14:paraId="77902EEA">
      <w:pPr>
        <w:rPr>
          <w:rFonts w:ascii="Calibri" w:hAnsi="Calibri" w:eastAsia="宋体" w:cs="Times New Roman"/>
          <w:b/>
          <w:color w:val="auto"/>
          <w:kern w:val="0"/>
          <w:sz w:val="32"/>
          <w:highlight w:val="none"/>
          <w:lang w:eastAsia="zh-Hans"/>
        </w:rPr>
      </w:pPr>
      <w:r>
        <w:rPr>
          <w:rFonts w:ascii="Calibri" w:hAnsi="Calibri" w:eastAsia="宋体" w:cs="Times New Roman"/>
          <w:b/>
          <w:color w:val="auto"/>
          <w:kern w:val="0"/>
          <w:sz w:val="32"/>
          <w:highlight w:val="none"/>
          <w:lang w:eastAsia="zh-Hans"/>
        </w:rPr>
        <w:br w:type="page"/>
      </w:r>
    </w:p>
    <w:p w14:paraId="663E7637">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7E98685D">
      <w:pPr>
        <w:spacing w:before="652" w:beforeLines="150" w:line="360" w:lineRule="auto"/>
        <w:rPr>
          <w:rFonts w:hint="eastAsia" w:ascii="宋体" w:hAnsi="宋体" w:eastAsia="宋体"/>
          <w:b/>
          <w:color w:val="auto"/>
          <w:highlight w:val="none"/>
        </w:rPr>
      </w:pPr>
      <w:r>
        <w:rPr>
          <w:rFonts w:hint="eastAsia" w:ascii="宋体" w:hAnsi="宋体" w:eastAsia="宋体"/>
          <w:b/>
          <w:color w:val="auto"/>
          <w:highlight w:val="none"/>
        </w:rPr>
        <w:t>广东智汇城市招标采购有限公司</w:t>
      </w:r>
    </w:p>
    <w:p w14:paraId="066EB13B">
      <w:pPr>
        <w:pStyle w:val="29"/>
        <w:spacing w:line="360" w:lineRule="auto"/>
        <w:ind w:firstLine="450" w:firstLineChars="0"/>
        <w:rPr>
          <w:rFonts w:hint="eastAsia"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21E3913">
      <w:pPr>
        <w:pStyle w:val="29"/>
        <w:spacing w:line="360" w:lineRule="auto"/>
        <w:ind w:firstLine="428" w:firstLineChars="204"/>
        <w:rPr>
          <w:rFonts w:hint="eastAsia"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674A63E2">
      <w:pPr>
        <w:widowControl/>
        <w:spacing w:before="652" w:beforeLines="1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6768661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59DEB10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E3B525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6644BE5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054A2E6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6B910EB">
      <w:pPr>
        <w:pStyle w:val="29"/>
        <w:spacing w:line="360" w:lineRule="auto"/>
        <w:ind w:firstLine="0" w:firstLineChars="0"/>
        <w:rPr>
          <w:rFonts w:hint="eastAsia"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2CBEE6E3">
      <w:pPr>
        <w:pStyle w:val="29"/>
        <w:spacing w:line="360" w:lineRule="auto"/>
        <w:ind w:firstLine="0" w:firstLineChars="0"/>
        <w:rPr>
          <w:rFonts w:hint="eastAsia" w:ascii="宋体" w:eastAsia="宋体"/>
          <w:color w:val="auto"/>
          <w:sz w:val="21"/>
          <w:szCs w:val="21"/>
          <w:highlight w:val="none"/>
        </w:rPr>
      </w:pPr>
    </w:p>
    <w:p w14:paraId="57634A36">
      <w:pPr>
        <w:spacing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7809F59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F4E9B46">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18E18964">
            <w:pPr>
              <w:pStyle w:val="29"/>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64A4432A">
      <w:pPr>
        <w:widowControl/>
        <w:jc w:val="left"/>
        <w:rPr>
          <w:rFonts w:ascii="Calibri" w:hAnsi="Calibri" w:eastAsia="宋体" w:cs="Times New Roman"/>
          <w:color w:val="auto"/>
          <w:kern w:val="0"/>
          <w:sz w:val="20"/>
          <w:szCs w:val="20"/>
          <w:highlight w:val="none"/>
          <w:lang w:eastAsia="zh-Hans"/>
        </w:rPr>
      </w:pPr>
    </w:p>
    <w:p w14:paraId="49D79F46">
      <w:pPr>
        <w:pStyle w:val="20"/>
        <w:ind w:right="1890" w:firstLine="640"/>
        <w:jc w:val="center"/>
        <w:rPr>
          <w:color w:val="auto"/>
          <w:highlight w:val="none"/>
        </w:rPr>
      </w:pPr>
    </w:p>
    <w:p w14:paraId="1325D9A0">
      <w:pPr>
        <w:rPr>
          <w:rFonts w:hint="eastAsia"/>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388EEE88">
        <w:pPr>
          <w:pStyle w:val="8"/>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50841">
    <w:pPr>
      <w:pStyle w:val="9"/>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A22A0"/>
    <w:multiLevelType w:val="singleLevel"/>
    <w:tmpl w:val="81DA22A0"/>
    <w:lvl w:ilvl="0" w:tentative="0">
      <w:start w:val="1"/>
      <w:numFmt w:val="decimal"/>
      <w:lvlText w:val="(%1)"/>
      <w:lvlJc w:val="left"/>
      <w:pPr>
        <w:ind w:left="425" w:hanging="425"/>
      </w:pPr>
      <w:rPr>
        <w:rFonts w:hint="default"/>
      </w:rPr>
    </w:lvl>
  </w:abstractNum>
  <w:abstractNum w:abstractNumId="1">
    <w:nsid w:val="8637DF6B"/>
    <w:multiLevelType w:val="singleLevel"/>
    <w:tmpl w:val="8637DF6B"/>
    <w:lvl w:ilvl="0" w:tentative="0">
      <w:start w:val="1"/>
      <w:numFmt w:val="decimal"/>
      <w:lvlText w:val="(%1)"/>
      <w:lvlJc w:val="left"/>
      <w:pPr>
        <w:ind w:left="425" w:hanging="425"/>
      </w:pPr>
      <w:rPr>
        <w:rFonts w:hint="default"/>
      </w:rPr>
    </w:lvl>
  </w:abstractNum>
  <w:abstractNum w:abstractNumId="2">
    <w:nsid w:val="863CD9C2"/>
    <w:multiLevelType w:val="singleLevel"/>
    <w:tmpl w:val="863CD9C2"/>
    <w:lvl w:ilvl="0" w:tentative="0">
      <w:start w:val="1"/>
      <w:numFmt w:val="decimal"/>
      <w:lvlText w:val="(%1)"/>
      <w:lvlJc w:val="left"/>
      <w:pPr>
        <w:ind w:left="425" w:hanging="425"/>
      </w:pPr>
      <w:rPr>
        <w:rFonts w:hint="default"/>
      </w:rPr>
    </w:lvl>
  </w:abstractNum>
  <w:abstractNum w:abstractNumId="3">
    <w:nsid w:val="8748F2DF"/>
    <w:multiLevelType w:val="singleLevel"/>
    <w:tmpl w:val="8748F2DF"/>
    <w:lvl w:ilvl="0" w:tentative="0">
      <w:start w:val="1"/>
      <w:numFmt w:val="decimal"/>
      <w:lvlText w:val="%1."/>
      <w:lvlJc w:val="left"/>
      <w:pPr>
        <w:ind w:left="425" w:hanging="425"/>
      </w:pPr>
      <w:rPr>
        <w:rFonts w:hint="default"/>
      </w:rPr>
    </w:lvl>
  </w:abstractNum>
  <w:abstractNum w:abstractNumId="4">
    <w:nsid w:val="8EFAE128"/>
    <w:multiLevelType w:val="multilevel"/>
    <w:tmpl w:val="8EFAE12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8F3B0F99"/>
    <w:multiLevelType w:val="singleLevel"/>
    <w:tmpl w:val="8F3B0F99"/>
    <w:lvl w:ilvl="0" w:tentative="0">
      <w:start w:val="1"/>
      <w:numFmt w:val="decimal"/>
      <w:lvlText w:val="(%1)"/>
      <w:lvlJc w:val="left"/>
      <w:pPr>
        <w:ind w:left="425" w:hanging="425"/>
      </w:pPr>
      <w:rPr>
        <w:rFonts w:hint="default"/>
      </w:rPr>
    </w:lvl>
  </w:abstractNum>
  <w:abstractNum w:abstractNumId="6">
    <w:nsid w:val="9E2EB0FB"/>
    <w:multiLevelType w:val="singleLevel"/>
    <w:tmpl w:val="9E2EB0FB"/>
    <w:lvl w:ilvl="0" w:tentative="0">
      <w:start w:val="1"/>
      <w:numFmt w:val="decimal"/>
      <w:lvlText w:val="(%1)"/>
      <w:lvlJc w:val="left"/>
      <w:pPr>
        <w:ind w:left="425" w:hanging="425"/>
      </w:pPr>
      <w:rPr>
        <w:rFonts w:hint="default"/>
      </w:rPr>
    </w:lvl>
  </w:abstractNum>
  <w:abstractNum w:abstractNumId="7">
    <w:nsid w:val="A21EEE31"/>
    <w:multiLevelType w:val="singleLevel"/>
    <w:tmpl w:val="A21EEE31"/>
    <w:lvl w:ilvl="0" w:tentative="0">
      <w:start w:val="1"/>
      <w:numFmt w:val="decimal"/>
      <w:lvlText w:val="(%1)"/>
      <w:lvlJc w:val="left"/>
      <w:pPr>
        <w:ind w:left="425" w:hanging="425"/>
      </w:pPr>
      <w:rPr>
        <w:rFonts w:hint="default"/>
      </w:rPr>
    </w:lvl>
  </w:abstractNum>
  <w:abstractNum w:abstractNumId="8">
    <w:nsid w:val="A4AEC6EB"/>
    <w:multiLevelType w:val="singleLevel"/>
    <w:tmpl w:val="A4AEC6EB"/>
    <w:lvl w:ilvl="0" w:tentative="0">
      <w:start w:val="1"/>
      <w:numFmt w:val="decimal"/>
      <w:lvlText w:val="%1."/>
      <w:lvlJc w:val="left"/>
      <w:pPr>
        <w:ind w:left="425" w:hanging="425"/>
      </w:pPr>
      <w:rPr>
        <w:rFonts w:hint="default"/>
      </w:rPr>
    </w:lvl>
  </w:abstractNum>
  <w:abstractNum w:abstractNumId="9">
    <w:nsid w:val="AD97F2C5"/>
    <w:multiLevelType w:val="singleLevel"/>
    <w:tmpl w:val="AD97F2C5"/>
    <w:lvl w:ilvl="0" w:tentative="0">
      <w:start w:val="1"/>
      <w:numFmt w:val="decimal"/>
      <w:lvlText w:val="%1."/>
      <w:lvlJc w:val="left"/>
      <w:pPr>
        <w:ind w:left="425" w:hanging="425"/>
      </w:pPr>
      <w:rPr>
        <w:rFonts w:hint="default"/>
      </w:rPr>
    </w:lvl>
  </w:abstractNum>
  <w:abstractNum w:abstractNumId="10">
    <w:nsid w:val="B1C322B9"/>
    <w:multiLevelType w:val="singleLevel"/>
    <w:tmpl w:val="B1C322B9"/>
    <w:lvl w:ilvl="0" w:tentative="0">
      <w:start w:val="1"/>
      <w:numFmt w:val="decimal"/>
      <w:lvlText w:val="(%1)"/>
      <w:lvlJc w:val="left"/>
      <w:pPr>
        <w:ind w:left="425" w:hanging="425"/>
      </w:pPr>
      <w:rPr>
        <w:rFonts w:hint="default"/>
      </w:rPr>
    </w:lvl>
  </w:abstractNum>
  <w:abstractNum w:abstractNumId="11">
    <w:nsid w:val="B2C1D71B"/>
    <w:multiLevelType w:val="singleLevel"/>
    <w:tmpl w:val="B2C1D71B"/>
    <w:lvl w:ilvl="0" w:tentative="0">
      <w:start w:val="1"/>
      <w:numFmt w:val="decimal"/>
      <w:lvlText w:val="%1."/>
      <w:lvlJc w:val="left"/>
      <w:pPr>
        <w:ind w:left="425" w:hanging="425"/>
      </w:pPr>
      <w:rPr>
        <w:rFonts w:hint="default"/>
        <w:b w:val="0"/>
        <w:bCs w:val="0"/>
      </w:rPr>
    </w:lvl>
  </w:abstractNum>
  <w:abstractNum w:abstractNumId="12">
    <w:nsid w:val="BA07E878"/>
    <w:multiLevelType w:val="singleLevel"/>
    <w:tmpl w:val="BA07E878"/>
    <w:lvl w:ilvl="0" w:tentative="0">
      <w:start w:val="1"/>
      <w:numFmt w:val="decimal"/>
      <w:lvlText w:val="%1."/>
      <w:lvlJc w:val="left"/>
      <w:pPr>
        <w:ind w:left="425" w:hanging="425"/>
      </w:pPr>
      <w:rPr>
        <w:rFonts w:hint="default"/>
      </w:rPr>
    </w:lvl>
  </w:abstractNum>
  <w:abstractNum w:abstractNumId="13">
    <w:nsid w:val="C109EAD2"/>
    <w:multiLevelType w:val="singleLevel"/>
    <w:tmpl w:val="C109EAD2"/>
    <w:lvl w:ilvl="0" w:tentative="0">
      <w:start w:val="1"/>
      <w:numFmt w:val="decimal"/>
      <w:lvlText w:val="(%1)"/>
      <w:lvlJc w:val="left"/>
      <w:pPr>
        <w:ind w:left="425" w:hanging="425"/>
      </w:pPr>
      <w:rPr>
        <w:rFonts w:hint="default"/>
      </w:rPr>
    </w:lvl>
  </w:abstractNum>
  <w:abstractNum w:abstractNumId="14">
    <w:nsid w:val="C375DE28"/>
    <w:multiLevelType w:val="singleLevel"/>
    <w:tmpl w:val="C375DE28"/>
    <w:lvl w:ilvl="0" w:tentative="0">
      <w:start w:val="1"/>
      <w:numFmt w:val="chineseCounting"/>
      <w:suff w:val="nothing"/>
      <w:lvlText w:val="%1、"/>
      <w:lvlJc w:val="left"/>
      <w:pPr>
        <w:ind w:left="0" w:firstLine="420"/>
      </w:pPr>
      <w:rPr>
        <w:rFonts w:hint="eastAsia"/>
      </w:rPr>
    </w:lvl>
  </w:abstractNum>
  <w:abstractNum w:abstractNumId="15">
    <w:nsid w:val="C6E976AB"/>
    <w:multiLevelType w:val="singleLevel"/>
    <w:tmpl w:val="C6E976AB"/>
    <w:lvl w:ilvl="0" w:tentative="0">
      <w:start w:val="1"/>
      <w:numFmt w:val="decimal"/>
      <w:lvlText w:val="%1."/>
      <w:lvlJc w:val="left"/>
      <w:pPr>
        <w:ind w:left="425" w:hanging="425"/>
      </w:pPr>
      <w:rPr>
        <w:rFonts w:hint="default"/>
      </w:rPr>
    </w:lvl>
  </w:abstractNum>
  <w:abstractNum w:abstractNumId="16">
    <w:nsid w:val="CDCF7BAB"/>
    <w:multiLevelType w:val="singleLevel"/>
    <w:tmpl w:val="CDCF7BAB"/>
    <w:lvl w:ilvl="0" w:tentative="0">
      <w:start w:val="1"/>
      <w:numFmt w:val="decimal"/>
      <w:lvlText w:val="%1."/>
      <w:lvlJc w:val="left"/>
      <w:pPr>
        <w:ind w:left="425" w:hanging="425"/>
      </w:pPr>
      <w:rPr>
        <w:rFonts w:hint="default"/>
      </w:rPr>
    </w:lvl>
  </w:abstractNum>
  <w:abstractNum w:abstractNumId="17">
    <w:nsid w:val="CF565673"/>
    <w:multiLevelType w:val="singleLevel"/>
    <w:tmpl w:val="CF565673"/>
    <w:lvl w:ilvl="0" w:tentative="0">
      <w:start w:val="1"/>
      <w:numFmt w:val="decimal"/>
      <w:lvlText w:val="%1."/>
      <w:lvlJc w:val="left"/>
      <w:pPr>
        <w:ind w:left="425" w:hanging="425"/>
      </w:pPr>
      <w:rPr>
        <w:rFonts w:hint="default"/>
      </w:rPr>
    </w:lvl>
  </w:abstractNum>
  <w:abstractNum w:abstractNumId="18">
    <w:nsid w:val="D0A94522"/>
    <w:multiLevelType w:val="multilevel"/>
    <w:tmpl w:val="D0A9452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D1CC9B94"/>
    <w:multiLevelType w:val="singleLevel"/>
    <w:tmpl w:val="D1CC9B94"/>
    <w:lvl w:ilvl="0" w:tentative="0">
      <w:start w:val="1"/>
      <w:numFmt w:val="decimal"/>
      <w:lvlText w:val="%1."/>
      <w:lvlJc w:val="left"/>
      <w:pPr>
        <w:ind w:left="425" w:hanging="425"/>
      </w:pPr>
      <w:rPr>
        <w:rFonts w:hint="default"/>
      </w:rPr>
    </w:lvl>
  </w:abstractNum>
  <w:abstractNum w:abstractNumId="20">
    <w:nsid w:val="D4FBB1BD"/>
    <w:multiLevelType w:val="singleLevel"/>
    <w:tmpl w:val="D4FBB1BD"/>
    <w:lvl w:ilvl="0" w:tentative="0">
      <w:start w:val="1"/>
      <w:numFmt w:val="decimal"/>
      <w:lvlText w:val="(%1)"/>
      <w:lvlJc w:val="left"/>
      <w:pPr>
        <w:ind w:left="425" w:hanging="425"/>
      </w:pPr>
      <w:rPr>
        <w:rFonts w:hint="default"/>
      </w:rPr>
    </w:lvl>
  </w:abstractNum>
  <w:abstractNum w:abstractNumId="21">
    <w:nsid w:val="E36FDA6E"/>
    <w:multiLevelType w:val="singleLevel"/>
    <w:tmpl w:val="E36FDA6E"/>
    <w:lvl w:ilvl="0" w:tentative="0">
      <w:start w:val="1"/>
      <w:numFmt w:val="decimal"/>
      <w:lvlText w:val="%1."/>
      <w:lvlJc w:val="left"/>
      <w:pPr>
        <w:ind w:left="425" w:hanging="425"/>
      </w:pPr>
      <w:rPr>
        <w:rFonts w:hint="default"/>
      </w:rPr>
    </w:lvl>
  </w:abstractNum>
  <w:abstractNum w:abstractNumId="22">
    <w:nsid w:val="E4F30F08"/>
    <w:multiLevelType w:val="singleLevel"/>
    <w:tmpl w:val="E4F30F08"/>
    <w:lvl w:ilvl="0" w:tentative="0">
      <w:start w:val="1"/>
      <w:numFmt w:val="decimal"/>
      <w:lvlText w:val="(%1)"/>
      <w:lvlJc w:val="left"/>
      <w:pPr>
        <w:ind w:left="425" w:hanging="425"/>
      </w:pPr>
      <w:rPr>
        <w:rFonts w:hint="default"/>
      </w:rPr>
    </w:lvl>
  </w:abstractNum>
  <w:abstractNum w:abstractNumId="23">
    <w:nsid w:val="E541DA7F"/>
    <w:multiLevelType w:val="singleLevel"/>
    <w:tmpl w:val="E541DA7F"/>
    <w:lvl w:ilvl="0" w:tentative="0">
      <w:start w:val="1"/>
      <w:numFmt w:val="decimal"/>
      <w:lvlText w:val="%1."/>
      <w:lvlJc w:val="left"/>
      <w:pPr>
        <w:ind w:left="425" w:hanging="425"/>
      </w:pPr>
      <w:rPr>
        <w:rFonts w:hint="default"/>
      </w:rPr>
    </w:lvl>
  </w:abstractNum>
  <w:abstractNum w:abstractNumId="24">
    <w:nsid w:val="E95624F3"/>
    <w:multiLevelType w:val="singleLevel"/>
    <w:tmpl w:val="E95624F3"/>
    <w:lvl w:ilvl="0" w:tentative="0">
      <w:start w:val="1"/>
      <w:numFmt w:val="decimal"/>
      <w:lvlText w:val="%1."/>
      <w:lvlJc w:val="left"/>
      <w:pPr>
        <w:ind w:left="425" w:hanging="425"/>
      </w:pPr>
      <w:rPr>
        <w:rFonts w:hint="default"/>
      </w:rPr>
    </w:lvl>
  </w:abstractNum>
  <w:abstractNum w:abstractNumId="25">
    <w:nsid w:val="EB3C86C8"/>
    <w:multiLevelType w:val="singleLevel"/>
    <w:tmpl w:val="EB3C86C8"/>
    <w:lvl w:ilvl="0" w:tentative="0">
      <w:start w:val="1"/>
      <w:numFmt w:val="decimal"/>
      <w:lvlText w:val="%1."/>
      <w:lvlJc w:val="left"/>
      <w:pPr>
        <w:ind w:left="425" w:hanging="425"/>
      </w:pPr>
      <w:rPr>
        <w:rFonts w:hint="default"/>
      </w:rPr>
    </w:lvl>
  </w:abstractNum>
  <w:abstractNum w:abstractNumId="26">
    <w:nsid w:val="F5F26F54"/>
    <w:multiLevelType w:val="singleLevel"/>
    <w:tmpl w:val="F5F26F54"/>
    <w:lvl w:ilvl="0" w:tentative="0">
      <w:start w:val="1"/>
      <w:numFmt w:val="decimal"/>
      <w:lvlText w:val="%1."/>
      <w:lvlJc w:val="left"/>
      <w:pPr>
        <w:ind w:left="425" w:hanging="425"/>
      </w:pPr>
      <w:rPr>
        <w:rFonts w:hint="default"/>
      </w:rPr>
    </w:lvl>
  </w:abstractNum>
  <w:abstractNum w:abstractNumId="27">
    <w:nsid w:val="FB603125"/>
    <w:multiLevelType w:val="singleLevel"/>
    <w:tmpl w:val="FB603125"/>
    <w:lvl w:ilvl="0" w:tentative="0">
      <w:start w:val="1"/>
      <w:numFmt w:val="decimal"/>
      <w:lvlText w:val="(%1)"/>
      <w:lvlJc w:val="left"/>
      <w:pPr>
        <w:ind w:left="425" w:hanging="425"/>
      </w:pPr>
      <w:rPr>
        <w:rFonts w:hint="default"/>
      </w:rPr>
    </w:lvl>
  </w:abstractNum>
  <w:abstractNum w:abstractNumId="28">
    <w:nsid w:val="FFCF9E48"/>
    <w:multiLevelType w:val="singleLevel"/>
    <w:tmpl w:val="FFCF9E48"/>
    <w:lvl w:ilvl="0" w:tentative="0">
      <w:start w:val="1"/>
      <w:numFmt w:val="decimal"/>
      <w:lvlText w:val="%1."/>
      <w:lvlJc w:val="left"/>
      <w:pPr>
        <w:ind w:left="425" w:hanging="425"/>
      </w:pPr>
      <w:rPr>
        <w:rFonts w:hint="default"/>
      </w:rPr>
    </w:lvl>
  </w:abstractNum>
  <w:abstractNum w:abstractNumId="29">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02D93006"/>
    <w:multiLevelType w:val="singleLevel"/>
    <w:tmpl w:val="02D93006"/>
    <w:lvl w:ilvl="0" w:tentative="0">
      <w:start w:val="1"/>
      <w:numFmt w:val="decimal"/>
      <w:lvlText w:val="%1."/>
      <w:lvlJc w:val="left"/>
      <w:pPr>
        <w:ind w:left="425" w:hanging="425"/>
      </w:pPr>
      <w:rPr>
        <w:rFonts w:hint="default"/>
        <w:b w:val="0"/>
        <w:bCs w:val="0"/>
      </w:rPr>
    </w:lvl>
  </w:abstractNum>
  <w:abstractNum w:abstractNumId="39">
    <w:nsid w:val="035C07AC"/>
    <w:multiLevelType w:val="singleLevel"/>
    <w:tmpl w:val="035C07AC"/>
    <w:lvl w:ilvl="0" w:tentative="0">
      <w:start w:val="1"/>
      <w:numFmt w:val="decimal"/>
      <w:lvlText w:val="(%1)"/>
      <w:lvlJc w:val="left"/>
      <w:pPr>
        <w:ind w:left="425" w:hanging="425"/>
      </w:pPr>
      <w:rPr>
        <w:rFonts w:hint="default"/>
      </w:rPr>
    </w:lvl>
  </w:abstractNum>
  <w:abstractNum w:abstractNumId="40">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08F5E16B"/>
    <w:multiLevelType w:val="singleLevel"/>
    <w:tmpl w:val="08F5E16B"/>
    <w:lvl w:ilvl="0" w:tentative="0">
      <w:start w:val="1"/>
      <w:numFmt w:val="decimal"/>
      <w:lvlText w:val="%1."/>
      <w:lvlJc w:val="left"/>
      <w:pPr>
        <w:ind w:left="425" w:hanging="425"/>
      </w:pPr>
      <w:rPr>
        <w:rFonts w:hint="default"/>
      </w:rPr>
    </w:lvl>
  </w:abstractNum>
  <w:abstractNum w:abstractNumId="43">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0D0A4D6E"/>
    <w:multiLevelType w:val="singleLevel"/>
    <w:tmpl w:val="0D0A4D6E"/>
    <w:lvl w:ilvl="0" w:tentative="0">
      <w:start w:val="1"/>
      <w:numFmt w:val="decimal"/>
      <w:lvlText w:val="(%1)"/>
      <w:lvlJc w:val="left"/>
      <w:pPr>
        <w:ind w:left="425" w:hanging="425"/>
      </w:pPr>
      <w:rPr>
        <w:rFonts w:hint="default"/>
      </w:rPr>
    </w:lvl>
  </w:abstractNum>
  <w:abstractNum w:abstractNumId="46">
    <w:nsid w:val="0DA4EC56"/>
    <w:multiLevelType w:val="singleLevel"/>
    <w:tmpl w:val="0DA4EC56"/>
    <w:lvl w:ilvl="0" w:tentative="0">
      <w:start w:val="1"/>
      <w:numFmt w:val="decimal"/>
      <w:lvlText w:val="(%1)"/>
      <w:lvlJc w:val="left"/>
      <w:pPr>
        <w:ind w:left="425" w:hanging="425"/>
      </w:pPr>
      <w:rPr>
        <w:rFonts w:hint="default"/>
      </w:rPr>
    </w:lvl>
  </w:abstractNum>
  <w:abstractNum w:abstractNumId="47">
    <w:nsid w:val="1153957D"/>
    <w:multiLevelType w:val="singleLevel"/>
    <w:tmpl w:val="1153957D"/>
    <w:lvl w:ilvl="0" w:tentative="0">
      <w:start w:val="1"/>
      <w:numFmt w:val="decimal"/>
      <w:lvlText w:val="%1."/>
      <w:lvlJc w:val="left"/>
      <w:pPr>
        <w:ind w:left="425" w:hanging="425"/>
      </w:pPr>
      <w:rPr>
        <w:rFonts w:hint="default"/>
      </w:rPr>
    </w:lvl>
  </w:abstractNum>
  <w:abstractNum w:abstractNumId="48">
    <w:nsid w:val="130654BA"/>
    <w:multiLevelType w:val="singleLevel"/>
    <w:tmpl w:val="130654BA"/>
    <w:lvl w:ilvl="0" w:tentative="0">
      <w:start w:val="1"/>
      <w:numFmt w:val="decimal"/>
      <w:lvlText w:val="(%1)"/>
      <w:lvlJc w:val="left"/>
      <w:pPr>
        <w:ind w:left="425" w:hanging="425"/>
      </w:pPr>
      <w:rPr>
        <w:rFonts w:hint="default"/>
      </w:rPr>
    </w:lvl>
  </w:abstractNum>
  <w:abstractNum w:abstractNumId="49">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236D3483"/>
    <w:multiLevelType w:val="singleLevel"/>
    <w:tmpl w:val="236D3483"/>
    <w:lvl w:ilvl="0" w:tentative="0">
      <w:start w:val="1"/>
      <w:numFmt w:val="decimal"/>
      <w:lvlText w:val="%1."/>
      <w:lvlJc w:val="left"/>
      <w:pPr>
        <w:ind w:left="425" w:hanging="425"/>
      </w:pPr>
      <w:rPr>
        <w:rFonts w:hint="default"/>
      </w:rPr>
    </w:lvl>
  </w:abstractNum>
  <w:abstractNum w:abstractNumId="59">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30024183"/>
    <w:multiLevelType w:val="singleLevel"/>
    <w:tmpl w:val="30024183"/>
    <w:lvl w:ilvl="0" w:tentative="0">
      <w:start w:val="1"/>
      <w:numFmt w:val="decimal"/>
      <w:lvlText w:val="%1."/>
      <w:lvlJc w:val="left"/>
      <w:pPr>
        <w:ind w:left="425" w:hanging="425"/>
      </w:pPr>
      <w:rPr>
        <w:rFonts w:hint="default"/>
      </w:rPr>
    </w:lvl>
  </w:abstractNum>
  <w:abstractNum w:abstractNumId="67">
    <w:nsid w:val="30F2A0E9"/>
    <w:multiLevelType w:val="singleLevel"/>
    <w:tmpl w:val="30F2A0E9"/>
    <w:lvl w:ilvl="0" w:tentative="0">
      <w:start w:val="1"/>
      <w:numFmt w:val="decimal"/>
      <w:lvlText w:val="%1."/>
      <w:lvlJc w:val="left"/>
      <w:pPr>
        <w:ind w:left="425" w:hanging="425"/>
      </w:pPr>
      <w:rPr>
        <w:rFonts w:hint="default"/>
      </w:rPr>
    </w:lvl>
  </w:abstractNum>
  <w:abstractNum w:abstractNumId="6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34466AAF"/>
    <w:multiLevelType w:val="singleLevel"/>
    <w:tmpl w:val="34466AAF"/>
    <w:lvl w:ilvl="0" w:tentative="0">
      <w:start w:val="1"/>
      <w:numFmt w:val="decimal"/>
      <w:lvlText w:val="%1."/>
      <w:lvlJc w:val="left"/>
      <w:pPr>
        <w:ind w:left="425" w:hanging="425"/>
      </w:pPr>
      <w:rPr>
        <w:rFonts w:hint="default"/>
      </w:rPr>
    </w:lvl>
  </w:abstractNum>
  <w:abstractNum w:abstractNumId="71">
    <w:nsid w:val="36026EC1"/>
    <w:multiLevelType w:val="singleLevel"/>
    <w:tmpl w:val="36026EC1"/>
    <w:lvl w:ilvl="0" w:tentative="0">
      <w:start w:val="1"/>
      <w:numFmt w:val="decimal"/>
      <w:lvlText w:val="%1."/>
      <w:lvlJc w:val="left"/>
      <w:pPr>
        <w:ind w:left="425" w:hanging="425"/>
      </w:pPr>
      <w:rPr>
        <w:rFonts w:hint="default"/>
      </w:rPr>
    </w:lvl>
  </w:abstractNum>
  <w:abstractNum w:abstractNumId="72">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4D10F0DB"/>
    <w:multiLevelType w:val="multilevel"/>
    <w:tmpl w:val="4D10F0DB"/>
    <w:lvl w:ilvl="0" w:tentative="0">
      <w:start w:val="1"/>
      <w:numFmt w:val="decimal"/>
      <w:lvlText w:val="3.3.%1"/>
      <w:lvlJc w:val="left"/>
      <w:pPr>
        <w:ind w:left="2240" w:hanging="440"/>
      </w:pPr>
      <w:rPr>
        <w:rFonts w:hint="default"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4FA8CE7A"/>
    <w:multiLevelType w:val="singleLevel"/>
    <w:tmpl w:val="4FA8CE7A"/>
    <w:lvl w:ilvl="0" w:tentative="0">
      <w:start w:val="1"/>
      <w:numFmt w:val="decimal"/>
      <w:lvlText w:val="%1."/>
      <w:lvlJc w:val="left"/>
      <w:pPr>
        <w:ind w:left="425" w:hanging="425"/>
      </w:pPr>
      <w:rPr>
        <w:rFonts w:hint="default"/>
      </w:rPr>
    </w:lvl>
  </w:abstractNum>
  <w:abstractNum w:abstractNumId="94">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9">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4">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5998511A"/>
    <w:multiLevelType w:val="singleLevel"/>
    <w:tmpl w:val="5998511A"/>
    <w:lvl w:ilvl="0" w:tentative="0">
      <w:start w:val="1"/>
      <w:numFmt w:val="decimal"/>
      <w:lvlText w:val="%1."/>
      <w:lvlJc w:val="left"/>
      <w:pPr>
        <w:ind w:left="425" w:hanging="425"/>
      </w:pPr>
      <w:rPr>
        <w:rFonts w:hint="default"/>
      </w:rPr>
    </w:lvl>
  </w:abstractNum>
  <w:abstractNum w:abstractNumId="107">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5E563DDF"/>
    <w:multiLevelType w:val="multilevel"/>
    <w:tmpl w:val="5E563DDF"/>
    <w:lvl w:ilvl="0" w:tentative="0">
      <w:start w:val="1"/>
      <w:numFmt w:val="decimal"/>
      <w:lvlText w:val="3.4.%1"/>
      <w:lvlJc w:val="left"/>
      <w:pPr>
        <w:ind w:left="2240" w:hanging="440"/>
      </w:pPr>
      <w:rPr>
        <w:rFonts w:hint="default"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4">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7">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8">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9">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6F6B9337"/>
    <w:multiLevelType w:val="singleLevel"/>
    <w:tmpl w:val="6F6B9337"/>
    <w:lvl w:ilvl="0" w:tentative="0">
      <w:start w:val="1"/>
      <w:numFmt w:val="decimal"/>
      <w:lvlText w:val="%1."/>
      <w:lvlJc w:val="left"/>
      <w:pPr>
        <w:ind w:left="425" w:hanging="425"/>
      </w:pPr>
      <w:rPr>
        <w:rFonts w:hint="default"/>
      </w:rPr>
    </w:lvl>
  </w:abstractNum>
  <w:abstractNum w:abstractNumId="122">
    <w:nsid w:val="724B7E6A"/>
    <w:multiLevelType w:val="singleLevel"/>
    <w:tmpl w:val="724B7E6A"/>
    <w:lvl w:ilvl="0" w:tentative="0">
      <w:start w:val="1"/>
      <w:numFmt w:val="decimal"/>
      <w:lvlText w:val="%1."/>
      <w:lvlJc w:val="left"/>
      <w:pPr>
        <w:ind w:left="425" w:hanging="425"/>
      </w:pPr>
      <w:rPr>
        <w:rFonts w:hint="default"/>
      </w:rPr>
    </w:lvl>
  </w:abstractNum>
  <w:abstractNum w:abstractNumId="123">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4">
    <w:nsid w:val="72DF78FC"/>
    <w:multiLevelType w:val="singleLevel"/>
    <w:tmpl w:val="72DF78FC"/>
    <w:lvl w:ilvl="0" w:tentative="0">
      <w:start w:val="1"/>
      <w:numFmt w:val="decimal"/>
      <w:lvlText w:val="(%1)"/>
      <w:lvlJc w:val="left"/>
      <w:pPr>
        <w:ind w:left="425" w:hanging="425"/>
      </w:pPr>
      <w:rPr>
        <w:rFonts w:hint="default"/>
      </w:rPr>
    </w:lvl>
  </w:abstractNum>
  <w:abstractNum w:abstractNumId="125">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6">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7">
    <w:nsid w:val="74763AE1"/>
    <w:multiLevelType w:val="singleLevel"/>
    <w:tmpl w:val="74763AE1"/>
    <w:lvl w:ilvl="0" w:tentative="0">
      <w:start w:val="1"/>
      <w:numFmt w:val="decimal"/>
      <w:lvlText w:val="%1."/>
      <w:lvlJc w:val="left"/>
      <w:pPr>
        <w:ind w:left="425" w:hanging="425"/>
      </w:pPr>
      <w:rPr>
        <w:rFonts w:hint="default"/>
      </w:rPr>
    </w:lvl>
  </w:abstractNum>
  <w:abstractNum w:abstractNumId="128">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9">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0">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1">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2">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3">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69"/>
  </w:num>
  <w:num w:numId="2">
    <w:abstractNumId w:val="62"/>
  </w:num>
  <w:num w:numId="3">
    <w:abstractNumId w:val="82"/>
  </w:num>
  <w:num w:numId="4">
    <w:abstractNumId w:val="68"/>
  </w:num>
  <w:num w:numId="5">
    <w:abstractNumId w:val="91"/>
  </w:num>
  <w:num w:numId="6">
    <w:abstractNumId w:val="125"/>
  </w:num>
  <w:num w:numId="7">
    <w:abstractNumId w:val="126"/>
  </w:num>
  <w:num w:numId="8">
    <w:abstractNumId w:val="99"/>
  </w:num>
  <w:num w:numId="9">
    <w:abstractNumId w:val="131"/>
  </w:num>
  <w:num w:numId="10">
    <w:abstractNumId w:val="41"/>
  </w:num>
  <w:num w:numId="11">
    <w:abstractNumId w:val="9"/>
  </w:num>
  <w:num w:numId="12">
    <w:abstractNumId w:val="6"/>
  </w:num>
  <w:num w:numId="13">
    <w:abstractNumId w:val="127"/>
  </w:num>
  <w:num w:numId="14">
    <w:abstractNumId w:val="56"/>
  </w:num>
  <w:num w:numId="15">
    <w:abstractNumId w:val="59"/>
  </w:num>
  <w:num w:numId="16">
    <w:abstractNumId w:val="10"/>
  </w:num>
  <w:num w:numId="17">
    <w:abstractNumId w:val="106"/>
  </w:num>
  <w:num w:numId="18">
    <w:abstractNumId w:val="1"/>
  </w:num>
  <w:num w:numId="19">
    <w:abstractNumId w:val="8"/>
  </w:num>
  <w:num w:numId="20">
    <w:abstractNumId w:val="13"/>
  </w:num>
  <w:num w:numId="21">
    <w:abstractNumId w:val="93"/>
  </w:num>
  <w:num w:numId="22">
    <w:abstractNumId w:val="45"/>
  </w:num>
  <w:num w:numId="23">
    <w:abstractNumId w:val="27"/>
  </w:num>
  <w:num w:numId="24">
    <w:abstractNumId w:val="58"/>
  </w:num>
  <w:num w:numId="25">
    <w:abstractNumId w:val="22"/>
  </w:num>
  <w:num w:numId="26">
    <w:abstractNumId w:val="15"/>
  </w:num>
  <w:num w:numId="27">
    <w:abstractNumId w:val="25"/>
  </w:num>
  <w:num w:numId="28">
    <w:abstractNumId w:val="3"/>
  </w:num>
  <w:num w:numId="29">
    <w:abstractNumId w:val="28"/>
  </w:num>
  <w:num w:numId="30">
    <w:abstractNumId w:val="17"/>
  </w:num>
  <w:num w:numId="31">
    <w:abstractNumId w:val="66"/>
  </w:num>
  <w:num w:numId="32">
    <w:abstractNumId w:val="122"/>
  </w:num>
  <w:num w:numId="33">
    <w:abstractNumId w:val="0"/>
  </w:num>
  <w:num w:numId="34">
    <w:abstractNumId w:val="16"/>
  </w:num>
  <w:num w:numId="35">
    <w:abstractNumId w:val="80"/>
  </w:num>
  <w:num w:numId="36">
    <w:abstractNumId w:val="123"/>
  </w:num>
  <w:num w:numId="37">
    <w:abstractNumId w:val="107"/>
  </w:num>
  <w:num w:numId="38">
    <w:abstractNumId w:val="78"/>
  </w:num>
  <w:num w:numId="39">
    <w:abstractNumId w:val="54"/>
  </w:num>
  <w:num w:numId="40">
    <w:abstractNumId w:val="132"/>
  </w:num>
  <w:num w:numId="41">
    <w:abstractNumId w:val="102"/>
  </w:num>
  <w:num w:numId="42">
    <w:abstractNumId w:val="65"/>
  </w:num>
  <w:num w:numId="43">
    <w:abstractNumId w:val="111"/>
  </w:num>
  <w:num w:numId="44">
    <w:abstractNumId w:val="72"/>
  </w:num>
  <w:num w:numId="45">
    <w:abstractNumId w:val="112"/>
  </w:num>
  <w:num w:numId="46">
    <w:abstractNumId w:val="108"/>
  </w:num>
  <w:num w:numId="47">
    <w:abstractNumId w:val="120"/>
  </w:num>
  <w:num w:numId="48">
    <w:abstractNumId w:val="118"/>
  </w:num>
  <w:num w:numId="49">
    <w:abstractNumId w:val="55"/>
  </w:num>
  <w:num w:numId="50">
    <w:abstractNumId w:val="49"/>
  </w:num>
  <w:num w:numId="51">
    <w:abstractNumId w:val="44"/>
  </w:num>
  <w:num w:numId="52">
    <w:abstractNumId w:val="89"/>
  </w:num>
  <w:num w:numId="53">
    <w:abstractNumId w:val="81"/>
  </w:num>
  <w:num w:numId="54">
    <w:abstractNumId w:val="105"/>
  </w:num>
  <w:num w:numId="55">
    <w:abstractNumId w:val="128"/>
  </w:num>
  <w:num w:numId="56">
    <w:abstractNumId w:val="86"/>
  </w:num>
  <w:num w:numId="57">
    <w:abstractNumId w:val="76"/>
  </w:num>
  <w:num w:numId="58">
    <w:abstractNumId w:val="74"/>
  </w:num>
  <w:num w:numId="59">
    <w:abstractNumId w:val="88"/>
  </w:num>
  <w:num w:numId="60">
    <w:abstractNumId w:val="37"/>
  </w:num>
  <w:num w:numId="61">
    <w:abstractNumId w:val="103"/>
  </w:num>
  <w:num w:numId="62">
    <w:abstractNumId w:val="117"/>
  </w:num>
  <w:num w:numId="63">
    <w:abstractNumId w:val="119"/>
  </w:num>
  <w:num w:numId="64">
    <w:abstractNumId w:val="52"/>
  </w:num>
  <w:num w:numId="65">
    <w:abstractNumId w:val="63"/>
  </w:num>
  <w:num w:numId="66">
    <w:abstractNumId w:val="104"/>
  </w:num>
  <w:num w:numId="67">
    <w:abstractNumId w:val="51"/>
  </w:num>
  <w:num w:numId="68">
    <w:abstractNumId w:val="53"/>
  </w:num>
  <w:num w:numId="69">
    <w:abstractNumId w:val="43"/>
  </w:num>
  <w:num w:numId="70">
    <w:abstractNumId w:val="84"/>
  </w:num>
  <w:num w:numId="71">
    <w:abstractNumId w:val="97"/>
  </w:num>
  <w:num w:numId="72">
    <w:abstractNumId w:val="110"/>
  </w:num>
  <w:num w:numId="73">
    <w:abstractNumId w:val="77"/>
  </w:num>
  <w:num w:numId="74">
    <w:abstractNumId w:val="79"/>
  </w:num>
  <w:num w:numId="75">
    <w:abstractNumId w:val="100"/>
  </w:num>
  <w:num w:numId="76">
    <w:abstractNumId w:val="113"/>
  </w:num>
  <w:num w:numId="77">
    <w:abstractNumId w:val="116"/>
  </w:num>
  <w:num w:numId="78">
    <w:abstractNumId w:val="92"/>
  </w:num>
  <w:num w:numId="79">
    <w:abstractNumId w:val="90"/>
  </w:num>
  <w:num w:numId="80">
    <w:abstractNumId w:val="109"/>
  </w:num>
  <w:num w:numId="81">
    <w:abstractNumId w:val="60"/>
  </w:num>
  <w:num w:numId="82">
    <w:abstractNumId w:val="95"/>
  </w:num>
  <w:num w:numId="83">
    <w:abstractNumId w:val="87"/>
  </w:num>
  <w:num w:numId="84">
    <w:abstractNumId w:val="133"/>
  </w:num>
  <w:num w:numId="85">
    <w:abstractNumId w:val="57"/>
  </w:num>
  <w:num w:numId="86">
    <w:abstractNumId w:val="83"/>
  </w:num>
  <w:num w:numId="87">
    <w:abstractNumId w:val="130"/>
  </w:num>
  <w:num w:numId="88">
    <w:abstractNumId w:val="40"/>
  </w:num>
  <w:num w:numId="89">
    <w:abstractNumId w:val="61"/>
  </w:num>
  <w:num w:numId="90">
    <w:abstractNumId w:val="98"/>
  </w:num>
  <w:num w:numId="91">
    <w:abstractNumId w:val="96"/>
  </w:num>
  <w:num w:numId="92">
    <w:abstractNumId w:val="50"/>
  </w:num>
  <w:num w:numId="93">
    <w:abstractNumId w:val="36"/>
  </w:num>
  <w:num w:numId="94">
    <w:abstractNumId w:val="129"/>
  </w:num>
  <w:num w:numId="95">
    <w:abstractNumId w:val="32"/>
  </w:num>
  <w:num w:numId="96">
    <w:abstractNumId w:val="30"/>
  </w:num>
  <w:num w:numId="97">
    <w:abstractNumId w:val="85"/>
  </w:num>
  <w:num w:numId="98">
    <w:abstractNumId w:val="115"/>
  </w:num>
  <w:num w:numId="99">
    <w:abstractNumId w:val="94"/>
  </w:num>
  <w:num w:numId="100">
    <w:abstractNumId w:val="29"/>
  </w:num>
  <w:num w:numId="101">
    <w:abstractNumId w:val="21"/>
  </w:num>
  <w:num w:numId="102">
    <w:abstractNumId w:val="124"/>
  </w:num>
  <w:num w:numId="103">
    <w:abstractNumId w:val="31"/>
  </w:num>
  <w:num w:numId="104">
    <w:abstractNumId w:val="11"/>
  </w:num>
  <w:num w:numId="105">
    <w:abstractNumId w:val="4"/>
  </w:num>
  <w:num w:numId="106">
    <w:abstractNumId w:val="18"/>
  </w:num>
  <w:num w:numId="107">
    <w:abstractNumId w:val="20"/>
  </w:num>
  <w:num w:numId="108">
    <w:abstractNumId w:val="71"/>
  </w:num>
  <w:num w:numId="109">
    <w:abstractNumId w:val="5"/>
  </w:num>
  <w:num w:numId="110">
    <w:abstractNumId w:val="70"/>
  </w:num>
  <w:num w:numId="111">
    <w:abstractNumId w:val="2"/>
  </w:num>
  <w:num w:numId="112">
    <w:abstractNumId w:val="121"/>
  </w:num>
  <w:num w:numId="113">
    <w:abstractNumId w:val="48"/>
  </w:num>
  <w:num w:numId="114">
    <w:abstractNumId w:val="46"/>
  </w:num>
  <w:num w:numId="115">
    <w:abstractNumId w:val="23"/>
  </w:num>
  <w:num w:numId="116">
    <w:abstractNumId w:val="39"/>
  </w:num>
  <w:num w:numId="117">
    <w:abstractNumId w:val="12"/>
  </w:num>
  <w:num w:numId="118">
    <w:abstractNumId w:val="47"/>
  </w:num>
  <w:num w:numId="119">
    <w:abstractNumId w:val="38"/>
  </w:num>
  <w:num w:numId="120">
    <w:abstractNumId w:val="67"/>
  </w:num>
  <w:num w:numId="121">
    <w:abstractNumId w:val="42"/>
  </w:num>
  <w:num w:numId="122">
    <w:abstractNumId w:val="26"/>
  </w:num>
  <w:num w:numId="123">
    <w:abstractNumId w:val="19"/>
  </w:num>
  <w:num w:numId="124">
    <w:abstractNumId w:val="7"/>
  </w:num>
  <w:num w:numId="125">
    <w:abstractNumId w:val="35"/>
  </w:num>
  <w:num w:numId="126">
    <w:abstractNumId w:val="64"/>
  </w:num>
  <w:num w:numId="127">
    <w:abstractNumId w:val="75"/>
  </w:num>
  <w:num w:numId="128">
    <w:abstractNumId w:val="114"/>
  </w:num>
  <w:num w:numId="129">
    <w:abstractNumId w:val="33"/>
  </w:num>
  <w:num w:numId="130">
    <w:abstractNumId w:val="34"/>
  </w:num>
  <w:num w:numId="131">
    <w:abstractNumId w:val="24"/>
  </w:num>
  <w:num w:numId="132">
    <w:abstractNumId w:val="14"/>
  </w:num>
  <w:num w:numId="133">
    <w:abstractNumId w:val="73"/>
  </w:num>
  <w:num w:numId="134">
    <w:abstractNumId w:val="1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ZiNmFmYmRkNGYxYTUwMGVjNzMyOTNjMjk4NTViMjI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D3EFB"/>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3F74A9"/>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83D32"/>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7957"/>
    <w:rsid w:val="00FE239F"/>
    <w:rsid w:val="00FE277A"/>
    <w:rsid w:val="01A20DA5"/>
    <w:rsid w:val="01FD7FAA"/>
    <w:rsid w:val="0A490923"/>
    <w:rsid w:val="0A543CC2"/>
    <w:rsid w:val="0E16010F"/>
    <w:rsid w:val="107B2FAF"/>
    <w:rsid w:val="10EE19D3"/>
    <w:rsid w:val="117B0F3B"/>
    <w:rsid w:val="11BC3CCF"/>
    <w:rsid w:val="11DE3618"/>
    <w:rsid w:val="12F51E5F"/>
    <w:rsid w:val="134D77CE"/>
    <w:rsid w:val="193E5DA5"/>
    <w:rsid w:val="199E0970"/>
    <w:rsid w:val="19B117EF"/>
    <w:rsid w:val="1B1C663F"/>
    <w:rsid w:val="1CDA0C8C"/>
    <w:rsid w:val="1F4E4C77"/>
    <w:rsid w:val="21703F83"/>
    <w:rsid w:val="25D41411"/>
    <w:rsid w:val="27017343"/>
    <w:rsid w:val="2B09088B"/>
    <w:rsid w:val="2E3F2753"/>
    <w:rsid w:val="31FA79F2"/>
    <w:rsid w:val="3239609A"/>
    <w:rsid w:val="33DE0FDB"/>
    <w:rsid w:val="359D0A22"/>
    <w:rsid w:val="36BE50F4"/>
    <w:rsid w:val="37A86000"/>
    <w:rsid w:val="37A9509B"/>
    <w:rsid w:val="3BE111A0"/>
    <w:rsid w:val="3C0A012B"/>
    <w:rsid w:val="483A6507"/>
    <w:rsid w:val="50EB0ACD"/>
    <w:rsid w:val="51200520"/>
    <w:rsid w:val="51BB6A20"/>
    <w:rsid w:val="530E6E89"/>
    <w:rsid w:val="537D4F8A"/>
    <w:rsid w:val="579A25C3"/>
    <w:rsid w:val="60347445"/>
    <w:rsid w:val="6485415A"/>
    <w:rsid w:val="64D15AC7"/>
    <w:rsid w:val="65DC3709"/>
    <w:rsid w:val="65F34C68"/>
    <w:rsid w:val="67F34810"/>
    <w:rsid w:val="69AB21D9"/>
    <w:rsid w:val="6B861B53"/>
    <w:rsid w:val="6DCA1A25"/>
    <w:rsid w:val="6DD15CA7"/>
    <w:rsid w:val="70100167"/>
    <w:rsid w:val="73603A4F"/>
    <w:rsid w:val="757E4553"/>
    <w:rsid w:val="76D27734"/>
    <w:rsid w:val="79894B12"/>
    <w:rsid w:val="7A7072D2"/>
    <w:rsid w:val="7BED6CDC"/>
    <w:rsid w:val="7DC964CB"/>
    <w:rsid w:val="7E9A3D56"/>
    <w:rsid w:val="7EA15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autoRedefine/>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unhideWhenUsed/>
    <w:qFormat/>
    <w:uiPriority w:val="99"/>
    <w:pPr>
      <w:jc w:val="left"/>
    </w:pPr>
  </w:style>
  <w:style w:type="paragraph" w:styleId="6">
    <w:name w:val="Body Text"/>
    <w:basedOn w:val="1"/>
    <w:link w:val="32"/>
    <w:qFormat/>
    <w:uiPriority w:val="0"/>
    <w:pPr>
      <w:spacing w:after="120"/>
    </w:pPr>
    <w:rPr>
      <w:rFonts w:ascii="Times New Roman" w:hAnsi="Times New Roman" w:eastAsia="宋体" w:cs="Times New Roman"/>
      <w:szCs w:val="24"/>
    </w:rPr>
  </w:style>
  <w:style w:type="paragraph" w:styleId="7">
    <w:name w:val="toc 3"/>
    <w:basedOn w:val="1"/>
    <w:next w:val="1"/>
    <w:autoRedefine/>
    <w:unhideWhenUsed/>
    <w:qFormat/>
    <w:uiPriority w:val="39"/>
    <w:pPr>
      <w:ind w:left="840" w:leftChars="400"/>
    </w:p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0"/>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annotation subject"/>
    <w:basedOn w:val="5"/>
    <w:next w:val="5"/>
    <w:link w:val="24"/>
    <w:semiHidden/>
    <w:unhideWhenUsed/>
    <w:qFormat/>
    <w:uiPriority w:val="99"/>
    <w:rPr>
      <w:b/>
      <w:bCs/>
    </w:r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22"/>
    <w:rPr>
      <w:b/>
    </w:rPr>
  </w:style>
  <w:style w:type="character" w:styleId="17">
    <w:name w:val="Emphasis"/>
    <w:basedOn w:val="15"/>
    <w:autoRedefine/>
    <w:qFormat/>
    <w:uiPriority w:val="20"/>
    <w:rPr>
      <w:i/>
      <w:iCs/>
    </w:rPr>
  </w:style>
  <w:style w:type="character" w:styleId="18">
    <w:name w:val="Hyperlink"/>
    <w:basedOn w:val="15"/>
    <w:autoRedefine/>
    <w:unhideWhenUsed/>
    <w:qFormat/>
    <w:uiPriority w:val="99"/>
    <w:rPr>
      <w:color w:val="0563C1" w:themeColor="hyperlink"/>
      <w:u w:val="single"/>
      <w14:textFill>
        <w14:solidFill>
          <w14:schemeClr w14:val="hlink"/>
        </w14:solidFill>
      </w14:textFill>
    </w:rPr>
  </w:style>
  <w:style w:type="character" w:styleId="19">
    <w:name w:val="annotation reference"/>
    <w:basedOn w:val="15"/>
    <w:autoRedefine/>
    <w:unhideWhenUsed/>
    <w:qFormat/>
    <w:uiPriority w:val="99"/>
    <w:rPr>
      <w:sz w:val="21"/>
      <w:szCs w:val="21"/>
    </w:rPr>
  </w:style>
  <w:style w:type="paragraph" w:customStyle="1" w:styleId="20">
    <w:name w:val="null3"/>
    <w:autoRedefine/>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1">
    <w:name w:val="页眉 字符"/>
    <w:basedOn w:val="15"/>
    <w:link w:val="9"/>
    <w:autoRedefine/>
    <w:qFormat/>
    <w:uiPriority w:val="0"/>
    <w:rPr>
      <w:sz w:val="18"/>
      <w:szCs w:val="18"/>
    </w:rPr>
  </w:style>
  <w:style w:type="character" w:customStyle="1" w:styleId="22">
    <w:name w:val="页脚 字符"/>
    <w:basedOn w:val="15"/>
    <w:link w:val="8"/>
    <w:autoRedefine/>
    <w:qFormat/>
    <w:uiPriority w:val="99"/>
    <w:rPr>
      <w:sz w:val="18"/>
      <w:szCs w:val="18"/>
    </w:rPr>
  </w:style>
  <w:style w:type="character" w:customStyle="1" w:styleId="23">
    <w:name w:val="批注文字 字符"/>
    <w:basedOn w:val="15"/>
    <w:link w:val="5"/>
    <w:autoRedefine/>
    <w:qFormat/>
    <w:uiPriority w:val="99"/>
  </w:style>
  <w:style w:type="character" w:customStyle="1" w:styleId="24">
    <w:name w:val="批注主题 字符"/>
    <w:basedOn w:val="23"/>
    <w:link w:val="12"/>
    <w:autoRedefine/>
    <w:semiHidden/>
    <w:qFormat/>
    <w:uiPriority w:val="99"/>
    <w:rPr>
      <w:b/>
      <w:bCs/>
    </w:rPr>
  </w:style>
  <w:style w:type="character" w:customStyle="1" w:styleId="25">
    <w:name w:val="Unresolved Mention"/>
    <w:basedOn w:val="15"/>
    <w:autoRedefine/>
    <w:semiHidden/>
    <w:unhideWhenUsed/>
    <w:qFormat/>
    <w:uiPriority w:val="99"/>
    <w:rPr>
      <w:color w:val="605E5C"/>
      <w:shd w:val="clear" w:color="auto" w:fill="E1DFDD"/>
    </w:rPr>
  </w:style>
  <w:style w:type="paragraph" w:styleId="26">
    <w:name w:val="List Paragraph"/>
    <w:basedOn w:val="1"/>
    <w:link w:val="27"/>
    <w:autoRedefine/>
    <w:qFormat/>
    <w:uiPriority w:val="34"/>
    <w:pPr>
      <w:ind w:firstLine="420" w:firstLineChars="200"/>
    </w:pPr>
  </w:style>
  <w:style w:type="character" w:customStyle="1" w:styleId="27">
    <w:name w:val="列表段落 字符"/>
    <w:link w:val="26"/>
    <w:autoRedefine/>
    <w:qFormat/>
    <w:uiPriority w:val="34"/>
  </w:style>
  <w:style w:type="character" w:customStyle="1" w:styleId="28">
    <w:name w:val="标题 2 字符"/>
    <w:basedOn w:val="15"/>
    <w:link w:val="3"/>
    <w:autoRedefine/>
    <w:qFormat/>
    <w:uiPriority w:val="9"/>
    <w:rPr>
      <w:rFonts w:asciiTheme="majorHAnsi" w:hAnsiTheme="majorHAnsi" w:eastAsiaTheme="majorEastAsia" w:cstheme="majorBidi"/>
      <w:b/>
      <w:bCs/>
      <w:sz w:val="32"/>
      <w:szCs w:val="32"/>
    </w:rPr>
  </w:style>
  <w:style w:type="paragraph" w:customStyle="1" w:styleId="29">
    <w:name w:val="正文缩进2格"/>
    <w:basedOn w:val="1"/>
    <w:link w:val="30"/>
    <w:autoRedefine/>
    <w:qFormat/>
    <w:uiPriority w:val="0"/>
    <w:pPr>
      <w:spacing w:line="600" w:lineRule="exact"/>
      <w:ind w:firstLine="639" w:firstLineChars="206"/>
    </w:pPr>
    <w:rPr>
      <w:rFonts w:ascii="仿宋_GB2312" w:hAnsi="宋体" w:eastAsia="仿宋_GB2312" w:cs="Times New Roman"/>
      <w:sz w:val="31"/>
      <w:szCs w:val="28"/>
    </w:rPr>
  </w:style>
  <w:style w:type="character" w:customStyle="1" w:styleId="30">
    <w:name w:val="正文缩进2格 Char"/>
    <w:link w:val="29"/>
    <w:autoRedefine/>
    <w:qFormat/>
    <w:uiPriority w:val="0"/>
    <w:rPr>
      <w:rFonts w:ascii="仿宋_GB2312" w:hAnsi="宋体" w:eastAsia="仿宋_GB2312" w:cs="Times New Roman"/>
      <w:sz w:val="31"/>
      <w:szCs w:val="28"/>
    </w:rPr>
  </w:style>
  <w:style w:type="paragraph" w:customStyle="1" w:styleId="31">
    <w:name w:val="列出段落1"/>
    <w:basedOn w:val="1"/>
    <w:autoRedefine/>
    <w:qFormat/>
    <w:uiPriority w:val="34"/>
    <w:pPr>
      <w:ind w:firstLine="420" w:firstLineChars="200"/>
    </w:pPr>
    <w:rPr>
      <w:rFonts w:ascii="Calibri" w:hAnsi="Calibri" w:eastAsia="宋体" w:cs="黑体"/>
    </w:rPr>
  </w:style>
  <w:style w:type="character" w:customStyle="1" w:styleId="32">
    <w:name w:val="正文文本 字符"/>
    <w:basedOn w:val="15"/>
    <w:link w:val="6"/>
    <w:autoRedefine/>
    <w:qFormat/>
    <w:uiPriority w:val="0"/>
    <w:rPr>
      <w:rFonts w:ascii="Times New Roman" w:hAnsi="Times New Roman" w:eastAsia="宋体" w:cs="Times New Roman"/>
      <w:szCs w:val="24"/>
    </w:rPr>
  </w:style>
  <w:style w:type="character" w:customStyle="1" w:styleId="33">
    <w:name w:val="标题 1 字符"/>
    <w:basedOn w:val="15"/>
    <w:link w:val="2"/>
    <w:autoRedefine/>
    <w:qFormat/>
    <w:uiPriority w:val="9"/>
    <w:rPr>
      <w:b/>
      <w:bCs/>
      <w:kern w:val="44"/>
      <w:sz w:val="44"/>
      <w:szCs w:val="44"/>
    </w:rPr>
  </w:style>
  <w:style w:type="paragraph" w:customStyle="1" w:styleId="34">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5">
    <w:name w:val="Revision"/>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91</Pages>
  <Words>9100</Words>
  <Characters>9483</Characters>
  <Lines>304</Lines>
  <Paragraphs>85</Paragraphs>
  <TotalTime>2</TotalTime>
  <ScaleCrop>false</ScaleCrop>
  <LinksUpToDate>false</LinksUpToDate>
  <CharactersWithSpaces>9599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2025-07-31T09:10:00Z</dcterms:created>
  <dc:creator>Administrator</dc:creator>
  <cp:lastModifiedBy>HUANG</cp:lastModifiedBy>
  <dcterms:modified xsi:type="dcterms:W3CDTF">2025-09-30T06:57:19Z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eyJoZGlkIjoiN2Y0YzdjYjQxYjRmYzc2Mzk0MzEyZWZkODJiYjdjMzciLCJ1c2VySWQiOiI0MDIxMTY5OTEifQ==</vt:lpwstr>
  </property>
  <property fmtid="{D5CDD505-2E9C-101B-9397-08002B2CF9AE}" pid="3" name="KSOProductBuildVer">
    <vt:lpwstr>2052-12.1.0.22529</vt:lpwstr>
  </property>
  <property fmtid="{D5CDD505-2E9C-101B-9397-08002B2CF9AE}" pid="4" name="ICV">
    <vt:lpwstr>E6D65E9230D2409EAC8839F5AC959B76_13</vt:lpwstr>
  </property>
</Properties>
</file>