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62F71">
      <w:pPr>
        <w:spacing w:before="870" w:beforeLines="200" w:after="652" w:afterLines="150" w:line="360" w:lineRule="auto"/>
        <w:jc w:val="center"/>
        <w:rPr>
          <w:rFonts w:hint="eastAsia" w:ascii="宋体" w:hAnsi="宋体" w:eastAsia="宋体"/>
          <w:b/>
          <w:bCs/>
          <w:snapToGrid w:val="0"/>
          <w:spacing w:val="22"/>
          <w:kern w:val="0"/>
          <w:sz w:val="160"/>
          <w:szCs w:val="160"/>
        </w:rPr>
      </w:pPr>
      <w:r>
        <w:rPr>
          <w:rFonts w:hint="eastAsia" w:ascii="宋体" w:hAnsi="宋体" w:eastAsia="宋体"/>
          <w:b/>
          <w:bCs/>
          <w:snapToGrid w:val="0"/>
          <w:spacing w:val="22"/>
          <w:kern w:val="0"/>
          <w:sz w:val="160"/>
          <w:szCs w:val="160"/>
        </w:rPr>
        <w:t>招标文件</w:t>
      </w:r>
    </w:p>
    <w:p w14:paraId="591E9C38">
      <w:pPr>
        <w:spacing w:before="652" w:beforeLines="150" w:after="870" w:afterLines="200" w:line="360" w:lineRule="auto"/>
        <w:jc w:val="center"/>
        <w:rPr>
          <w:rFonts w:hint="eastAsia" w:ascii="宋体" w:hAnsi="宋体" w:eastAsia="宋体"/>
          <w:b/>
          <w:bCs/>
          <w:snapToGrid w:val="0"/>
          <w:spacing w:val="-20"/>
          <w:kern w:val="0"/>
          <w:sz w:val="100"/>
          <w:szCs w:val="100"/>
        </w:rPr>
      </w:pPr>
      <w:r>
        <w:rPr>
          <w:rFonts w:ascii="宋体" w:hAnsi="宋体" w:eastAsia="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0FA9E382">
      <w:pPr>
        <w:pStyle w:val="18"/>
        <w:tabs>
          <w:tab w:val="left" w:pos="9072"/>
        </w:tabs>
        <w:spacing w:line="640" w:lineRule="exact"/>
        <w:ind w:firstLine="826" w:firstLineChars="235"/>
        <w:outlineLvl w:val="3"/>
        <w:rPr>
          <w:rFonts w:hint="eastAsia" w:ascii="宋体" w:hAnsi="宋体" w:eastAsia="宋体"/>
          <w:sz w:val="35"/>
          <w:szCs w:val="35"/>
          <w:lang w:eastAsia="zh-CN"/>
        </w:rPr>
      </w:pPr>
      <w:r>
        <w:rPr>
          <w:rFonts w:ascii="宋体" w:hAnsi="宋体" w:eastAsia="宋体"/>
          <w:b/>
          <w:sz w:val="35"/>
          <w:szCs w:val="35"/>
        </w:rPr>
        <w:t>项目编号：</w:t>
      </w:r>
      <w:r>
        <w:rPr>
          <w:rFonts w:hint="eastAsia" w:ascii="宋体" w:hAnsi="宋体" w:eastAsia="宋体"/>
          <w:b/>
          <w:sz w:val="35"/>
          <w:szCs w:val="35"/>
          <w:lang w:eastAsia="zh-CN"/>
        </w:rPr>
        <w:t>ZHDGZC2025070-1</w:t>
      </w:r>
    </w:p>
    <w:p w14:paraId="5DF71874">
      <w:pPr>
        <w:pStyle w:val="18"/>
        <w:spacing w:line="640" w:lineRule="exact"/>
        <w:ind w:left="2527" w:leftChars="400" w:hanging="1687" w:hangingChars="480"/>
        <w:outlineLvl w:val="3"/>
        <w:rPr>
          <w:rFonts w:hint="eastAsia" w:ascii="宋体" w:hAnsi="宋体" w:eastAsia="宋体"/>
          <w:sz w:val="35"/>
          <w:szCs w:val="35"/>
          <w:lang w:eastAsia="zh-CN"/>
        </w:rPr>
      </w:pPr>
      <w:r>
        <w:rPr>
          <w:rFonts w:ascii="宋体" w:hAnsi="宋体" w:eastAsia="宋体"/>
          <w:b/>
          <w:sz w:val="35"/>
          <w:szCs w:val="35"/>
        </w:rPr>
        <w:t>项目名称：</w:t>
      </w:r>
      <w:r>
        <w:rPr>
          <w:rFonts w:hint="eastAsia" w:ascii="宋体" w:hAnsi="宋体" w:eastAsia="宋体"/>
          <w:b/>
          <w:sz w:val="35"/>
          <w:szCs w:val="35"/>
          <w:lang w:eastAsia="zh-CN"/>
        </w:rPr>
        <w:t>2025年东莞市农药包装废弃物与废旧农膜回收处理项目（二次采购）</w:t>
      </w:r>
    </w:p>
    <w:p w14:paraId="6F7AF5C7">
      <w:pPr>
        <w:pStyle w:val="18"/>
        <w:spacing w:line="640" w:lineRule="exact"/>
        <w:ind w:firstLine="826" w:firstLineChars="235"/>
        <w:outlineLvl w:val="3"/>
        <w:rPr>
          <w:rFonts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人：东莞市农业技术推广管理办公室</w:t>
      </w:r>
    </w:p>
    <w:p w14:paraId="23D3DCAD">
      <w:pPr>
        <w:pStyle w:val="18"/>
        <w:spacing w:line="640" w:lineRule="exact"/>
        <w:ind w:firstLine="826" w:firstLineChars="235"/>
        <w:outlineLvl w:val="3"/>
        <w:rPr>
          <w:rFonts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HAnsi" w:hAnsiTheme="minorHAnsi" w:eastAsiaTheme="minorEastAsia" w:cstheme="minorBidi"/>
          <w:color w:val="auto"/>
          <w:kern w:val="2"/>
          <w:sz w:val="21"/>
          <w:szCs w:val="22"/>
          <w:lang w:val="zh-CN"/>
        </w:rPr>
        <w:id w:val="781081674"/>
        <w:docPartObj>
          <w:docPartGallery w:val="Table of Contents"/>
          <w:docPartUnique/>
        </w:docPartObj>
      </w:sdtPr>
      <w:sdtEndPr>
        <w:rPr>
          <w:rFonts w:ascii="宋体" w:hAnsi="宋体" w:eastAsia="宋体" w:cstheme="minorBidi"/>
          <w:color w:val="auto"/>
          <w:kern w:val="2"/>
          <w:sz w:val="24"/>
          <w:szCs w:val="24"/>
          <w:lang w:val="zh-CN"/>
        </w:rPr>
      </w:sdtEndPr>
      <w:sdtContent>
        <w:p w14:paraId="64C352B0">
          <w:pPr>
            <w:pStyle w:val="32"/>
            <w:keepNext w:val="0"/>
            <w:keepLines w:val="0"/>
            <w:pageBreakBefore/>
            <w:widowControl w:val="0"/>
            <w:jc w:val="center"/>
            <w:rPr>
              <w:rFonts w:hint="eastAsia"/>
              <w:color w:val="auto"/>
            </w:rPr>
          </w:pPr>
          <w:r>
            <w:rPr>
              <w:rFonts w:ascii="宋体" w:hAnsi="宋体" w:eastAsia="宋体"/>
              <w:b/>
              <w:bCs/>
              <w:color w:val="auto"/>
              <w:sz w:val="36"/>
              <w:szCs w:val="36"/>
              <w:lang w:val="zh-CN"/>
            </w:rPr>
            <w:t>目录</w:t>
          </w:r>
        </w:p>
        <w:p w14:paraId="2BBE8846">
          <w:pPr>
            <w:pStyle w:val="10"/>
            <w:tabs>
              <w:tab w:val="right" w:leader="dot" w:pos="9231"/>
            </w:tabs>
            <w:spacing w:line="360" w:lineRule="auto"/>
            <w:ind w:left="419" w:leftChars="68" w:hanging="276" w:hangingChars="115"/>
            <w:rPr>
              <w:rFonts w:hint="eastAsia" w:ascii="宋体" w:hAnsi="宋体" w:eastAsia="宋体"/>
              <w:sz w:val="24"/>
              <w:szCs w:val="24"/>
              <w14:ligatures w14:val="standardContextual"/>
            </w:rPr>
          </w:pPr>
          <w:r>
            <w:rPr>
              <w:rFonts w:ascii="宋体" w:hAnsi="宋体" w:eastAsia="宋体"/>
              <w:sz w:val="24"/>
              <w:szCs w:val="24"/>
            </w:rPr>
            <w:fldChar w:fldCharType="begin"/>
          </w:r>
          <w:r>
            <w:rPr>
              <w:rFonts w:ascii="宋体" w:hAnsi="宋体" w:eastAsia="宋体"/>
              <w:sz w:val="24"/>
              <w:szCs w:val="24"/>
            </w:rPr>
            <w:instrText xml:space="preserve"> TOC \o "1-3" \h \z \u </w:instrText>
          </w:r>
          <w:r>
            <w:rPr>
              <w:rFonts w:ascii="宋体" w:hAnsi="宋体" w:eastAsia="宋体"/>
              <w:sz w:val="24"/>
              <w:szCs w:val="24"/>
            </w:rPr>
            <w:fldChar w:fldCharType="separate"/>
          </w:r>
          <w:r>
            <w:fldChar w:fldCharType="begin"/>
          </w:r>
          <w:r>
            <w:instrText xml:space="preserve"> HYPERLINK \l "_Toc169807540" </w:instrText>
          </w:r>
          <w:r>
            <w:fldChar w:fldCharType="separate"/>
          </w:r>
          <w:r>
            <w:rPr>
              <w:rStyle w:val="16"/>
              <w:rFonts w:ascii="宋体" w:hAnsi="宋体" w:eastAsia="宋体" w:cs="Times New Roman"/>
              <w:kern w:val="0"/>
              <w:sz w:val="24"/>
              <w:szCs w:val="24"/>
              <w:lang w:eastAsia="zh-Hans"/>
            </w:rPr>
            <w:t>第一章</w:t>
          </w:r>
          <w:r>
            <w:rPr>
              <w:rStyle w:val="16"/>
              <w:rFonts w:ascii="宋体" w:hAnsi="宋体" w:eastAsia="宋体" w:cs="Times New Roman"/>
              <w:kern w:val="0"/>
              <w:sz w:val="24"/>
              <w:szCs w:val="24"/>
            </w:rPr>
            <w:t xml:space="preserve"> </w:t>
          </w:r>
          <w:r>
            <w:rPr>
              <w:rStyle w:val="16"/>
              <w:rFonts w:ascii="宋体" w:hAnsi="宋体" w:eastAsia="宋体" w:cs="Times New Roman"/>
              <w:kern w:val="0"/>
              <w:sz w:val="24"/>
              <w:szCs w:val="24"/>
              <w:lang w:eastAsia="zh-Hans"/>
            </w:rPr>
            <w:t>投标邀请</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_Toc169807540 \h </w:instrText>
          </w:r>
          <w:r>
            <w:rPr>
              <w:rFonts w:ascii="宋体" w:hAnsi="宋体" w:eastAsia="宋体"/>
              <w:sz w:val="24"/>
              <w:szCs w:val="24"/>
            </w:rPr>
            <w:fldChar w:fldCharType="separate"/>
          </w:r>
          <w:r>
            <w:rPr>
              <w:rFonts w:ascii="宋体" w:hAnsi="宋体" w:eastAsia="宋体"/>
              <w:sz w:val="24"/>
              <w:szCs w:val="24"/>
            </w:rPr>
            <w:t>2</w:t>
          </w:r>
          <w:r>
            <w:rPr>
              <w:rFonts w:ascii="宋体" w:hAnsi="宋体" w:eastAsia="宋体"/>
              <w:sz w:val="24"/>
              <w:szCs w:val="24"/>
            </w:rPr>
            <w:fldChar w:fldCharType="end"/>
          </w:r>
          <w:r>
            <w:rPr>
              <w:rFonts w:ascii="宋体" w:hAnsi="宋体" w:eastAsia="宋体"/>
              <w:sz w:val="24"/>
              <w:szCs w:val="24"/>
            </w:rPr>
            <w:fldChar w:fldCharType="end"/>
          </w:r>
        </w:p>
        <w:p w14:paraId="163AD646">
          <w:pPr>
            <w:pStyle w:val="10"/>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"_Toc169807541" </w:instrText>
          </w:r>
          <w:r>
            <w:fldChar w:fldCharType="separate"/>
          </w:r>
          <w:r>
            <w:rPr>
              <w:rStyle w:val="16"/>
              <w:rFonts w:ascii="宋体" w:hAnsi="宋体" w:eastAsia="宋体" w:cs="Times New Roman"/>
              <w:kern w:val="0"/>
              <w:sz w:val="24"/>
              <w:szCs w:val="24"/>
              <w:lang w:eastAsia="zh-Hans"/>
            </w:rPr>
            <w:t>第二章 采购需求</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_Toc169807541 \h </w:instrText>
          </w:r>
          <w:r>
            <w:rPr>
              <w:rFonts w:ascii="宋体" w:hAnsi="宋体" w:eastAsia="宋体"/>
              <w:sz w:val="24"/>
              <w:szCs w:val="24"/>
            </w:rPr>
            <w:fldChar w:fldCharType="separate"/>
          </w:r>
          <w:r>
            <w:rPr>
              <w:rFonts w:ascii="宋体" w:hAnsi="宋体" w:eastAsia="宋体"/>
              <w:sz w:val="24"/>
              <w:szCs w:val="24"/>
            </w:rPr>
            <w:t>6</w:t>
          </w:r>
          <w:r>
            <w:rPr>
              <w:rFonts w:ascii="宋体" w:hAnsi="宋体" w:eastAsia="宋体"/>
              <w:sz w:val="24"/>
              <w:szCs w:val="24"/>
            </w:rPr>
            <w:fldChar w:fldCharType="end"/>
          </w:r>
          <w:r>
            <w:rPr>
              <w:rFonts w:ascii="宋体" w:hAnsi="宋体" w:eastAsia="宋体"/>
              <w:sz w:val="24"/>
              <w:szCs w:val="24"/>
            </w:rPr>
            <w:fldChar w:fldCharType="end"/>
          </w:r>
        </w:p>
        <w:p w14:paraId="33D09290">
          <w:pPr>
            <w:pStyle w:val="10"/>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"_Toc169807542" </w:instrText>
          </w:r>
          <w:r>
            <w:fldChar w:fldCharType="separate"/>
          </w:r>
          <w:r>
            <w:rPr>
              <w:rStyle w:val="16"/>
              <w:rFonts w:ascii="宋体" w:hAnsi="宋体" w:eastAsia="宋体" w:cs="Times New Roman"/>
              <w:kern w:val="0"/>
              <w:sz w:val="24"/>
              <w:szCs w:val="24"/>
              <w:lang w:eastAsia="zh-Hans"/>
            </w:rPr>
            <w:t>第三章 投标人须知</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_Toc169807542 \h </w:instrText>
          </w:r>
          <w:r>
            <w:rPr>
              <w:rFonts w:ascii="宋体" w:hAnsi="宋体" w:eastAsia="宋体"/>
              <w:sz w:val="24"/>
              <w:szCs w:val="24"/>
            </w:rPr>
            <w:fldChar w:fldCharType="separate"/>
          </w:r>
          <w:r>
            <w:rPr>
              <w:rFonts w:ascii="宋体" w:hAnsi="宋体" w:eastAsia="宋体"/>
              <w:sz w:val="24"/>
              <w:szCs w:val="24"/>
            </w:rPr>
            <w:t>11</w:t>
          </w:r>
          <w:r>
            <w:rPr>
              <w:rFonts w:ascii="宋体" w:hAnsi="宋体" w:eastAsia="宋体"/>
              <w:sz w:val="24"/>
              <w:szCs w:val="24"/>
            </w:rPr>
            <w:fldChar w:fldCharType="end"/>
          </w:r>
          <w:r>
            <w:rPr>
              <w:rFonts w:ascii="宋体" w:hAnsi="宋体" w:eastAsia="宋体"/>
              <w:sz w:val="24"/>
              <w:szCs w:val="24"/>
            </w:rPr>
            <w:fldChar w:fldCharType="end"/>
          </w:r>
        </w:p>
        <w:p w14:paraId="08276CF6">
          <w:pPr>
            <w:pStyle w:val="10"/>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"_Toc169807543" </w:instrText>
          </w:r>
          <w:r>
            <w:fldChar w:fldCharType="separate"/>
          </w:r>
          <w:r>
            <w:rPr>
              <w:rStyle w:val="16"/>
              <w:rFonts w:ascii="宋体" w:hAnsi="宋体" w:eastAsia="宋体" w:cs="Times New Roman"/>
              <w:kern w:val="0"/>
              <w:sz w:val="24"/>
              <w:szCs w:val="24"/>
              <w:lang w:eastAsia="zh-Hans"/>
            </w:rPr>
            <w:t>第四章 评标</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_Toc169807543 \h </w:instrText>
          </w:r>
          <w:r>
            <w:rPr>
              <w:rFonts w:ascii="宋体" w:hAnsi="宋体" w:eastAsia="宋体"/>
              <w:sz w:val="24"/>
              <w:szCs w:val="24"/>
            </w:rPr>
            <w:fldChar w:fldCharType="separate"/>
          </w:r>
          <w:r>
            <w:rPr>
              <w:rFonts w:ascii="宋体" w:hAnsi="宋体" w:eastAsia="宋体"/>
              <w:sz w:val="24"/>
              <w:szCs w:val="24"/>
            </w:rPr>
            <w:t>22</w:t>
          </w:r>
          <w:r>
            <w:rPr>
              <w:rFonts w:ascii="宋体" w:hAnsi="宋体" w:eastAsia="宋体"/>
              <w:sz w:val="24"/>
              <w:szCs w:val="24"/>
            </w:rPr>
            <w:fldChar w:fldCharType="end"/>
          </w:r>
          <w:r>
            <w:rPr>
              <w:rFonts w:ascii="宋体" w:hAnsi="宋体" w:eastAsia="宋体"/>
              <w:sz w:val="24"/>
              <w:szCs w:val="24"/>
            </w:rPr>
            <w:fldChar w:fldCharType="end"/>
          </w:r>
        </w:p>
        <w:p w14:paraId="109E6CAF">
          <w:pPr>
            <w:pStyle w:val="10"/>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"_Toc169807544" </w:instrText>
          </w:r>
          <w:r>
            <w:fldChar w:fldCharType="separate"/>
          </w:r>
          <w:r>
            <w:rPr>
              <w:rStyle w:val="16"/>
              <w:rFonts w:ascii="宋体" w:hAnsi="宋体" w:eastAsia="宋体" w:cs="Times New Roman"/>
              <w:kern w:val="0"/>
              <w:sz w:val="24"/>
              <w:szCs w:val="24"/>
              <w:lang w:eastAsia="zh-Hans"/>
            </w:rPr>
            <w:t>第五章 合同文本</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_Toc169807544 \h </w:instrText>
          </w:r>
          <w:r>
            <w:rPr>
              <w:rFonts w:ascii="宋体" w:hAnsi="宋体" w:eastAsia="宋体"/>
              <w:sz w:val="24"/>
              <w:szCs w:val="24"/>
            </w:rPr>
            <w:fldChar w:fldCharType="separate"/>
          </w:r>
          <w:r>
            <w:rPr>
              <w:rFonts w:ascii="宋体" w:hAnsi="宋体" w:eastAsia="宋体"/>
              <w:sz w:val="24"/>
              <w:szCs w:val="24"/>
            </w:rPr>
            <w:t>32</w:t>
          </w:r>
          <w:r>
            <w:rPr>
              <w:rFonts w:ascii="宋体" w:hAnsi="宋体" w:eastAsia="宋体"/>
              <w:sz w:val="24"/>
              <w:szCs w:val="24"/>
            </w:rPr>
            <w:fldChar w:fldCharType="end"/>
          </w:r>
          <w:r>
            <w:rPr>
              <w:rFonts w:ascii="宋体" w:hAnsi="宋体" w:eastAsia="宋体"/>
              <w:sz w:val="24"/>
              <w:szCs w:val="24"/>
            </w:rPr>
            <w:fldChar w:fldCharType="end"/>
          </w:r>
        </w:p>
        <w:p w14:paraId="0B807855">
          <w:pPr>
            <w:pStyle w:val="10"/>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"_Toc169807545" </w:instrText>
          </w:r>
          <w:r>
            <w:fldChar w:fldCharType="separate"/>
          </w:r>
          <w:r>
            <w:rPr>
              <w:rStyle w:val="16"/>
              <w:rFonts w:ascii="宋体" w:hAnsi="宋体" w:eastAsia="宋体" w:cs="Times New Roman"/>
              <w:kern w:val="0"/>
              <w:sz w:val="24"/>
              <w:szCs w:val="24"/>
              <w:lang w:eastAsia="zh-Hans"/>
            </w:rPr>
            <w:t>第六章 投标文件格式</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_Toc169807545 \h </w:instrText>
          </w:r>
          <w:r>
            <w:rPr>
              <w:rFonts w:ascii="宋体" w:hAnsi="宋体" w:eastAsia="宋体"/>
              <w:sz w:val="24"/>
              <w:szCs w:val="24"/>
            </w:rPr>
            <w:fldChar w:fldCharType="separate"/>
          </w:r>
          <w:r>
            <w:rPr>
              <w:rFonts w:ascii="宋体" w:hAnsi="宋体" w:eastAsia="宋体"/>
              <w:sz w:val="24"/>
              <w:szCs w:val="24"/>
            </w:rPr>
            <w:t>40</w:t>
          </w:r>
          <w:r>
            <w:rPr>
              <w:rFonts w:ascii="宋体" w:hAnsi="宋体" w:eastAsia="宋体"/>
              <w:sz w:val="24"/>
              <w:szCs w:val="24"/>
            </w:rPr>
            <w:fldChar w:fldCharType="end"/>
          </w:r>
          <w:r>
            <w:rPr>
              <w:rFonts w:ascii="宋体" w:hAnsi="宋体" w:eastAsia="宋体"/>
              <w:sz w:val="24"/>
              <w:szCs w:val="24"/>
            </w:rPr>
            <w:fldChar w:fldCharType="end"/>
          </w:r>
        </w:p>
        <w:p w14:paraId="4D65E689">
          <w:pPr>
            <w:pStyle w:val="18"/>
            <w:rPr>
              <w:rFonts w:ascii="宋体" w:hAnsi="宋体" w:eastAsia="宋体"/>
              <w:lang w:eastAsia="zh-CN"/>
            </w:rPr>
          </w:pPr>
          <w:r>
            <w:rPr>
              <w:rFonts w:ascii="宋体" w:hAnsi="宋体" w:eastAsia="宋体"/>
              <w:sz w:val="24"/>
              <w:szCs w:val="24"/>
              <w:lang w:val="zh-CN"/>
            </w:rPr>
            <w:fldChar w:fldCharType="end"/>
          </w:r>
        </w:p>
      </w:sdtContent>
    </w:sdt>
    <w:p w14:paraId="153F978C">
      <w:pPr>
        <w:pageBreakBefore/>
        <w:jc w:val="center"/>
        <w:outlineLvl w:val="1"/>
        <w:rPr>
          <w:rFonts w:ascii="Calibri" w:hAnsi="Calibri" w:eastAsia="宋体" w:cs="Times New Roman"/>
          <w:color w:val="auto"/>
          <w:kern w:val="0"/>
          <w:sz w:val="20"/>
          <w:szCs w:val="20"/>
          <w:lang w:eastAsia="zh-Hans"/>
        </w:rPr>
      </w:pPr>
      <w:bookmarkStart w:id="0" w:name="_Toc169807540"/>
      <w:bookmarkStart w:id="1" w:name="_Toc169799778"/>
      <w:r>
        <w:rPr>
          <w:rFonts w:ascii="Calibri" w:hAnsi="Calibri" w:eastAsia="宋体" w:cs="Times New Roman"/>
          <w:b/>
          <w:kern w:val="0"/>
          <w:sz w:val="36"/>
          <w:szCs w:val="20"/>
          <w:lang w:eastAsia="zh-Hans"/>
        </w:rPr>
        <w:t>第一章</w:t>
      </w:r>
      <w:r>
        <w:rPr>
          <w:rFonts w:hint="eastAsia" w:ascii="Calibri" w:hAnsi="Calibri" w:eastAsia="宋体" w:cs="Times New Roman"/>
          <w:b/>
          <w:kern w:val="0"/>
          <w:sz w:val="36"/>
          <w:szCs w:val="20"/>
        </w:rPr>
        <w:t xml:space="preserve"> </w:t>
      </w:r>
      <w:r>
        <w:rPr>
          <w:rFonts w:ascii="Calibri" w:hAnsi="Calibri" w:eastAsia="宋体" w:cs="Times New Roman"/>
          <w:b/>
          <w:kern w:val="0"/>
          <w:sz w:val="36"/>
          <w:szCs w:val="20"/>
          <w:lang w:eastAsia="zh-Hans"/>
        </w:rPr>
        <w:t>投</w:t>
      </w:r>
      <w:r>
        <w:rPr>
          <w:rFonts w:ascii="Calibri" w:hAnsi="Calibri" w:eastAsia="宋体" w:cs="Times New Roman"/>
          <w:b/>
          <w:color w:val="auto"/>
          <w:kern w:val="0"/>
          <w:sz w:val="36"/>
          <w:szCs w:val="20"/>
          <w:lang w:eastAsia="zh-Hans"/>
        </w:rPr>
        <w:t>标邀请</w:t>
      </w:r>
      <w:bookmarkEnd w:id="0"/>
      <w:bookmarkEnd w:id="1"/>
    </w:p>
    <w:p w14:paraId="48949A93">
      <w:pPr>
        <w:widowControl/>
        <w:ind w:firstLine="420" w:firstLineChars="200"/>
        <w:jc w:val="left"/>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u w:val="single"/>
        </w:rPr>
        <w:t>（</w:t>
      </w:r>
      <w:r>
        <w:rPr>
          <w:rFonts w:hint="eastAsia" w:ascii="宋体" w:hAnsi="宋体" w:eastAsia="宋体" w:cs="Times New Roman"/>
          <w:color w:val="auto"/>
          <w:kern w:val="0"/>
          <w:szCs w:val="21"/>
          <w:u w:val="single"/>
          <w:lang w:eastAsia="zh-CN"/>
        </w:rPr>
        <w:t>2025年东莞市农药包装废弃物与废旧农膜回收处理项目（二次采购）</w:t>
      </w:r>
      <w:r>
        <w:rPr>
          <w:rFonts w:hint="eastAsia" w:ascii="宋体" w:hAnsi="宋体" w:eastAsia="宋体" w:cs="Times New Roman"/>
          <w:color w:val="auto"/>
          <w:kern w:val="0"/>
          <w:szCs w:val="21"/>
          <w:u w:val="single"/>
        </w:rPr>
        <w:t>）</w:t>
      </w:r>
      <w:r>
        <w:rPr>
          <w:rFonts w:ascii="宋体" w:hAnsi="宋体" w:eastAsia="宋体" w:cs="Times New Roman"/>
          <w:color w:val="auto"/>
          <w:kern w:val="0"/>
          <w:szCs w:val="21"/>
          <w:lang w:eastAsia="zh-Hans"/>
        </w:rPr>
        <w:t>招标项目的潜在投标人应在</w:t>
      </w:r>
      <w:r>
        <w:rPr>
          <w:rFonts w:hint="eastAsia" w:ascii="宋体" w:hAnsi="宋体" w:eastAsia="宋体" w:cs="Times New Roman"/>
          <w:color w:val="auto"/>
          <w:kern w:val="0"/>
          <w:szCs w:val="21"/>
          <w:lang w:eastAsia="zh-Hans"/>
        </w:rPr>
        <w:t>东莞市南城街道雅园产业园区路5号1栋1楼</w:t>
      </w:r>
      <w:r>
        <w:rPr>
          <w:rFonts w:ascii="宋体" w:hAnsi="宋体" w:eastAsia="宋体" w:cs="Times New Roman"/>
          <w:color w:val="auto"/>
          <w:kern w:val="0"/>
          <w:szCs w:val="21"/>
          <w:lang w:eastAsia="zh-Hans"/>
        </w:rPr>
        <w:t>进行获取或微信搜索公众号“广东智汇城市</w:t>
      </w:r>
      <w:r>
        <w:rPr>
          <w:rFonts w:hint="eastAsia" w:ascii="宋体" w:hAnsi="宋体" w:eastAsia="宋体" w:cs="Times New Roman"/>
          <w:color w:val="auto"/>
          <w:kern w:val="0"/>
          <w:szCs w:val="21"/>
          <w:lang w:eastAsia="zh-Hans"/>
        </w:rPr>
        <w:t>招标采购有限公司</w:t>
      </w:r>
      <w:r>
        <w:rPr>
          <w:rFonts w:ascii="宋体" w:hAnsi="宋体" w:eastAsia="宋体" w:cs="Times New Roman"/>
          <w:color w:val="auto"/>
          <w:kern w:val="0"/>
          <w:szCs w:val="21"/>
          <w:lang w:eastAsia="zh-Hans"/>
        </w:rPr>
        <w:t>”获取招标文件，并于</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rPr>
        <w:t>年</w:t>
      </w:r>
      <w:r>
        <w:rPr>
          <w:rFonts w:hint="eastAsia" w:ascii="宋体" w:hAnsi="宋体" w:eastAsia="宋体" w:cs="Times New Roman"/>
          <w:color w:val="auto"/>
          <w:sz w:val="21"/>
          <w:szCs w:val="21"/>
          <w:lang w:val="en-US" w:eastAsia="zh-CN"/>
        </w:rPr>
        <w:t>10</w:t>
      </w:r>
      <w:r>
        <w:rPr>
          <w:rFonts w:ascii="宋体" w:hAnsi="宋体" w:eastAsia="宋体" w:cs="Times New Roman"/>
          <w:color w:val="auto"/>
          <w:sz w:val="21"/>
          <w:szCs w:val="21"/>
        </w:rPr>
        <w:t>月</w:t>
      </w:r>
      <w:r>
        <w:rPr>
          <w:rFonts w:hint="eastAsia" w:ascii="宋体" w:hAnsi="宋体" w:eastAsia="宋体" w:cs="Times New Roman"/>
          <w:color w:val="auto"/>
          <w:sz w:val="21"/>
          <w:szCs w:val="21"/>
          <w:lang w:val="en-US" w:eastAsia="zh-CN"/>
        </w:rPr>
        <w:t>16</w:t>
      </w:r>
      <w:r>
        <w:rPr>
          <w:rFonts w:ascii="宋体" w:hAnsi="宋体" w:eastAsia="宋体" w:cs="Times New Roman"/>
          <w:color w:val="auto"/>
          <w:sz w:val="21"/>
          <w:szCs w:val="21"/>
        </w:rPr>
        <w:t>日</w:t>
      </w:r>
      <w:r>
        <w:rPr>
          <w:rFonts w:hint="eastAsia" w:ascii="宋体" w:hAnsi="宋体" w:eastAsia="宋体" w:cs="Times New Roman"/>
          <w:color w:val="auto"/>
          <w:sz w:val="21"/>
          <w:szCs w:val="21"/>
          <w:lang w:val="en-US" w:eastAsia="zh-CN"/>
        </w:rPr>
        <w:t>09</w:t>
      </w:r>
      <w:r>
        <w:rPr>
          <w:rFonts w:ascii="宋体" w:hAnsi="宋体" w:eastAsia="宋体" w:cs="Times New Roman"/>
          <w:color w:val="auto"/>
          <w:sz w:val="21"/>
          <w:szCs w:val="21"/>
        </w:rPr>
        <w:t>点</w:t>
      </w:r>
      <w:r>
        <w:rPr>
          <w:rFonts w:hint="eastAsia" w:ascii="宋体" w:hAnsi="宋体" w:eastAsia="宋体" w:cs="Times New Roman"/>
          <w:color w:val="auto"/>
          <w:sz w:val="21"/>
          <w:szCs w:val="21"/>
          <w:lang w:val="en-US" w:eastAsia="zh-CN"/>
        </w:rPr>
        <w:t>30</w:t>
      </w:r>
      <w:r>
        <w:rPr>
          <w:rFonts w:ascii="宋体" w:hAnsi="宋体" w:eastAsia="宋体" w:cs="Times New Roman"/>
          <w:color w:val="auto"/>
          <w:sz w:val="21"/>
          <w:szCs w:val="21"/>
        </w:rPr>
        <w:t>分</w:t>
      </w:r>
      <w:r>
        <w:rPr>
          <w:rFonts w:ascii="宋体" w:hAnsi="宋体" w:eastAsia="宋体" w:cs="Times New Roman"/>
          <w:color w:val="auto"/>
          <w:kern w:val="0"/>
          <w:szCs w:val="21"/>
          <w:lang w:eastAsia="zh-Hans"/>
        </w:rPr>
        <w:t>（北京时间）前递交投标文件。</w:t>
      </w:r>
    </w:p>
    <w:p w14:paraId="4C3EA92D">
      <w:pPr>
        <w:spacing w:before="217" w:beforeLines="50"/>
        <w:rPr>
          <w:rFonts w:hint="eastAsia" w:ascii="宋体" w:hAnsi="宋体" w:eastAsia="宋体" w:cs="Times New Roman"/>
          <w:color w:val="auto"/>
          <w:kern w:val="0"/>
          <w:szCs w:val="21"/>
          <w:lang w:eastAsia="zh-Hans"/>
        </w:rPr>
      </w:pPr>
      <w:r>
        <w:rPr>
          <w:rFonts w:ascii="宋体" w:hAnsi="宋体" w:eastAsia="宋体" w:cs="Times New Roman"/>
          <w:b/>
          <w:color w:val="auto"/>
          <w:kern w:val="0"/>
          <w:sz w:val="24"/>
          <w:szCs w:val="24"/>
          <w:lang w:eastAsia="zh-Hans"/>
        </w:rPr>
        <w:t>一</w:t>
      </w:r>
      <w:r>
        <w:rPr>
          <w:rFonts w:hint="eastAsia" w:ascii="宋体" w:hAnsi="宋体" w:eastAsia="宋体" w:cs="Times New Roman"/>
          <w:b/>
          <w:color w:val="auto"/>
          <w:kern w:val="0"/>
          <w:sz w:val="24"/>
          <w:szCs w:val="24"/>
          <w:lang w:eastAsia="zh-Hans"/>
        </w:rPr>
        <w:t>、项目基本情况</w:t>
      </w:r>
    </w:p>
    <w:p w14:paraId="0FE9AB1B">
      <w:pPr>
        <w:pStyle w:val="24"/>
        <w:widowControl/>
        <w:numPr>
          <w:ilvl w:val="0"/>
          <w:numId w:val="1"/>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名称与编号</w:t>
      </w:r>
    </w:p>
    <w:p w14:paraId="192098C6">
      <w:pPr>
        <w:widowControl/>
        <w:jc w:val="left"/>
        <w:rPr>
          <w:rFonts w:hint="eastAsia" w:ascii="宋体" w:hAnsi="宋体" w:eastAsia="宋体" w:cs="Times New Roman"/>
          <w:kern w:val="0"/>
          <w:szCs w:val="21"/>
          <w:lang w:eastAsia="zh-CN"/>
        </w:rPr>
      </w:pPr>
      <w:r>
        <w:rPr>
          <w:rFonts w:hint="eastAsia" w:ascii="宋体" w:hAnsi="宋体" w:eastAsia="宋体" w:cs="Times New Roman"/>
          <w:kern w:val="0"/>
          <w:szCs w:val="21"/>
        </w:rPr>
        <w:t>项目编号：</w:t>
      </w:r>
      <w:r>
        <w:rPr>
          <w:rFonts w:hint="eastAsia" w:ascii="宋体" w:hAnsi="宋体" w:eastAsia="宋体" w:cs="Times New Roman"/>
          <w:kern w:val="0"/>
          <w:szCs w:val="21"/>
          <w:lang w:eastAsia="zh-CN"/>
        </w:rPr>
        <w:t>ZHDGZC2025070-1</w:t>
      </w:r>
    </w:p>
    <w:p w14:paraId="21762A41">
      <w:pPr>
        <w:widowControl/>
        <w:jc w:val="left"/>
        <w:rPr>
          <w:rFonts w:hint="eastAsia" w:ascii="宋体" w:hAnsi="宋体" w:eastAsia="宋体" w:cs="Times New Roman"/>
          <w:color w:val="auto"/>
          <w:kern w:val="0"/>
          <w:szCs w:val="21"/>
          <w:lang w:eastAsia="zh-CN"/>
        </w:rPr>
      </w:pPr>
      <w:r>
        <w:rPr>
          <w:rFonts w:ascii="宋体" w:hAnsi="宋体" w:eastAsia="宋体" w:cs="Times New Roman"/>
          <w:kern w:val="0"/>
          <w:szCs w:val="21"/>
          <w:lang w:eastAsia="zh-Hans"/>
        </w:rPr>
        <w:t>项目名称：</w:t>
      </w:r>
      <w:r>
        <w:rPr>
          <w:rFonts w:hint="eastAsia" w:ascii="宋体" w:hAnsi="宋体" w:eastAsia="宋体" w:cs="Times New Roman"/>
          <w:kern w:val="0"/>
          <w:szCs w:val="21"/>
          <w:lang w:eastAsia="zh-CN"/>
        </w:rPr>
        <w:t>2025年东莞市农药包装废弃物与废旧农膜回收处理项目（二次采购）</w:t>
      </w:r>
    </w:p>
    <w:p w14:paraId="22BBF6C1">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采购方式：公开招标</w:t>
      </w:r>
    </w:p>
    <w:p w14:paraId="175103FA">
      <w:pPr>
        <w:widowControl/>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预算金额：</w:t>
      </w:r>
      <w:r>
        <w:rPr>
          <w:rFonts w:hint="eastAsia" w:ascii="宋体" w:hAnsi="宋体" w:eastAsia="宋体" w:cs="Times New Roman"/>
          <w:color w:val="auto"/>
          <w:kern w:val="0"/>
          <w:szCs w:val="21"/>
          <w:lang w:eastAsia="zh-Hans"/>
        </w:rPr>
        <w:t>¥</w:t>
      </w:r>
      <w:r>
        <w:rPr>
          <w:rFonts w:hint="eastAsia" w:ascii="宋体" w:hAnsi="宋体" w:eastAsia="宋体" w:cs="Times New Roman"/>
          <w:color w:val="auto"/>
          <w:kern w:val="0"/>
          <w:szCs w:val="21"/>
          <w:lang w:val="en-US" w:eastAsia="zh-CN"/>
        </w:rPr>
        <w:t>566,000.00</w:t>
      </w:r>
      <w:r>
        <w:rPr>
          <w:rFonts w:ascii="宋体" w:hAnsi="宋体" w:eastAsia="宋体" w:cs="Times New Roman"/>
          <w:color w:val="auto"/>
          <w:kern w:val="0"/>
          <w:szCs w:val="21"/>
          <w:lang w:eastAsia="zh-Hans"/>
        </w:rPr>
        <w:t>元</w:t>
      </w:r>
    </w:p>
    <w:p w14:paraId="028DE1EC">
      <w:pPr>
        <w:pStyle w:val="24"/>
        <w:widowControl/>
        <w:numPr>
          <w:ilvl w:val="0"/>
          <w:numId w:val="1"/>
        </w:numPr>
        <w:ind w:left="284" w:hanging="284"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采购需求</w:t>
      </w:r>
      <w:r>
        <w:rPr>
          <w:rFonts w:hint="eastAsia" w:ascii="宋体" w:hAnsi="宋体" w:eastAsia="宋体" w:cs="Times New Roman"/>
          <w:b/>
          <w:color w:val="auto"/>
          <w:kern w:val="0"/>
          <w:szCs w:val="21"/>
          <w:lang w:eastAsia="zh-CN"/>
        </w:rPr>
        <w:t>：</w:t>
      </w:r>
      <w:r>
        <w:rPr>
          <w:rFonts w:ascii="宋体" w:hAnsi="宋体" w:eastAsia="宋体" w:cs="Times New Roman"/>
          <w:color w:val="auto"/>
          <w:kern w:val="0"/>
          <w:szCs w:val="21"/>
          <w:lang w:eastAsia="zh-Hans"/>
        </w:rPr>
        <w:t xml:space="preserve"> </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729"/>
        <w:gridCol w:w="1826"/>
        <w:gridCol w:w="1447"/>
        <w:gridCol w:w="2604"/>
      </w:tblGrid>
      <w:tr w14:paraId="7EB71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366" w:type="pct"/>
            <w:vAlign w:val="center"/>
          </w:tcPr>
          <w:p w14:paraId="19A8D82E">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序号</w:t>
            </w:r>
          </w:p>
        </w:tc>
        <w:tc>
          <w:tcPr>
            <w:tcW w:w="1469" w:type="pct"/>
            <w:vAlign w:val="center"/>
          </w:tcPr>
          <w:p w14:paraId="60C09E5A">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标的名称</w:t>
            </w:r>
          </w:p>
        </w:tc>
        <w:tc>
          <w:tcPr>
            <w:tcW w:w="983" w:type="pct"/>
            <w:vAlign w:val="center"/>
          </w:tcPr>
          <w:p w14:paraId="52E3FA42">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预算金额（元）</w:t>
            </w:r>
          </w:p>
        </w:tc>
        <w:tc>
          <w:tcPr>
            <w:tcW w:w="779" w:type="pct"/>
            <w:vAlign w:val="center"/>
          </w:tcPr>
          <w:p w14:paraId="6A048C3D">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数量（单位）</w:t>
            </w:r>
          </w:p>
        </w:tc>
        <w:tc>
          <w:tcPr>
            <w:tcW w:w="1402" w:type="pct"/>
            <w:vAlign w:val="center"/>
          </w:tcPr>
          <w:p w14:paraId="2BA40A55">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简要技术需求或服务要求</w:t>
            </w:r>
          </w:p>
        </w:tc>
      </w:tr>
      <w:tr w14:paraId="22578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366" w:type="pct"/>
            <w:vAlign w:val="center"/>
          </w:tcPr>
          <w:p w14:paraId="7C9F6908">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1469" w:type="pct"/>
            <w:vAlign w:val="center"/>
          </w:tcPr>
          <w:p w14:paraId="29482A89">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农药包装废弃物与废旧农膜回收处理</w:t>
            </w:r>
          </w:p>
        </w:tc>
        <w:tc>
          <w:tcPr>
            <w:tcW w:w="983" w:type="pct"/>
            <w:vAlign w:val="center"/>
          </w:tcPr>
          <w:p w14:paraId="2C6C814A">
            <w:pPr>
              <w:widowControl/>
              <w:jc w:val="center"/>
              <w:rPr>
                <w:rFonts w:hint="eastAsia" w:ascii="宋体" w:hAnsi="宋体" w:eastAsia="宋体" w:cs="宋体"/>
                <w:color w:val="auto"/>
                <w:kern w:val="0"/>
                <w:sz w:val="21"/>
                <w:szCs w:val="21"/>
                <w:lang w:eastAsia="zh-Hans"/>
              </w:rPr>
            </w:pPr>
            <w:r>
              <w:rPr>
                <w:rFonts w:hint="eastAsia" w:ascii="宋体" w:hAnsi="宋体" w:eastAsia="宋体" w:cs="Times New Roman"/>
                <w:color w:val="auto"/>
                <w:kern w:val="0"/>
                <w:szCs w:val="21"/>
                <w:lang w:val="en-US" w:eastAsia="zh-CN"/>
              </w:rPr>
              <w:t>566,000.00</w:t>
            </w:r>
          </w:p>
        </w:tc>
        <w:tc>
          <w:tcPr>
            <w:tcW w:w="779" w:type="pct"/>
            <w:vAlign w:val="center"/>
          </w:tcPr>
          <w:p w14:paraId="7454BC97">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1(项)</w:t>
            </w:r>
          </w:p>
        </w:tc>
        <w:tc>
          <w:tcPr>
            <w:tcW w:w="1402" w:type="pct"/>
            <w:vAlign w:val="center"/>
          </w:tcPr>
          <w:p w14:paraId="321C57ED">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Hans"/>
              </w:rPr>
              <w:t>详见第二章采购需求</w:t>
            </w:r>
          </w:p>
        </w:tc>
      </w:tr>
    </w:tbl>
    <w:p w14:paraId="3A2387DB">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lang w:eastAsia="zh-Hans"/>
        </w:rPr>
        <w:t>合同履行期限：</w:t>
      </w:r>
      <w:r>
        <w:rPr>
          <w:rFonts w:ascii="宋体" w:hAnsi="宋体" w:eastAsia="宋体" w:cs="Times New Roman"/>
          <w:color w:val="auto"/>
          <w:kern w:val="0"/>
          <w:szCs w:val="21"/>
          <w:highlight w:val="none"/>
          <w:lang w:eastAsia="zh-Hans"/>
        </w:rPr>
        <w:t>1年</w:t>
      </w:r>
      <w:r>
        <w:rPr>
          <w:rFonts w:hint="eastAsia" w:ascii="宋体" w:hAnsi="宋体" w:eastAsia="宋体" w:cs="Times New Roman"/>
          <w:color w:val="auto"/>
          <w:kern w:val="0"/>
          <w:szCs w:val="21"/>
          <w:highlight w:val="none"/>
          <w:lang w:eastAsia="zh-CN"/>
        </w:rPr>
        <w:t>，</w:t>
      </w:r>
      <w:r>
        <w:rPr>
          <w:rFonts w:hint="eastAsia" w:ascii="宋体" w:hAnsi="宋体" w:eastAsia="宋体" w:cs="宋体"/>
          <w:sz w:val="21"/>
          <w:szCs w:val="21"/>
          <w:highlight w:val="none"/>
          <w:lang w:val="en-US" w:eastAsia="zh-Hans"/>
        </w:rPr>
        <w:t>具体服务时间合同签订时确认，服务期满或合同期内项目结算金额达到项目预算金额的，合同自动终止</w:t>
      </w:r>
      <w:r>
        <w:rPr>
          <w:rFonts w:ascii="宋体" w:hAnsi="宋体" w:eastAsia="宋体" w:cs="Times New Roman"/>
          <w:color w:val="auto"/>
          <w:kern w:val="0"/>
          <w:szCs w:val="21"/>
          <w:highlight w:val="none"/>
          <w:lang w:eastAsia="zh-Hans"/>
        </w:rPr>
        <w:t>。</w:t>
      </w:r>
    </w:p>
    <w:p w14:paraId="15145FEC">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lang w:eastAsia="zh-Hans"/>
        </w:rPr>
        <w:t>本项目接受联合体投标。</w:t>
      </w:r>
    </w:p>
    <w:p w14:paraId="6A05AE41">
      <w:pPr>
        <w:spacing w:before="217" w:beforeLines="50"/>
        <w:rPr>
          <w:rFonts w:ascii="Calibri" w:hAnsi="Calibri" w:eastAsia="宋体" w:cs="Times New Roman"/>
          <w:kern w:val="0"/>
          <w:sz w:val="20"/>
          <w:szCs w:val="20"/>
          <w:lang w:eastAsia="zh-Hans"/>
        </w:rPr>
      </w:pPr>
      <w:r>
        <w:rPr>
          <w:rFonts w:hint="eastAsia" w:ascii="宋体" w:hAnsi="宋体" w:eastAsia="宋体" w:cs="Times New Roman"/>
          <w:b/>
          <w:color w:val="auto"/>
          <w:kern w:val="0"/>
          <w:sz w:val="24"/>
          <w:szCs w:val="24"/>
          <w:lang w:eastAsia="zh-Hans"/>
        </w:rPr>
        <w:t>二、申请人的资</w:t>
      </w:r>
      <w:r>
        <w:rPr>
          <w:rFonts w:hint="eastAsia" w:ascii="宋体" w:hAnsi="宋体" w:eastAsia="宋体" w:cs="Times New Roman"/>
          <w:b/>
          <w:kern w:val="0"/>
          <w:sz w:val="24"/>
          <w:szCs w:val="24"/>
          <w:lang w:eastAsia="zh-Hans"/>
        </w:rPr>
        <w:t>格要求：</w:t>
      </w:r>
    </w:p>
    <w:p w14:paraId="4A4F39EB">
      <w:pPr>
        <w:pStyle w:val="24"/>
        <w:widowControl/>
        <w:numPr>
          <w:ilvl w:val="0"/>
          <w:numId w:val="2"/>
        </w:numPr>
        <w:ind w:firstLineChars="0"/>
        <w:jc w:val="left"/>
        <w:outlineLvl w:val="3"/>
        <w:rPr>
          <w:rFonts w:ascii="Calibri" w:hAnsi="Calibri" w:eastAsia="宋体" w:cs="Times New Roman"/>
          <w:b/>
          <w:kern w:val="0"/>
          <w:szCs w:val="21"/>
        </w:rPr>
      </w:pPr>
      <w:bookmarkStart w:id="2" w:name="_Hlk169874438"/>
      <w:bookmarkStart w:id="3" w:name="_Hlk170131464"/>
      <w:r>
        <w:rPr>
          <w:rFonts w:ascii="Calibri" w:hAnsi="Calibri" w:eastAsia="宋体" w:cs="Times New Roman"/>
          <w:b/>
          <w:kern w:val="0"/>
          <w:szCs w:val="21"/>
          <w:lang w:eastAsia="zh-Hans"/>
        </w:rPr>
        <w:t>满足《中华人民共和国政府采购法》第二十二条规定</w:t>
      </w:r>
      <w:r>
        <w:rPr>
          <w:rFonts w:hint="eastAsia" w:ascii="Calibri" w:hAnsi="Calibri" w:eastAsia="宋体" w:cs="Times New Roman"/>
          <w:b/>
          <w:kern w:val="0"/>
          <w:szCs w:val="21"/>
          <w:lang w:eastAsia="zh-Hans"/>
        </w:rPr>
        <w:t>：</w:t>
      </w:r>
      <w:bookmarkEnd w:id="2"/>
    </w:p>
    <w:p w14:paraId="3DA0B87D">
      <w:pPr>
        <w:pStyle w:val="24"/>
        <w:widowControl/>
        <w:numPr>
          <w:ilvl w:val="0"/>
          <w:numId w:val="3"/>
        </w:numPr>
        <w:ind w:firstLineChars="0"/>
        <w:jc w:val="left"/>
        <w:outlineLvl w:val="3"/>
        <w:rPr>
          <w:rFonts w:ascii="Calibri" w:hAnsi="Calibri" w:eastAsia="宋体" w:cs="Times New Roman"/>
          <w:bCs/>
          <w:color w:val="auto"/>
          <w:kern w:val="0"/>
          <w:szCs w:val="21"/>
        </w:rPr>
      </w:pPr>
      <w:r>
        <w:rPr>
          <w:rFonts w:ascii="Calibri" w:hAnsi="Calibri" w:eastAsia="宋体" w:cs="Times New Roman"/>
          <w:bCs/>
          <w:kern w:val="0"/>
          <w:szCs w:val="21"/>
        </w:rPr>
        <w:t>具有独立承担民事责任的能力</w:t>
      </w:r>
      <w:r>
        <w:rPr>
          <w:rFonts w:hint="eastAsia" w:ascii="Calibri" w:hAnsi="Calibri" w:eastAsia="宋体" w:cs="Times New Roman"/>
          <w:bCs/>
          <w:kern w:val="0"/>
          <w:szCs w:val="21"/>
        </w:rPr>
        <w:t>，</w:t>
      </w:r>
      <w:r>
        <w:rPr>
          <w:rFonts w:ascii="Calibri" w:hAnsi="Calibri" w:eastAsia="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w:t>
      </w:r>
      <w:r>
        <w:rPr>
          <w:rFonts w:ascii="Calibri" w:hAnsi="Calibri" w:eastAsia="宋体" w:cs="Times New Roman"/>
          <w:bCs/>
          <w:color w:val="auto"/>
          <w:kern w:val="0"/>
          <w:szCs w:val="21"/>
        </w:rPr>
        <w:t>总所）取得的相关资质证书对分支机构有效，法律法规或者行业另有规定的除外。）</w:t>
      </w:r>
    </w:p>
    <w:p w14:paraId="6CF07834">
      <w:pPr>
        <w:pStyle w:val="24"/>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color w:val="auto"/>
          <w:kern w:val="0"/>
          <w:szCs w:val="21"/>
        </w:rPr>
        <w:t>具有良好的商业信誉和健全的财务会计制度，</w:t>
      </w:r>
      <w:r>
        <w:rPr>
          <w:rFonts w:hint="eastAsia" w:ascii="Calibri" w:hAnsi="Calibri" w:eastAsia="宋体" w:cs="Times New Roman"/>
          <w:bCs/>
          <w:color w:val="auto"/>
          <w:kern w:val="0"/>
          <w:szCs w:val="21"/>
        </w:rPr>
        <w:t>提供</w:t>
      </w:r>
      <w:r>
        <w:rPr>
          <w:rFonts w:hint="eastAsia" w:ascii="宋体" w:hAnsi="宋体" w:eastAsia="宋体" w:cs="Times New Roman"/>
          <w:bCs/>
          <w:color w:val="auto"/>
          <w:kern w:val="0"/>
          <w:szCs w:val="21"/>
        </w:rPr>
        <w:t>2024</w:t>
      </w:r>
      <w:r>
        <w:rPr>
          <w:rFonts w:ascii="Calibri" w:hAnsi="Calibri" w:eastAsia="宋体" w:cs="Times New Roman"/>
          <w:bCs/>
          <w:color w:val="auto"/>
          <w:kern w:val="0"/>
          <w:szCs w:val="21"/>
        </w:rPr>
        <w:t>年财务状况报告或者基本户开户银行出具的资信证明或提供资格条件承诺函（详见投标文件格式</w:t>
      </w:r>
      <w:r>
        <w:rPr>
          <w:rFonts w:ascii="Calibri" w:hAnsi="Calibri" w:eastAsia="宋体" w:cs="Times New Roman"/>
          <w:bCs/>
          <w:kern w:val="0"/>
          <w:szCs w:val="21"/>
        </w:rPr>
        <w:t>）。</w:t>
      </w:r>
    </w:p>
    <w:p w14:paraId="1A185685">
      <w:pPr>
        <w:pStyle w:val="24"/>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履行合同所必需的设备和专业技术能力</w:t>
      </w:r>
      <w:r>
        <w:rPr>
          <w:rFonts w:hint="eastAsia" w:ascii="Calibri" w:hAnsi="Calibri" w:eastAsia="宋体" w:cs="Times New Roman"/>
          <w:bCs/>
          <w:kern w:val="0"/>
          <w:szCs w:val="21"/>
        </w:rPr>
        <w:t>，在投标文件中填报设备及专业技术能力情况或提供资格条件承诺函（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p w14:paraId="2838A882">
      <w:pPr>
        <w:pStyle w:val="24"/>
        <w:widowControl/>
        <w:numPr>
          <w:ilvl w:val="0"/>
          <w:numId w:val="3"/>
        </w:numPr>
        <w:ind w:firstLineChars="0"/>
        <w:jc w:val="left"/>
        <w:outlineLvl w:val="3"/>
        <w:rPr>
          <w:rFonts w:ascii="Calibri" w:hAnsi="Calibri" w:eastAsia="宋体" w:cs="Times New Roman"/>
          <w:bCs/>
          <w:kern w:val="0"/>
          <w:szCs w:val="21"/>
        </w:rPr>
      </w:pPr>
      <w:r>
        <w:rPr>
          <w:rFonts w:hint="eastAsia" w:ascii="Calibri" w:hAnsi="Calibri" w:eastAsia="宋体" w:cs="Times New Roman"/>
          <w:bCs/>
          <w:kern w:val="0"/>
          <w:szCs w:val="21"/>
        </w:rPr>
        <w:t>有依法缴纳税收和社会保障资金的良好记录，提供投标截止日前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个月依法缴纳税收和社会保障资金的相关材料；如依法免税或不需要缴纳社会保障资金的，提供相应证明材料。或提供资格条件承诺函（详见投标文件格式）。</w:t>
      </w:r>
    </w:p>
    <w:p w14:paraId="19CD47E7">
      <w:pPr>
        <w:pStyle w:val="24"/>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参加采购活动前</w:t>
      </w:r>
      <w:r>
        <w:rPr>
          <w:rFonts w:ascii="宋体" w:hAnsi="宋体" w:eastAsia="宋体" w:cs="Times New Roman"/>
          <w:bCs/>
          <w:kern w:val="0"/>
          <w:szCs w:val="21"/>
        </w:rPr>
        <w:t>3</w:t>
      </w:r>
      <w:r>
        <w:rPr>
          <w:rFonts w:ascii="Calibri" w:hAnsi="Calibri" w:eastAsia="宋体" w:cs="Times New Roman"/>
          <w:bCs/>
          <w:kern w:val="0"/>
          <w:szCs w:val="21"/>
        </w:rPr>
        <w:t>年内，在经营活动中没有重大违法记录：</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p w14:paraId="4CBD3917">
      <w:pPr>
        <w:pStyle w:val="24"/>
        <w:widowControl/>
        <w:numPr>
          <w:ilvl w:val="0"/>
          <w:numId w:val="2"/>
        </w:numPr>
        <w:ind w:firstLineChars="0"/>
        <w:jc w:val="left"/>
        <w:outlineLvl w:val="3"/>
        <w:rPr>
          <w:rFonts w:ascii="Calibri" w:hAnsi="Calibri" w:eastAsia="宋体" w:cs="Times New Roman"/>
          <w:b/>
          <w:kern w:val="0"/>
          <w:szCs w:val="21"/>
        </w:rPr>
      </w:pPr>
      <w:bookmarkStart w:id="4" w:name="_Hlk169874618"/>
      <w:r>
        <w:rPr>
          <w:rFonts w:ascii="Calibri" w:hAnsi="Calibri" w:eastAsia="宋体" w:cs="Times New Roman"/>
          <w:b/>
          <w:kern w:val="0"/>
          <w:szCs w:val="21"/>
          <w:lang w:eastAsia="zh-Hans"/>
        </w:rPr>
        <w:t>落实政府采购政策需满足的资格要求：</w:t>
      </w:r>
      <w:r>
        <w:rPr>
          <w:rFonts w:hint="eastAsia" w:ascii="Calibri" w:hAnsi="Calibri" w:eastAsia="宋体" w:cs="Times New Roman"/>
          <w:b/>
          <w:kern w:val="0"/>
          <w:szCs w:val="21"/>
          <w:lang w:eastAsia="zh-Hans"/>
        </w:rPr>
        <w:t>无</w:t>
      </w:r>
    </w:p>
    <w:p w14:paraId="41012102">
      <w:pPr>
        <w:pStyle w:val="24"/>
        <w:widowControl/>
        <w:numPr>
          <w:ilvl w:val="0"/>
          <w:numId w:val="2"/>
        </w:numPr>
        <w:ind w:firstLineChars="0"/>
        <w:jc w:val="left"/>
        <w:outlineLvl w:val="3"/>
        <w:rPr>
          <w:rFonts w:ascii="Calibri" w:hAnsi="Calibri" w:eastAsia="宋体" w:cs="Times New Roman"/>
          <w:b/>
          <w:kern w:val="0"/>
          <w:sz w:val="24"/>
          <w:szCs w:val="20"/>
          <w:lang w:eastAsia="zh-Hans"/>
        </w:rPr>
      </w:pPr>
      <w:r>
        <w:rPr>
          <w:rFonts w:ascii="Calibri" w:hAnsi="Calibri" w:eastAsia="宋体" w:cs="Times New Roman"/>
          <w:b/>
          <w:kern w:val="0"/>
          <w:szCs w:val="21"/>
          <w:lang w:eastAsia="zh-Hans"/>
        </w:rPr>
        <w:t>本项目的特定资格要求：</w:t>
      </w:r>
    </w:p>
    <w:p w14:paraId="5A67D956">
      <w:pPr>
        <w:pStyle w:val="24"/>
        <w:widowControl/>
        <w:numPr>
          <w:ilvl w:val="0"/>
          <w:numId w:val="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231EC87A">
      <w:pPr>
        <w:pStyle w:val="24"/>
        <w:widowControl/>
        <w:numPr>
          <w:ilvl w:val="0"/>
          <w:numId w:val="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w:t>
      </w:r>
      <w:r>
        <w:rPr>
          <w:rFonts w:ascii="宋体" w:hAnsi="宋体" w:eastAsia="宋体" w:cs="Times New Roman"/>
          <w:color w:val="auto"/>
          <w:kern w:val="0"/>
          <w:szCs w:val="21"/>
          <w:highlight w:val="none"/>
          <w:lang w:eastAsia="zh-Hans"/>
        </w:rPr>
        <w:t>应）。投标（报价）函相关承诺要求内容。</w:t>
      </w:r>
    </w:p>
    <w:p w14:paraId="6D6CE851">
      <w:pPr>
        <w:pStyle w:val="24"/>
        <w:widowControl/>
        <w:numPr>
          <w:ilvl w:val="0"/>
          <w:numId w:val="4"/>
        </w:numPr>
        <w:ind w:firstLineChars="0"/>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其他特定资格要求</w:t>
      </w:r>
      <w:r>
        <w:rPr>
          <w:rFonts w:hint="eastAsia" w:ascii="宋体" w:hAnsi="宋体" w:eastAsia="宋体" w:cs="宋体"/>
          <w:color w:val="auto"/>
          <w:kern w:val="0"/>
          <w:szCs w:val="21"/>
          <w:highlight w:val="none"/>
        </w:rPr>
        <w:t>：</w:t>
      </w:r>
    </w:p>
    <w:p w14:paraId="0066903F">
      <w:pPr>
        <w:pStyle w:val="18"/>
        <w:ind w:left="420" w:leftChars="200" w:firstLine="0" w:firstLineChars="0"/>
        <w:rPr>
          <w:rFonts w:hint="eastAsia" w:ascii="宋体" w:hAnsi="宋体" w:eastAsia="宋体" w:cs="Times New Roman"/>
          <w:b/>
          <w:bCs/>
          <w:color w:val="auto"/>
          <w:sz w:val="21"/>
          <w:szCs w:val="21"/>
          <w:highlight w:val="none"/>
          <w:lang w:eastAsia="zh-Hans"/>
        </w:rPr>
      </w:pPr>
      <w:r>
        <w:rPr>
          <w:rFonts w:hint="eastAsia" w:ascii="宋体" w:hAnsi="宋体" w:eastAsia="宋体" w:cs="Times New Roman"/>
          <w:b/>
          <w:bCs/>
          <w:color w:val="auto"/>
          <w:sz w:val="21"/>
          <w:szCs w:val="21"/>
          <w:highlight w:val="none"/>
          <w:lang w:eastAsia="zh-CN"/>
        </w:rPr>
        <w:t>（1）</w:t>
      </w:r>
      <w:bookmarkEnd w:id="3"/>
      <w:r>
        <w:rPr>
          <w:rFonts w:hint="eastAsia" w:ascii="宋体" w:hAnsi="宋体" w:eastAsia="宋体" w:cs="Times New Roman"/>
          <w:b/>
          <w:bCs/>
          <w:color w:val="auto"/>
          <w:sz w:val="21"/>
          <w:szCs w:val="21"/>
          <w:highlight w:val="none"/>
          <w:lang w:eastAsia="zh-CN"/>
        </w:rPr>
        <w:t>投标人须</w:t>
      </w:r>
      <w:r>
        <w:rPr>
          <w:rFonts w:hint="eastAsia" w:ascii="宋体" w:hAnsi="宋体" w:eastAsia="宋体" w:cs="Times New Roman"/>
          <w:b/>
          <w:bCs/>
          <w:color w:val="auto"/>
          <w:sz w:val="21"/>
          <w:szCs w:val="21"/>
          <w:highlight w:val="none"/>
          <w:lang w:val="en-US" w:eastAsia="zh-CN"/>
        </w:rPr>
        <w:t>提供</w:t>
      </w:r>
      <w:r>
        <w:rPr>
          <w:rFonts w:hint="eastAsia" w:ascii="宋体" w:hAnsi="宋体" w:eastAsia="宋体" w:cs="Times New Roman"/>
          <w:b/>
          <w:bCs/>
          <w:color w:val="auto"/>
          <w:sz w:val="21"/>
          <w:szCs w:val="21"/>
          <w:highlight w:val="none"/>
          <w:lang w:eastAsia="zh-Hans"/>
        </w:rPr>
        <w:t>有效期内</w:t>
      </w:r>
      <w:r>
        <w:rPr>
          <w:rFonts w:hint="eastAsia" w:ascii="宋体" w:hAnsi="宋体" w:eastAsia="宋体" w:cs="Times New Roman"/>
          <w:b/>
          <w:bCs/>
          <w:color w:val="auto"/>
          <w:sz w:val="21"/>
          <w:szCs w:val="21"/>
          <w:highlight w:val="none"/>
          <w:lang w:val="en-US" w:eastAsia="zh-CN"/>
        </w:rPr>
        <w:t>的</w:t>
      </w:r>
      <w:r>
        <w:rPr>
          <w:rFonts w:hint="eastAsia" w:ascii="宋体" w:hAnsi="宋体" w:eastAsia="宋体" w:cs="Times New Roman"/>
          <w:b/>
          <w:bCs/>
          <w:color w:val="auto"/>
          <w:sz w:val="21"/>
          <w:szCs w:val="21"/>
          <w:highlight w:val="none"/>
          <w:lang w:eastAsia="zh-CN"/>
        </w:rPr>
        <w:t>《危险废物经营许可证》（</w:t>
      </w:r>
      <w:r>
        <w:rPr>
          <w:rFonts w:hint="eastAsia" w:ascii="宋体" w:hAnsi="宋体" w:eastAsia="宋体" w:cs="Times New Roman"/>
          <w:b/>
          <w:bCs/>
          <w:color w:val="auto"/>
          <w:sz w:val="21"/>
          <w:szCs w:val="21"/>
          <w:highlight w:val="none"/>
          <w:lang w:val="en-US" w:eastAsia="zh-CN"/>
        </w:rPr>
        <w:t>核准经营危险</w:t>
      </w:r>
      <w:r>
        <w:rPr>
          <w:rFonts w:hint="eastAsia" w:ascii="宋体" w:hAnsi="宋体" w:eastAsia="宋体" w:cs="Times New Roman"/>
          <w:b/>
          <w:bCs/>
          <w:color w:val="auto"/>
          <w:sz w:val="21"/>
          <w:szCs w:val="21"/>
          <w:highlight w:val="none"/>
          <w:lang w:eastAsia="zh-CN"/>
        </w:rPr>
        <w:t>废物类别：HW</w:t>
      </w:r>
      <w:r>
        <w:rPr>
          <w:rFonts w:hint="eastAsia" w:ascii="宋体" w:hAnsi="宋体" w:eastAsia="宋体" w:cs="Times New Roman"/>
          <w:b/>
          <w:bCs/>
          <w:color w:val="auto"/>
          <w:sz w:val="21"/>
          <w:szCs w:val="21"/>
          <w:highlight w:val="none"/>
          <w:lang w:val="en-US" w:eastAsia="zh-CN"/>
        </w:rPr>
        <w:t>04</w:t>
      </w:r>
      <w:r>
        <w:rPr>
          <w:rFonts w:hint="eastAsia" w:ascii="宋体" w:hAnsi="宋体" w:eastAsia="宋体" w:cs="Times New Roman"/>
          <w:b/>
          <w:bCs/>
          <w:color w:val="auto"/>
          <w:sz w:val="21"/>
          <w:szCs w:val="21"/>
          <w:highlight w:val="none"/>
          <w:lang w:eastAsia="zh-CN"/>
        </w:rPr>
        <w:t>）</w:t>
      </w:r>
      <w:r>
        <w:rPr>
          <w:rFonts w:hint="eastAsia" w:ascii="宋体" w:hAnsi="宋体" w:eastAsia="宋体" w:cs="Times New Roman"/>
          <w:b/>
          <w:bCs/>
          <w:color w:val="auto"/>
          <w:sz w:val="21"/>
          <w:szCs w:val="21"/>
          <w:highlight w:val="none"/>
          <w:lang w:eastAsia="zh-Hans"/>
        </w:rPr>
        <w:t>复印件</w:t>
      </w:r>
      <w:r>
        <w:rPr>
          <w:rFonts w:hint="eastAsia" w:ascii="宋体" w:hAnsi="宋体" w:eastAsia="宋体" w:cs="Times New Roman"/>
          <w:b/>
          <w:bCs/>
          <w:color w:val="auto"/>
          <w:sz w:val="21"/>
          <w:szCs w:val="21"/>
          <w:highlight w:val="none"/>
          <w:lang w:val="en-US" w:eastAsia="zh-CN"/>
        </w:rPr>
        <w:t>并加盖投标人公章</w:t>
      </w:r>
      <w:r>
        <w:rPr>
          <w:rFonts w:hint="eastAsia" w:ascii="宋体" w:hAnsi="宋体" w:eastAsia="宋体" w:cs="Times New Roman"/>
          <w:b/>
          <w:bCs/>
          <w:color w:val="auto"/>
          <w:sz w:val="21"/>
          <w:szCs w:val="21"/>
          <w:highlight w:val="none"/>
          <w:lang w:eastAsia="zh-CN"/>
        </w:rPr>
        <w:t>；</w:t>
      </w:r>
    </w:p>
    <w:p w14:paraId="3209EB05">
      <w:pPr>
        <w:pStyle w:val="18"/>
        <w:ind w:left="420" w:leftChars="200" w:firstLine="0" w:firstLineChars="0"/>
        <w:rPr>
          <w:rFonts w:hint="default" w:ascii="宋体" w:hAnsi="宋体" w:eastAsia="宋体" w:cs="Times New Roman"/>
          <w:b/>
          <w:bCs/>
          <w:color w:val="auto"/>
          <w:sz w:val="21"/>
          <w:szCs w:val="21"/>
          <w:highlight w:val="none"/>
          <w:lang w:val="en-US" w:eastAsia="zh-CN"/>
        </w:rPr>
      </w:pPr>
      <w:r>
        <w:rPr>
          <w:rFonts w:hint="eastAsia" w:ascii="宋体" w:hAnsi="宋体" w:eastAsia="宋体" w:cs="Times New Roman"/>
          <w:b/>
          <w:bCs/>
          <w:color w:val="auto"/>
          <w:sz w:val="21"/>
          <w:szCs w:val="21"/>
          <w:highlight w:val="none"/>
          <w:lang w:eastAsia="zh-Hans"/>
        </w:rPr>
        <w:t>（2）投标人</w:t>
      </w:r>
      <w:r>
        <w:rPr>
          <w:rFonts w:hint="eastAsia" w:ascii="宋体" w:hAnsi="宋体" w:eastAsia="宋体" w:cs="Times New Roman"/>
          <w:b/>
          <w:bCs/>
          <w:color w:val="auto"/>
          <w:sz w:val="21"/>
          <w:szCs w:val="21"/>
          <w:highlight w:val="none"/>
          <w:lang w:val="en-US" w:eastAsia="zh-CN"/>
        </w:rPr>
        <w:t>须提供</w:t>
      </w:r>
      <w:r>
        <w:rPr>
          <w:rFonts w:hint="eastAsia" w:ascii="宋体" w:hAnsi="宋体" w:eastAsia="宋体" w:cs="Times New Roman"/>
          <w:b/>
          <w:bCs/>
          <w:color w:val="auto"/>
          <w:sz w:val="21"/>
          <w:szCs w:val="21"/>
          <w:highlight w:val="none"/>
          <w:lang w:eastAsia="zh-Hans"/>
        </w:rPr>
        <w:t>有效期内</w:t>
      </w:r>
      <w:r>
        <w:rPr>
          <w:rFonts w:hint="eastAsia" w:ascii="宋体" w:hAnsi="宋体" w:eastAsia="宋体" w:cs="Times New Roman"/>
          <w:b/>
          <w:bCs/>
          <w:color w:val="auto"/>
          <w:sz w:val="21"/>
          <w:szCs w:val="21"/>
          <w:highlight w:val="none"/>
          <w:lang w:val="en-US" w:eastAsia="zh-CN"/>
        </w:rPr>
        <w:t>的</w:t>
      </w:r>
      <w:r>
        <w:rPr>
          <w:rFonts w:hint="eastAsia" w:ascii="宋体" w:hAnsi="宋体" w:eastAsia="宋体" w:cs="Times New Roman"/>
          <w:b/>
          <w:bCs/>
          <w:color w:val="auto"/>
          <w:sz w:val="21"/>
          <w:szCs w:val="21"/>
          <w:highlight w:val="none"/>
          <w:lang w:eastAsia="zh-CN"/>
        </w:rPr>
        <w:t>《</w:t>
      </w:r>
      <w:r>
        <w:rPr>
          <w:rFonts w:hint="eastAsia" w:ascii="宋体" w:hAnsi="宋体" w:eastAsia="宋体" w:cs="Times New Roman"/>
          <w:b/>
          <w:bCs/>
          <w:color w:val="auto"/>
          <w:sz w:val="21"/>
          <w:szCs w:val="21"/>
          <w:highlight w:val="none"/>
          <w:lang w:eastAsia="zh-Hans"/>
        </w:rPr>
        <w:t>道路运输</w:t>
      </w:r>
      <w:r>
        <w:rPr>
          <w:rFonts w:hint="eastAsia" w:ascii="宋体" w:hAnsi="宋体" w:eastAsia="宋体" w:cs="Times New Roman"/>
          <w:b/>
          <w:bCs/>
          <w:color w:val="auto"/>
          <w:sz w:val="21"/>
          <w:szCs w:val="21"/>
          <w:highlight w:val="none"/>
          <w:lang w:val="en-US" w:eastAsia="zh-CN"/>
        </w:rPr>
        <w:t>经营</w:t>
      </w:r>
      <w:r>
        <w:rPr>
          <w:rFonts w:hint="eastAsia" w:ascii="宋体" w:hAnsi="宋体" w:eastAsia="宋体" w:cs="Times New Roman"/>
          <w:b/>
          <w:bCs/>
          <w:color w:val="auto"/>
          <w:sz w:val="21"/>
          <w:szCs w:val="21"/>
          <w:highlight w:val="none"/>
          <w:lang w:eastAsia="zh-Hans"/>
        </w:rPr>
        <w:t>许可证</w:t>
      </w:r>
      <w:r>
        <w:rPr>
          <w:rFonts w:hint="eastAsia" w:ascii="宋体" w:hAnsi="宋体" w:eastAsia="宋体" w:cs="Times New Roman"/>
          <w:b/>
          <w:bCs/>
          <w:color w:val="auto"/>
          <w:sz w:val="21"/>
          <w:szCs w:val="21"/>
          <w:highlight w:val="none"/>
          <w:lang w:eastAsia="zh-CN"/>
        </w:rPr>
        <w:t>》（</w:t>
      </w:r>
      <w:r>
        <w:rPr>
          <w:rFonts w:hint="eastAsia" w:ascii="宋体" w:hAnsi="宋体" w:eastAsia="宋体" w:cs="Times New Roman"/>
          <w:b/>
          <w:bCs/>
          <w:color w:val="auto"/>
          <w:sz w:val="21"/>
          <w:szCs w:val="21"/>
          <w:highlight w:val="none"/>
          <w:lang w:eastAsia="zh-Hans"/>
        </w:rPr>
        <w:t>经营范围包含危险货物运输</w:t>
      </w:r>
      <w:r>
        <w:rPr>
          <w:rFonts w:hint="eastAsia" w:ascii="宋体" w:hAnsi="宋体" w:eastAsia="宋体" w:cs="Times New Roman"/>
          <w:b/>
          <w:bCs/>
          <w:color w:val="auto"/>
          <w:sz w:val="21"/>
          <w:szCs w:val="21"/>
          <w:highlight w:val="none"/>
          <w:lang w:eastAsia="zh-CN"/>
        </w:rPr>
        <w:t>）</w:t>
      </w:r>
      <w:r>
        <w:rPr>
          <w:rFonts w:hint="eastAsia" w:ascii="宋体" w:hAnsi="宋体" w:eastAsia="宋体" w:cs="Times New Roman"/>
          <w:b/>
          <w:bCs/>
          <w:color w:val="auto"/>
          <w:sz w:val="21"/>
          <w:szCs w:val="21"/>
          <w:highlight w:val="none"/>
          <w:lang w:eastAsia="zh-Hans"/>
        </w:rPr>
        <w:t>复印件</w:t>
      </w:r>
      <w:r>
        <w:rPr>
          <w:rFonts w:hint="eastAsia" w:ascii="宋体" w:hAnsi="宋体" w:eastAsia="宋体" w:cs="Times New Roman"/>
          <w:b/>
          <w:bCs/>
          <w:color w:val="auto"/>
          <w:sz w:val="21"/>
          <w:szCs w:val="21"/>
          <w:highlight w:val="none"/>
          <w:lang w:val="en-US" w:eastAsia="zh-CN"/>
        </w:rPr>
        <w:t>并加盖投标人公章。</w:t>
      </w:r>
    </w:p>
    <w:bookmarkEnd w:id="4"/>
    <w:p w14:paraId="5049727E">
      <w:pPr>
        <w:spacing w:before="217" w:beforeLines="50"/>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24"/>
          <w:szCs w:val="24"/>
          <w:highlight w:val="none"/>
          <w:lang w:eastAsia="zh-Hans"/>
        </w:rPr>
        <w:t>三</w:t>
      </w:r>
      <w:r>
        <w:rPr>
          <w:rFonts w:hint="eastAsia" w:ascii="宋体" w:hAnsi="宋体" w:eastAsia="宋体" w:cs="Times New Roman"/>
          <w:b/>
          <w:color w:val="auto"/>
          <w:kern w:val="0"/>
          <w:sz w:val="24"/>
          <w:szCs w:val="24"/>
          <w:highlight w:val="none"/>
          <w:lang w:eastAsia="zh-Hans"/>
        </w:rPr>
        <w:t>、</w:t>
      </w:r>
      <w:r>
        <w:rPr>
          <w:rFonts w:ascii="宋体" w:hAnsi="宋体" w:eastAsia="宋体" w:cs="Times New Roman"/>
          <w:b/>
          <w:color w:val="auto"/>
          <w:kern w:val="0"/>
          <w:sz w:val="24"/>
          <w:szCs w:val="24"/>
          <w:highlight w:val="none"/>
          <w:lang w:eastAsia="zh-Hans"/>
        </w:rPr>
        <w:t>获取招标文件</w:t>
      </w:r>
    </w:p>
    <w:p w14:paraId="0088AFB7">
      <w:pPr>
        <w:pStyle w:val="18"/>
        <w:ind w:firstLine="420" w:firstLineChars="200"/>
        <w:rPr>
          <w:rFonts w:ascii="宋体" w:hAnsi="宋体" w:eastAsia="宋体" w:cs="Times New Roman"/>
          <w:color w:val="auto"/>
          <w:sz w:val="21"/>
          <w:szCs w:val="21"/>
          <w:lang w:eastAsia="zh-CN"/>
        </w:rPr>
      </w:pPr>
      <w:r>
        <w:rPr>
          <w:rFonts w:ascii="宋体" w:hAnsi="宋体" w:eastAsia="宋体" w:cs="Times New Roman"/>
          <w:color w:val="auto"/>
          <w:sz w:val="21"/>
          <w:szCs w:val="21"/>
          <w:highlight w:val="none"/>
          <w:lang w:eastAsia="zh-CN"/>
        </w:rPr>
        <w:t>时间：</w:t>
      </w: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lang w:val="en-US" w:eastAsia="zh-CN"/>
        </w:rPr>
        <w:t>09</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lang w:val="en-US" w:eastAsia="zh-CN"/>
        </w:rPr>
        <w:t>25</w:t>
      </w:r>
      <w:r>
        <w:rPr>
          <w:rFonts w:ascii="宋体" w:hAnsi="宋体" w:eastAsia="宋体" w:cs="Times New Roman"/>
          <w:color w:val="auto"/>
          <w:sz w:val="21"/>
          <w:szCs w:val="21"/>
          <w:highlight w:val="none"/>
          <w:lang w:eastAsia="zh-CN"/>
        </w:rPr>
        <w:t>日至</w:t>
      </w: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lang w:val="en-US" w:eastAsia="zh-CN"/>
        </w:rPr>
        <w:t>10</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lang w:val="en-US" w:eastAsia="zh-CN"/>
        </w:rPr>
        <w:t>15</w:t>
      </w:r>
      <w:r>
        <w:rPr>
          <w:rFonts w:ascii="宋体" w:hAnsi="宋体" w:eastAsia="宋体" w:cs="Times New Roman"/>
          <w:color w:val="auto"/>
          <w:sz w:val="21"/>
          <w:szCs w:val="21"/>
          <w:highlight w:val="none"/>
          <w:lang w:eastAsia="zh-CN"/>
        </w:rPr>
        <w:t>日</w:t>
      </w:r>
      <w:r>
        <w:rPr>
          <w:rFonts w:ascii="宋体" w:hAnsi="宋体" w:eastAsia="宋体" w:cs="Times New Roman"/>
          <w:color w:val="auto"/>
          <w:sz w:val="21"/>
          <w:szCs w:val="21"/>
          <w:lang w:eastAsia="zh-CN"/>
        </w:rPr>
        <w:t>，每天上午9:00至12:00，下午14:30至17:30。（北京时间，法定节假日除外）</w:t>
      </w:r>
    </w:p>
    <w:p w14:paraId="0303EA97">
      <w:pPr>
        <w:pStyle w:val="18"/>
        <w:ind w:firstLine="420" w:firstLineChars="200"/>
        <w:rPr>
          <w:rFonts w:ascii="宋体" w:hAnsi="宋体" w:eastAsia="宋体" w:cs="Times New Roman"/>
          <w:color w:val="auto"/>
          <w:sz w:val="21"/>
          <w:szCs w:val="21"/>
        </w:rPr>
      </w:pPr>
      <w:r>
        <w:rPr>
          <w:rFonts w:ascii="宋体" w:hAnsi="宋体" w:eastAsia="宋体" w:cs="Times New Roman"/>
          <w:color w:val="auto"/>
          <w:sz w:val="21"/>
          <w:szCs w:val="21"/>
        </w:rPr>
        <w:t>地点：东莞市南城街道雅园产业园区路5号1栋1楼或微信搜索公众号“广东智汇城市招标采购有限公司”。</w:t>
      </w:r>
    </w:p>
    <w:p w14:paraId="53427474">
      <w:pPr>
        <w:pStyle w:val="18"/>
        <w:ind w:firstLine="420" w:firstLineChars="200"/>
        <w:rPr>
          <w:rFonts w:ascii="宋体" w:hAnsi="宋体" w:eastAsia="宋体" w:cs="Times New Roman"/>
          <w:color w:val="auto"/>
          <w:sz w:val="21"/>
          <w:szCs w:val="21"/>
          <w:lang w:eastAsia="zh-CN"/>
        </w:rPr>
      </w:pPr>
      <w:r>
        <w:rPr>
          <w:rFonts w:ascii="宋体" w:hAnsi="宋体" w:eastAsia="宋体" w:cs="Times New Roman"/>
          <w:color w:val="auto"/>
          <w:sz w:val="21"/>
          <w:szCs w:val="21"/>
        </w:rPr>
        <w:t>方式：现场或线上获取</w:t>
      </w:r>
    </w:p>
    <w:p w14:paraId="3BFDA854">
      <w:pPr>
        <w:pStyle w:val="18"/>
        <w:ind w:firstLine="420" w:firstLineChars="200"/>
        <w:rPr>
          <w:rFonts w:ascii="宋体" w:hAnsi="宋体" w:eastAsia="宋体" w:cs="Times New Roman"/>
          <w:color w:val="auto"/>
          <w:sz w:val="21"/>
          <w:szCs w:val="21"/>
        </w:rPr>
      </w:pPr>
      <w:r>
        <w:rPr>
          <w:rFonts w:ascii="宋体" w:hAnsi="宋体" w:eastAsia="宋体" w:cs="Times New Roman"/>
          <w:color w:val="auto"/>
          <w:sz w:val="21"/>
          <w:szCs w:val="21"/>
        </w:rPr>
        <w:t>售价：¥200元</w:t>
      </w:r>
    </w:p>
    <w:p w14:paraId="2BF038CF">
      <w:pPr>
        <w:spacing w:before="217" w:beforeLines="50"/>
        <w:rPr>
          <w:rFonts w:hint="eastAsia" w:ascii="宋体" w:hAnsi="宋体" w:eastAsia="宋体" w:cs="Times New Roman"/>
          <w:color w:val="auto"/>
          <w:szCs w:val="21"/>
        </w:rPr>
      </w:pPr>
      <w:r>
        <w:rPr>
          <w:rFonts w:hint="eastAsia" w:ascii="宋体" w:hAnsi="宋体" w:eastAsia="宋体" w:cs="Times New Roman"/>
          <w:b/>
          <w:color w:val="auto"/>
          <w:kern w:val="0"/>
          <w:sz w:val="24"/>
          <w:szCs w:val="24"/>
          <w:lang w:eastAsia="zh-Hans"/>
        </w:rPr>
        <w:t>四、</w:t>
      </w:r>
      <w:r>
        <w:rPr>
          <w:rFonts w:ascii="宋体" w:hAnsi="宋体" w:eastAsia="宋体" w:cs="Times New Roman"/>
          <w:b/>
          <w:color w:val="auto"/>
          <w:kern w:val="0"/>
          <w:sz w:val="24"/>
          <w:szCs w:val="24"/>
          <w:lang w:eastAsia="zh-Hans"/>
        </w:rPr>
        <w:t>提交投标文件截止时间、开标时间和地点</w:t>
      </w:r>
    </w:p>
    <w:p w14:paraId="7622BE5C">
      <w:pPr>
        <w:pStyle w:val="18"/>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lang w:eastAsia="zh-CN"/>
        </w:rPr>
        <w:t>时间：</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rPr>
        <w:t>年</w:t>
      </w:r>
      <w:r>
        <w:rPr>
          <w:rFonts w:hint="eastAsia" w:ascii="宋体" w:hAnsi="宋体" w:eastAsia="宋体" w:cs="Times New Roman"/>
          <w:color w:val="auto"/>
          <w:sz w:val="21"/>
          <w:szCs w:val="21"/>
          <w:lang w:val="en-US" w:eastAsia="zh-CN"/>
        </w:rPr>
        <w:t>10</w:t>
      </w:r>
      <w:r>
        <w:rPr>
          <w:rFonts w:ascii="宋体" w:hAnsi="宋体" w:eastAsia="宋体" w:cs="Times New Roman"/>
          <w:color w:val="auto"/>
          <w:sz w:val="21"/>
          <w:szCs w:val="21"/>
        </w:rPr>
        <w:t>月</w:t>
      </w:r>
      <w:r>
        <w:rPr>
          <w:rFonts w:hint="eastAsia" w:ascii="宋体" w:hAnsi="宋体" w:eastAsia="宋体" w:cs="Times New Roman"/>
          <w:color w:val="auto"/>
          <w:sz w:val="21"/>
          <w:szCs w:val="21"/>
          <w:lang w:val="en-US" w:eastAsia="zh-CN"/>
        </w:rPr>
        <w:t>16</w:t>
      </w:r>
      <w:r>
        <w:rPr>
          <w:rFonts w:ascii="宋体" w:hAnsi="宋体" w:eastAsia="宋体" w:cs="Times New Roman"/>
          <w:color w:val="auto"/>
          <w:sz w:val="21"/>
          <w:szCs w:val="21"/>
        </w:rPr>
        <w:t>日</w:t>
      </w:r>
      <w:r>
        <w:rPr>
          <w:rFonts w:hint="eastAsia" w:ascii="宋体" w:hAnsi="宋体" w:eastAsia="宋体" w:cs="Times New Roman"/>
          <w:color w:val="auto"/>
          <w:sz w:val="21"/>
          <w:szCs w:val="21"/>
          <w:lang w:val="en-US" w:eastAsia="zh-CN"/>
        </w:rPr>
        <w:t>09</w:t>
      </w:r>
      <w:r>
        <w:rPr>
          <w:rFonts w:ascii="宋体" w:hAnsi="宋体" w:eastAsia="宋体" w:cs="Times New Roman"/>
          <w:color w:val="auto"/>
          <w:sz w:val="21"/>
          <w:szCs w:val="21"/>
        </w:rPr>
        <w:t>点</w:t>
      </w:r>
      <w:r>
        <w:rPr>
          <w:rFonts w:hint="eastAsia" w:ascii="宋体" w:hAnsi="宋体" w:eastAsia="宋体" w:cs="Times New Roman"/>
          <w:color w:val="auto"/>
          <w:sz w:val="21"/>
          <w:szCs w:val="21"/>
          <w:lang w:val="en-US" w:eastAsia="zh-CN"/>
        </w:rPr>
        <w:t>30</w:t>
      </w:r>
      <w:r>
        <w:rPr>
          <w:rFonts w:ascii="宋体" w:hAnsi="宋体" w:eastAsia="宋体" w:cs="Times New Roman"/>
          <w:color w:val="auto"/>
          <w:sz w:val="21"/>
          <w:szCs w:val="21"/>
        </w:rPr>
        <w:t>分（北京时间）（自招标文件开始发出之日起至投标</w:t>
      </w:r>
      <w:r>
        <w:rPr>
          <w:rFonts w:ascii="宋体" w:hAnsi="宋体" w:eastAsia="宋体" w:cs="Times New Roman"/>
          <w:color w:val="auto"/>
          <w:sz w:val="21"/>
          <w:szCs w:val="21"/>
          <w:highlight w:val="none"/>
        </w:rPr>
        <w:t>人提交投标文件截止之日止，不得少于20日）</w:t>
      </w:r>
    </w:p>
    <w:p w14:paraId="12DDECA8">
      <w:pPr>
        <w:pStyle w:val="18"/>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地点：东莞市南城街道雅园产业园区路5号1栋1楼</w:t>
      </w:r>
    </w:p>
    <w:p w14:paraId="7CB9B14C">
      <w:pPr>
        <w:spacing w:before="217" w:beforeLines="50"/>
        <w:rPr>
          <w:rFonts w:hint="eastAsia"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五、</w:t>
      </w:r>
      <w:r>
        <w:rPr>
          <w:rFonts w:ascii="宋体" w:hAnsi="宋体" w:eastAsia="宋体" w:cs="Times New Roman"/>
          <w:b/>
          <w:color w:val="auto"/>
          <w:kern w:val="0"/>
          <w:sz w:val="24"/>
          <w:szCs w:val="24"/>
          <w:highlight w:val="none"/>
          <w:lang w:eastAsia="zh-Hans"/>
        </w:rPr>
        <w:t>公告期限</w:t>
      </w:r>
    </w:p>
    <w:p w14:paraId="23A66543">
      <w:pPr>
        <w:pStyle w:val="18"/>
        <w:ind w:firstLine="420" w:firstLineChars="200"/>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自本公告发布之日起5个工作日。</w:t>
      </w:r>
    </w:p>
    <w:p w14:paraId="6A2F2E68">
      <w:pPr>
        <w:spacing w:before="217" w:beforeLines="50"/>
        <w:rPr>
          <w:rFonts w:hint="eastAsia"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六</w:t>
      </w:r>
      <w:r>
        <w:rPr>
          <w:rFonts w:ascii="宋体" w:hAnsi="宋体" w:eastAsia="宋体" w:cs="Times New Roman"/>
          <w:b/>
          <w:color w:val="auto"/>
          <w:kern w:val="0"/>
          <w:sz w:val="24"/>
          <w:szCs w:val="24"/>
          <w:highlight w:val="none"/>
          <w:lang w:eastAsia="zh-Hans"/>
        </w:rPr>
        <w:t>、其他补充事宜</w:t>
      </w:r>
    </w:p>
    <w:p w14:paraId="37B79A18">
      <w:pPr>
        <w:pStyle w:val="18"/>
        <w:numPr>
          <w:ilvl w:val="0"/>
          <w:numId w:val="5"/>
        </w:numPr>
        <w:rPr>
          <w:rFonts w:ascii="宋体" w:hAnsi="宋体" w:eastAsia="宋体" w:cs="Times New Roman"/>
          <w:color w:val="auto"/>
          <w:sz w:val="21"/>
          <w:szCs w:val="21"/>
        </w:rPr>
      </w:pPr>
      <w:r>
        <w:rPr>
          <w:rFonts w:ascii="宋体" w:hAnsi="宋体" w:eastAsia="宋体" w:cs="Times New Roman"/>
          <w:color w:val="auto"/>
          <w:sz w:val="21"/>
          <w:szCs w:val="21"/>
          <w:highlight w:val="none"/>
        </w:rPr>
        <w:t xml:space="preserve">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w:t>
      </w:r>
      <w:r>
        <w:rPr>
          <w:rFonts w:ascii="宋体" w:hAnsi="宋体" w:eastAsia="宋体" w:cs="Times New Roman"/>
          <w:sz w:val="21"/>
          <w:szCs w:val="21"/>
        </w:rPr>
        <w:t>市场监管总局关于调整优化节能产品、环境标志产品政府采购执行机制的通知》（财库〔2019〕9号）、《商品包装政府采购需求标准（试行）》（财办库〔</w:t>
      </w:r>
      <w:r>
        <w:rPr>
          <w:rFonts w:ascii="宋体" w:hAnsi="宋体" w:eastAsia="宋体" w:cs="Times New Roman"/>
          <w:color w:val="auto"/>
          <w:sz w:val="21"/>
          <w:szCs w:val="21"/>
        </w:rPr>
        <w:t>2020〕123号）、《快递包装政府采购需求标准（试行）》（财办库〔2020〕123号）等。</w:t>
      </w:r>
    </w:p>
    <w:p w14:paraId="55AE9A98">
      <w:pPr>
        <w:pStyle w:val="18"/>
        <w:numPr>
          <w:ilvl w:val="0"/>
          <w:numId w:val="5"/>
        </w:numPr>
        <w:rPr>
          <w:rFonts w:ascii="宋体" w:hAnsi="宋体" w:eastAsia="宋体" w:cs="Times New Roman"/>
          <w:color w:val="auto"/>
          <w:sz w:val="21"/>
          <w:szCs w:val="21"/>
        </w:rPr>
      </w:pPr>
      <w:r>
        <w:rPr>
          <w:rFonts w:ascii="宋体" w:hAnsi="宋体" w:eastAsia="宋体" w:cs="Times New Roman"/>
          <w:color w:val="auto"/>
          <w:sz w:val="21"/>
          <w:szCs w:val="21"/>
        </w:rPr>
        <w:t>本项目采购标的所属行业为</w:t>
      </w:r>
      <w:r>
        <w:rPr>
          <w:rFonts w:ascii="宋体" w:hAnsi="宋体" w:eastAsia="宋体" w:cs="Times New Roman"/>
          <w:color w:val="auto"/>
          <w:sz w:val="21"/>
          <w:szCs w:val="21"/>
          <w:u w:val="single"/>
          <w:lang w:eastAsia="zh-CN"/>
        </w:rPr>
        <w:t xml:space="preserve"> 其他未列明行业 </w:t>
      </w:r>
      <w:r>
        <w:rPr>
          <w:rFonts w:ascii="宋体" w:hAnsi="宋体" w:eastAsia="宋体" w:cs="Times New Roman"/>
          <w:color w:val="auto"/>
          <w:sz w:val="21"/>
          <w:szCs w:val="21"/>
        </w:rPr>
        <w:t>。</w:t>
      </w:r>
    </w:p>
    <w:p w14:paraId="1C5CCB82">
      <w:pPr>
        <w:pStyle w:val="18"/>
        <w:numPr>
          <w:ilvl w:val="0"/>
          <w:numId w:val="5"/>
        </w:numPr>
        <w:rPr>
          <w:rFonts w:ascii="宋体" w:hAnsi="宋体" w:eastAsia="宋体" w:cs="Times New Roman"/>
          <w:color w:val="auto"/>
          <w:sz w:val="21"/>
          <w:szCs w:val="21"/>
        </w:rPr>
      </w:pPr>
      <w:r>
        <w:rPr>
          <w:rFonts w:ascii="宋体" w:hAnsi="宋体" w:eastAsia="宋体" w:cs="Times New Roman"/>
          <w:color w:val="auto"/>
          <w:sz w:val="21"/>
          <w:szCs w:val="21"/>
        </w:rPr>
        <w:t>发布公告的媒介</w:t>
      </w:r>
    </w:p>
    <w:p w14:paraId="2CC68B50">
      <w:pPr>
        <w:pStyle w:val="18"/>
        <w:ind w:left="425" w:leftChars="181" w:hanging="45" w:hangingChars="24"/>
        <w:rPr>
          <w:rFonts w:ascii="宋体" w:hAnsi="宋体" w:eastAsia="宋体" w:cs="Times New Roman"/>
          <w:color w:val="auto"/>
          <w:spacing w:val="-10"/>
          <w:sz w:val="21"/>
          <w:szCs w:val="21"/>
          <w:lang w:eastAsia="zh-CN"/>
        </w:rPr>
      </w:pPr>
      <w:r>
        <w:rPr>
          <w:rFonts w:ascii="宋体" w:hAnsi="宋体" w:eastAsia="宋体" w:cs="Times New Roman"/>
          <w:color w:val="auto"/>
          <w:spacing w:val="-10"/>
          <w:sz w:val="21"/>
          <w:szCs w:val="21"/>
        </w:rPr>
        <w:t>中国采购与招标网（https://zbdt.chinabidding.cn/）、广东智汇城市招标采购有限公司网站(http://www.gdzhcity.com/)</w:t>
      </w:r>
    </w:p>
    <w:p w14:paraId="2A392332">
      <w:pPr>
        <w:pStyle w:val="18"/>
        <w:numPr>
          <w:ilvl w:val="0"/>
          <w:numId w:val="5"/>
        </w:numPr>
        <w:rPr>
          <w:rFonts w:ascii="宋体" w:hAnsi="宋体" w:eastAsia="宋体" w:cs="Times New Roman"/>
          <w:color w:val="auto"/>
          <w:sz w:val="21"/>
          <w:szCs w:val="21"/>
        </w:rPr>
      </w:pPr>
      <w:r>
        <w:rPr>
          <w:rFonts w:ascii="宋体" w:hAnsi="宋体" w:eastAsia="宋体" w:cs="Times New Roman"/>
          <w:color w:val="auto"/>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01EE8DED">
      <w:pPr>
        <w:pStyle w:val="18"/>
        <w:numPr>
          <w:ilvl w:val="0"/>
          <w:numId w:val="5"/>
        </w:numPr>
        <w:rPr>
          <w:rFonts w:ascii="宋体" w:hAnsi="宋体" w:eastAsia="宋体" w:cs="Times New Roman"/>
          <w:color w:val="auto"/>
          <w:sz w:val="21"/>
          <w:szCs w:val="21"/>
          <w:lang w:eastAsia="zh-CN"/>
        </w:rPr>
      </w:pPr>
      <w:r>
        <w:rPr>
          <w:rFonts w:ascii="宋体" w:hAnsi="宋体" w:eastAsia="宋体" w:cs="Times New Roman"/>
          <w:color w:val="auto"/>
          <w:sz w:val="21"/>
          <w:szCs w:val="21"/>
        </w:rPr>
        <w:t>获取招标文件联系人及联系方式：黄小姐（0769）22367009 邮箱：zhcity_gd@163.com</w:t>
      </w:r>
    </w:p>
    <w:p w14:paraId="3E84E901">
      <w:pPr>
        <w:spacing w:before="217" w:beforeLines="50"/>
        <w:rPr>
          <w:rFonts w:hint="eastAsia" w:ascii="宋体" w:hAnsi="宋体" w:eastAsia="宋体" w:cs="Times New Roman"/>
          <w:color w:val="auto"/>
          <w:szCs w:val="21"/>
        </w:rPr>
      </w:pPr>
      <w:r>
        <w:rPr>
          <w:rFonts w:hint="eastAsia" w:ascii="宋体" w:hAnsi="宋体" w:eastAsia="宋体" w:cs="Times New Roman"/>
          <w:b/>
          <w:color w:val="auto"/>
          <w:kern w:val="0"/>
          <w:sz w:val="24"/>
          <w:szCs w:val="24"/>
          <w:lang w:eastAsia="zh-Hans"/>
        </w:rPr>
        <w:t>七、</w:t>
      </w:r>
      <w:r>
        <w:rPr>
          <w:rFonts w:ascii="宋体" w:hAnsi="宋体" w:eastAsia="宋体" w:cs="Times New Roman"/>
          <w:b/>
          <w:color w:val="auto"/>
          <w:kern w:val="0"/>
          <w:sz w:val="24"/>
          <w:szCs w:val="24"/>
          <w:lang w:eastAsia="zh-Hans"/>
        </w:rPr>
        <w:t>对本次招标提出询问，请按以下方式联系。</w:t>
      </w:r>
    </w:p>
    <w:p w14:paraId="7574979E">
      <w:pPr>
        <w:pStyle w:val="18"/>
        <w:numPr>
          <w:ilvl w:val="0"/>
          <w:numId w:val="6"/>
        </w:numPr>
        <w:ind w:left="284" w:hanging="284"/>
        <w:rPr>
          <w:rFonts w:ascii="宋体" w:hAnsi="宋体" w:eastAsia="宋体" w:cs="Times New Roman"/>
          <w:sz w:val="21"/>
          <w:szCs w:val="21"/>
        </w:rPr>
      </w:pPr>
      <w:bookmarkStart w:id="5" w:name="_Hlk170131668"/>
      <w:r>
        <w:rPr>
          <w:rFonts w:ascii="宋体" w:hAnsi="宋体" w:eastAsia="宋体" w:cs="Times New Roman"/>
          <w:sz w:val="21"/>
          <w:szCs w:val="21"/>
        </w:rPr>
        <w:t>采购人信息</w:t>
      </w:r>
    </w:p>
    <w:p w14:paraId="50B16B0E">
      <w:pPr>
        <w:pStyle w:val="18"/>
        <w:ind w:firstLine="283" w:firstLineChars="135"/>
        <w:rPr>
          <w:rFonts w:hint="eastAsia" w:ascii="宋体" w:hAnsi="宋体" w:eastAsia="宋体" w:cs="宋体"/>
          <w:sz w:val="21"/>
          <w:szCs w:val="21"/>
        </w:rPr>
      </w:pPr>
      <w:r>
        <w:rPr>
          <w:rFonts w:ascii="宋体" w:hAnsi="宋体" w:eastAsia="宋体" w:cs="Times New Roman"/>
          <w:sz w:val="21"/>
          <w:szCs w:val="21"/>
        </w:rPr>
        <w:t>名称：</w:t>
      </w:r>
      <w:r>
        <w:rPr>
          <w:rFonts w:hint="eastAsia" w:ascii="宋体" w:hAnsi="宋体" w:eastAsia="宋体" w:cs="Times New Roman"/>
          <w:sz w:val="21"/>
          <w:szCs w:val="21"/>
        </w:rPr>
        <w:t>东莞市农业技术推广管理办公室</w:t>
      </w:r>
    </w:p>
    <w:p w14:paraId="44029CAD">
      <w:pPr>
        <w:pStyle w:val="18"/>
        <w:ind w:firstLine="283" w:firstLineChars="135"/>
        <w:rPr>
          <w:rFonts w:hint="eastAsia" w:ascii="宋体" w:hAnsi="宋体" w:eastAsia="宋体" w:cs="宋体"/>
          <w:sz w:val="21"/>
          <w:szCs w:val="21"/>
        </w:rPr>
      </w:pPr>
      <w:r>
        <w:rPr>
          <w:rFonts w:hint="eastAsia" w:ascii="宋体" w:hAnsi="宋体" w:eastAsia="宋体" w:cs="宋体"/>
          <w:sz w:val="21"/>
          <w:szCs w:val="21"/>
        </w:rPr>
        <w:t>地址：东莞市莞城街道金牛路</w:t>
      </w:r>
      <w:r>
        <w:rPr>
          <w:rFonts w:hint="eastAsia" w:ascii="宋体" w:hAnsi="宋体" w:eastAsia="宋体" w:cs="宋体"/>
          <w:color w:val="auto"/>
          <w:sz w:val="21"/>
          <w:szCs w:val="21"/>
          <w:highlight w:val="none"/>
        </w:rPr>
        <w:t>63号</w:t>
      </w:r>
    </w:p>
    <w:p w14:paraId="4DF13899">
      <w:pPr>
        <w:pStyle w:val="18"/>
        <w:ind w:firstLine="283" w:firstLineChars="135"/>
        <w:rPr>
          <w:rFonts w:hint="eastAsia" w:ascii="宋体" w:hAnsi="宋体" w:eastAsia="宋体" w:cs="宋体"/>
          <w:sz w:val="21"/>
          <w:szCs w:val="21"/>
          <w:lang w:val="en-US" w:eastAsia="zh-CN"/>
        </w:rPr>
      </w:pPr>
      <w:r>
        <w:rPr>
          <w:rFonts w:hint="eastAsia" w:ascii="宋体" w:hAnsi="宋体" w:eastAsia="宋体" w:cs="宋体"/>
          <w:sz w:val="21"/>
          <w:szCs w:val="21"/>
        </w:rPr>
        <w:t>联系方式：</w:t>
      </w:r>
      <w:r>
        <w:rPr>
          <w:rFonts w:hint="eastAsia" w:ascii="宋体" w:hAnsi="宋体" w:eastAsia="宋体" w:cs="宋体"/>
          <w:sz w:val="21"/>
          <w:szCs w:val="21"/>
          <w:lang w:val="en-US" w:eastAsia="zh-CN"/>
        </w:rPr>
        <w:t>（0769）22501631</w:t>
      </w:r>
    </w:p>
    <w:p w14:paraId="3872603C">
      <w:pPr>
        <w:pStyle w:val="18"/>
        <w:numPr>
          <w:ilvl w:val="0"/>
          <w:numId w:val="6"/>
        </w:numPr>
        <w:ind w:left="284" w:hanging="284"/>
        <w:rPr>
          <w:rFonts w:hint="eastAsia" w:ascii="宋体" w:hAnsi="宋体" w:eastAsia="宋体" w:cs="宋体"/>
          <w:sz w:val="21"/>
          <w:szCs w:val="21"/>
        </w:rPr>
      </w:pPr>
      <w:r>
        <w:rPr>
          <w:rFonts w:hint="eastAsia" w:ascii="宋体" w:hAnsi="宋体" w:eastAsia="宋体" w:cs="宋体"/>
          <w:sz w:val="21"/>
          <w:szCs w:val="21"/>
        </w:rPr>
        <w:t>采购代理机构信息</w:t>
      </w:r>
    </w:p>
    <w:p w14:paraId="1550126D">
      <w:pPr>
        <w:pStyle w:val="18"/>
        <w:ind w:firstLine="283" w:firstLineChars="135"/>
        <w:rPr>
          <w:rFonts w:ascii="宋体" w:hAnsi="宋体" w:eastAsia="宋体" w:cs="Times New Roman"/>
          <w:color w:val="auto"/>
          <w:sz w:val="21"/>
          <w:szCs w:val="21"/>
          <w:lang w:eastAsia="zh-CN"/>
        </w:rPr>
      </w:pPr>
      <w:r>
        <w:rPr>
          <w:rFonts w:ascii="宋体" w:hAnsi="宋体" w:eastAsia="宋体" w:cs="Times New Roman"/>
          <w:sz w:val="21"/>
          <w:szCs w:val="21"/>
        </w:rPr>
        <w:t>名称：广东智汇城市招</w:t>
      </w:r>
      <w:r>
        <w:rPr>
          <w:rFonts w:ascii="宋体" w:hAnsi="宋体" w:eastAsia="宋体" w:cs="Times New Roman"/>
          <w:color w:val="auto"/>
          <w:sz w:val="21"/>
          <w:szCs w:val="21"/>
        </w:rPr>
        <w:t>标采购有限公司</w:t>
      </w:r>
    </w:p>
    <w:p w14:paraId="366DDCBA">
      <w:pPr>
        <w:pStyle w:val="18"/>
        <w:ind w:firstLine="283" w:firstLineChars="135"/>
        <w:rPr>
          <w:rFonts w:ascii="宋体" w:hAnsi="宋体" w:eastAsia="宋体" w:cs="Times New Roman"/>
          <w:color w:val="auto"/>
          <w:sz w:val="21"/>
          <w:szCs w:val="21"/>
          <w:lang w:eastAsia="zh-CN"/>
        </w:rPr>
      </w:pPr>
      <w:r>
        <w:rPr>
          <w:rFonts w:ascii="宋体" w:hAnsi="宋体" w:eastAsia="宋体" w:cs="Times New Roman"/>
          <w:color w:val="auto"/>
          <w:sz w:val="21"/>
          <w:szCs w:val="21"/>
        </w:rPr>
        <w:t>地址：东莞市南城街道雅园产业园区路5号1栋1楼</w:t>
      </w:r>
    </w:p>
    <w:p w14:paraId="7052579D">
      <w:pPr>
        <w:pStyle w:val="18"/>
        <w:ind w:firstLine="283" w:firstLineChars="135"/>
        <w:rPr>
          <w:rFonts w:hint="eastAsia" w:ascii="宋体" w:hAnsi="宋体" w:eastAsia="宋体" w:cs="Times New Roman"/>
          <w:color w:val="auto"/>
          <w:sz w:val="21"/>
          <w:szCs w:val="21"/>
          <w:lang w:eastAsia="zh-CN"/>
        </w:rPr>
      </w:pPr>
      <w:r>
        <w:rPr>
          <w:rFonts w:ascii="宋体" w:hAnsi="宋体" w:eastAsia="宋体" w:cs="Times New Roman"/>
          <w:color w:val="auto"/>
          <w:sz w:val="21"/>
          <w:szCs w:val="21"/>
        </w:rPr>
        <w:t>联系方式：（0769）</w:t>
      </w:r>
      <w:r>
        <w:rPr>
          <w:rFonts w:hint="eastAsia" w:ascii="宋体" w:hAnsi="宋体" w:eastAsia="宋体" w:cs="Times New Roman"/>
          <w:color w:val="auto"/>
          <w:sz w:val="21"/>
          <w:szCs w:val="21"/>
          <w:lang w:eastAsia="zh-CN"/>
        </w:rPr>
        <w:t>22367009</w:t>
      </w:r>
    </w:p>
    <w:p w14:paraId="7F9B8449">
      <w:pPr>
        <w:pStyle w:val="18"/>
        <w:numPr>
          <w:ilvl w:val="0"/>
          <w:numId w:val="6"/>
        </w:numPr>
        <w:ind w:left="284" w:hanging="284"/>
        <w:rPr>
          <w:rFonts w:ascii="宋体" w:hAnsi="宋体" w:eastAsia="宋体" w:cs="Times New Roman"/>
          <w:color w:val="auto"/>
          <w:sz w:val="21"/>
          <w:szCs w:val="21"/>
        </w:rPr>
      </w:pPr>
      <w:r>
        <w:rPr>
          <w:rFonts w:ascii="宋体" w:hAnsi="宋体" w:eastAsia="宋体" w:cs="Times New Roman"/>
          <w:color w:val="auto"/>
          <w:sz w:val="21"/>
          <w:szCs w:val="21"/>
        </w:rPr>
        <w:t>项目联系方式</w:t>
      </w:r>
    </w:p>
    <w:p w14:paraId="07A141D7">
      <w:pPr>
        <w:pStyle w:val="18"/>
        <w:ind w:firstLine="283" w:firstLineChars="135"/>
        <w:rPr>
          <w:rFonts w:hint="default" w:ascii="宋体" w:hAnsi="宋体" w:eastAsia="宋体" w:cs="Times New Roman"/>
          <w:color w:val="auto"/>
          <w:sz w:val="21"/>
          <w:szCs w:val="21"/>
          <w:lang w:val="en-US" w:eastAsia="zh-CN"/>
        </w:rPr>
      </w:pPr>
      <w:r>
        <w:rPr>
          <w:rFonts w:ascii="宋体" w:hAnsi="宋体" w:eastAsia="宋体" w:cs="Times New Roman"/>
          <w:color w:val="auto"/>
          <w:sz w:val="21"/>
          <w:szCs w:val="21"/>
        </w:rPr>
        <w:t>项目联系人：</w:t>
      </w:r>
      <w:r>
        <w:rPr>
          <w:rFonts w:hint="eastAsia" w:ascii="宋体" w:hAnsi="宋体" w:eastAsia="宋体" w:cs="Times New Roman"/>
          <w:color w:val="auto"/>
          <w:sz w:val="21"/>
          <w:szCs w:val="21"/>
          <w:lang w:val="en-US" w:eastAsia="zh-CN"/>
        </w:rPr>
        <w:t>何舜禹</w:t>
      </w:r>
    </w:p>
    <w:p w14:paraId="6466F510">
      <w:pPr>
        <w:pStyle w:val="18"/>
        <w:ind w:firstLine="283" w:firstLineChars="135"/>
        <w:rPr>
          <w:rFonts w:hint="eastAsia" w:ascii="宋体" w:hAnsi="宋体" w:eastAsia="宋体" w:cs="Times New Roman"/>
          <w:color w:val="auto"/>
          <w:sz w:val="21"/>
          <w:szCs w:val="21"/>
          <w:lang w:eastAsia="zh-CN"/>
        </w:rPr>
      </w:pPr>
      <w:r>
        <w:rPr>
          <w:rFonts w:ascii="宋体" w:hAnsi="宋体" w:eastAsia="宋体" w:cs="Times New Roman"/>
          <w:color w:val="auto"/>
          <w:sz w:val="21"/>
          <w:szCs w:val="21"/>
        </w:rPr>
        <w:t>电话：（0769）</w:t>
      </w:r>
      <w:bookmarkEnd w:id="5"/>
      <w:r>
        <w:rPr>
          <w:rFonts w:hint="eastAsia" w:ascii="宋体" w:hAnsi="宋体" w:eastAsia="宋体" w:cs="Times New Roman"/>
          <w:color w:val="auto"/>
          <w:sz w:val="21"/>
          <w:szCs w:val="21"/>
          <w:lang w:eastAsia="zh-CN"/>
        </w:rPr>
        <w:t>22367009</w:t>
      </w:r>
    </w:p>
    <w:p w14:paraId="4CE08A8D">
      <w:pPr>
        <w:pStyle w:val="18"/>
        <w:jc w:val="center"/>
        <w:rPr>
          <w:rFonts w:ascii="宋体" w:hAnsi="宋体" w:eastAsia="宋体" w:cs="Times New Roman"/>
          <w:b/>
          <w:bCs/>
          <w:sz w:val="21"/>
          <w:szCs w:val="21"/>
        </w:rPr>
      </w:pPr>
      <w:r>
        <w:rPr>
          <w:rFonts w:ascii="宋体" w:hAnsi="宋体" w:eastAsia="宋体" w:cs="Times New Roman"/>
          <w:sz w:val="21"/>
          <w:szCs w:val="21"/>
          <w:lang w:eastAsia="zh-CN"/>
        </w:rPr>
        <w:t xml:space="preserve">                                         </w:t>
      </w:r>
      <w:r>
        <w:rPr>
          <w:rFonts w:ascii="宋体" w:hAnsi="宋体" w:eastAsia="宋体" w:cs="Times New Roman"/>
          <w:b/>
          <w:bCs/>
          <w:sz w:val="21"/>
          <w:szCs w:val="21"/>
          <w:lang w:eastAsia="zh-CN"/>
        </w:rPr>
        <w:t xml:space="preserve">  </w:t>
      </w:r>
      <w:r>
        <w:rPr>
          <w:rFonts w:ascii="宋体" w:hAnsi="宋体" w:eastAsia="宋体" w:cs="Times New Roman"/>
          <w:b/>
          <w:bCs/>
          <w:sz w:val="21"/>
          <w:szCs w:val="21"/>
        </w:rPr>
        <w:t>发布人：广东智汇城市招标采购有限公司</w:t>
      </w:r>
    </w:p>
    <w:p w14:paraId="5A6BCF19">
      <w:pPr>
        <w:pStyle w:val="18"/>
        <w:jc w:val="center"/>
        <w:rPr>
          <w:rFonts w:ascii="宋体" w:hAnsi="宋体" w:eastAsia="宋体" w:cs="Times New Roman"/>
          <w:sz w:val="21"/>
          <w:szCs w:val="21"/>
          <w:lang w:eastAsia="zh-CN"/>
        </w:rPr>
      </w:pPr>
      <w:r>
        <w:rPr>
          <w:rFonts w:ascii="宋体" w:hAnsi="宋体" w:eastAsia="宋体" w:cs="Times New Roman"/>
          <w:b/>
          <w:bCs/>
          <w:sz w:val="21"/>
          <w:szCs w:val="21"/>
          <w:lang w:eastAsia="zh-CN"/>
        </w:rPr>
        <w:t xml:space="preserve">                                 </w:t>
      </w:r>
      <w:r>
        <w:rPr>
          <w:rFonts w:ascii="宋体" w:hAnsi="宋体" w:eastAsia="宋体" w:cs="Times New Roman"/>
          <w:b/>
          <w:bCs/>
          <w:sz w:val="21"/>
          <w:szCs w:val="21"/>
        </w:rPr>
        <w:t>发布时间：</w:t>
      </w:r>
      <w:r>
        <w:rPr>
          <w:rFonts w:hint="eastAsia" w:ascii="宋体" w:hAnsi="宋体" w:eastAsia="宋体" w:cs="Times New Roman"/>
          <w:b/>
          <w:bCs/>
          <w:sz w:val="21"/>
          <w:szCs w:val="21"/>
          <w:lang w:val="en-US" w:eastAsia="zh-CN"/>
        </w:rPr>
        <w:t>2025</w:t>
      </w:r>
      <w:r>
        <w:rPr>
          <w:rFonts w:ascii="宋体" w:hAnsi="宋体" w:eastAsia="宋体" w:cs="Times New Roman"/>
          <w:b/>
          <w:bCs/>
          <w:sz w:val="21"/>
          <w:szCs w:val="21"/>
        </w:rPr>
        <w:t>年</w:t>
      </w:r>
      <w:r>
        <w:rPr>
          <w:rFonts w:hint="eastAsia" w:ascii="宋体" w:hAnsi="宋体" w:eastAsia="宋体" w:cs="Times New Roman"/>
          <w:b/>
          <w:bCs/>
          <w:sz w:val="21"/>
          <w:szCs w:val="21"/>
          <w:lang w:val="en-US" w:eastAsia="zh-CN"/>
        </w:rPr>
        <w:t>09</w:t>
      </w:r>
      <w:r>
        <w:rPr>
          <w:rFonts w:ascii="宋体" w:hAnsi="宋体" w:eastAsia="宋体" w:cs="Times New Roman"/>
          <w:b/>
          <w:bCs/>
          <w:sz w:val="21"/>
          <w:szCs w:val="21"/>
        </w:rPr>
        <w:t>月</w:t>
      </w:r>
      <w:r>
        <w:rPr>
          <w:rFonts w:hint="eastAsia" w:ascii="宋体" w:hAnsi="宋体" w:eastAsia="宋体" w:cs="Times New Roman"/>
          <w:b/>
          <w:bCs/>
          <w:sz w:val="21"/>
          <w:szCs w:val="21"/>
          <w:lang w:val="en-US" w:eastAsia="zh-CN"/>
        </w:rPr>
        <w:t>25</w:t>
      </w:r>
      <w:r>
        <w:rPr>
          <w:rFonts w:ascii="宋体" w:hAnsi="宋体" w:eastAsia="宋体" w:cs="Times New Roman"/>
          <w:b/>
          <w:bCs/>
          <w:sz w:val="21"/>
          <w:szCs w:val="21"/>
        </w:rPr>
        <w:t>日</w:t>
      </w:r>
    </w:p>
    <w:p w14:paraId="70D12FEA">
      <w:pPr>
        <w:pageBreakBefore/>
        <w:jc w:val="center"/>
        <w:outlineLvl w:val="1"/>
        <w:rPr>
          <w:rFonts w:hint="eastAsia" w:ascii="宋体" w:hAnsi="宋体" w:eastAsia="宋体" w:cs="Times New Roman"/>
          <w:kern w:val="0"/>
          <w:sz w:val="20"/>
          <w:szCs w:val="20"/>
        </w:rPr>
      </w:pPr>
      <w:bookmarkStart w:id="6" w:name="_Toc169807541"/>
      <w:bookmarkStart w:id="7" w:name="_Toc169799779"/>
      <w:r>
        <w:rPr>
          <w:rFonts w:ascii="宋体" w:hAnsi="宋体" w:eastAsia="宋体" w:cs="Times New Roman"/>
          <w:b/>
          <w:kern w:val="0"/>
          <w:sz w:val="36"/>
          <w:szCs w:val="20"/>
          <w:lang w:eastAsia="zh-Hans"/>
        </w:rPr>
        <w:t xml:space="preserve">第二章 </w:t>
      </w:r>
      <w:r>
        <w:rPr>
          <w:rFonts w:hint="eastAsia" w:ascii="宋体" w:hAnsi="宋体" w:eastAsia="宋体" w:cs="Times New Roman"/>
          <w:b/>
          <w:kern w:val="0"/>
          <w:sz w:val="36"/>
          <w:szCs w:val="20"/>
          <w:lang w:eastAsia="zh-Hans"/>
        </w:rPr>
        <w:t>采购需求</w:t>
      </w:r>
      <w:bookmarkEnd w:id="6"/>
      <w:bookmarkEnd w:id="7"/>
    </w:p>
    <w:p w14:paraId="3E07ECDA">
      <w:pPr>
        <w:snapToGrid w:val="0"/>
        <w:spacing w:line="360" w:lineRule="auto"/>
        <w:contextualSpacing/>
        <w:rPr>
          <w:rFonts w:hint="eastAsia" w:ascii="宋体" w:hAnsi="宋体" w:eastAsia="宋体"/>
          <w:b/>
          <w:szCs w:val="21"/>
        </w:rPr>
      </w:pPr>
      <w:bookmarkStart w:id="8" w:name="_Hlk90919605"/>
      <w:r>
        <w:rPr>
          <w:rFonts w:hint="eastAsia" w:ascii="宋体" w:hAnsi="宋体" w:eastAsia="宋体"/>
          <w:b/>
          <w:szCs w:val="21"/>
        </w:rPr>
        <w:t>说明：</w:t>
      </w:r>
    </w:p>
    <w:p w14:paraId="0CB2FF70">
      <w:pPr>
        <w:pStyle w:val="24"/>
        <w:numPr>
          <w:ilvl w:val="0"/>
          <w:numId w:val="7"/>
        </w:numPr>
        <w:tabs>
          <w:tab w:val="left" w:pos="284"/>
        </w:tabs>
        <w:snapToGrid w:val="0"/>
        <w:spacing w:line="360" w:lineRule="auto"/>
        <w:ind w:left="284" w:hanging="284" w:firstLineChars="0"/>
        <w:contextualSpacing/>
        <w:rPr>
          <w:rFonts w:hint="eastAsia" w:ascii="宋体" w:hAnsi="宋体" w:eastAsia="宋体"/>
          <w:szCs w:val="21"/>
        </w:rPr>
      </w:pPr>
      <w:r>
        <w:rPr>
          <w:rFonts w:hint="eastAsia" w:ascii="宋体" w:hAnsi="宋体" w:eastAsia="宋体"/>
          <w:szCs w:val="21"/>
        </w:rPr>
        <w:t>采购需求中标有“★”的地方均被视为重要的采购需求，投标人要特别加以注意，必须对此响应并完全满足这些要求，否则若有一项带“★”的要求未响应或不满足，将按无效投标处理。</w:t>
      </w:r>
    </w:p>
    <w:p w14:paraId="3B8BD1E4">
      <w:pPr>
        <w:pStyle w:val="24"/>
        <w:numPr>
          <w:ilvl w:val="0"/>
          <w:numId w:val="7"/>
        </w:numPr>
        <w:tabs>
          <w:tab w:val="left" w:pos="284"/>
        </w:tabs>
        <w:snapToGrid w:val="0"/>
        <w:spacing w:line="360" w:lineRule="auto"/>
        <w:ind w:left="284" w:hanging="284" w:firstLineChars="0"/>
        <w:contextualSpacing/>
        <w:rPr>
          <w:rFonts w:hint="eastAsia" w:ascii="宋体" w:hAnsi="宋体" w:eastAsia="宋体"/>
          <w:szCs w:val="21"/>
        </w:rPr>
      </w:pPr>
      <w:r>
        <w:rPr>
          <w:rFonts w:hint="eastAsia" w:ascii="宋体" w:hAnsi="宋体" w:eastAsia="宋体"/>
          <w:szCs w:val="21"/>
        </w:rPr>
        <w:t>标有“▲”符号的内容为采购需求重点技术参数，若未能响应，则在评标过程中根据评审内容作扣分处理。</w:t>
      </w:r>
    </w:p>
    <w:p w14:paraId="19AC15E7">
      <w:pPr>
        <w:pStyle w:val="24"/>
        <w:numPr>
          <w:ilvl w:val="0"/>
          <w:numId w:val="7"/>
        </w:numPr>
        <w:tabs>
          <w:tab w:val="left" w:pos="284"/>
        </w:tabs>
        <w:snapToGrid w:val="0"/>
        <w:spacing w:line="360" w:lineRule="auto"/>
        <w:ind w:left="284" w:hanging="284" w:firstLineChars="0"/>
        <w:contextualSpacing/>
        <w:rPr>
          <w:rFonts w:hint="eastAsia" w:ascii="宋体" w:hAnsi="宋体" w:eastAsia="宋体"/>
          <w:szCs w:val="21"/>
        </w:rPr>
      </w:pPr>
      <w:r>
        <w:rPr>
          <w:rFonts w:hint="eastAsia" w:ascii="宋体" w:hAnsi="宋体" w:eastAsia="宋体"/>
          <w:szCs w:val="21"/>
        </w:rPr>
        <w:t>投标报价中不得包含招标文件要求以外的内容，否则，在评标时不予核减。若投标报价有缺漏项的，缺漏项部分的价格视为已包含在投标报价中，中标后不作任何调整。</w:t>
      </w:r>
    </w:p>
    <w:p w14:paraId="4DB4E350">
      <w:pPr>
        <w:snapToGrid w:val="0"/>
        <w:spacing w:line="360" w:lineRule="auto"/>
        <w:contextualSpacing/>
        <w:rPr>
          <w:rFonts w:hint="eastAsia"/>
        </w:rPr>
      </w:pPr>
    </w:p>
    <w:p w14:paraId="5B7CCB91">
      <w:pPr>
        <w:pStyle w:val="24"/>
        <w:numPr>
          <w:ilvl w:val="0"/>
          <w:numId w:val="8"/>
        </w:numPr>
        <w:snapToGrid w:val="0"/>
        <w:spacing w:line="360" w:lineRule="auto"/>
        <w:ind w:left="442" w:hanging="442" w:firstLineChars="0"/>
        <w:contextualSpacing/>
        <w:rPr>
          <w:rFonts w:hint="eastAsia"/>
        </w:rPr>
      </w:pPr>
      <w:r>
        <w:rPr>
          <w:rFonts w:ascii="宋体" w:hAnsi="宋体" w:eastAsia="宋体"/>
          <w:b/>
          <w:bCs/>
        </w:rPr>
        <w:t>项目概况</w:t>
      </w:r>
    </w:p>
    <w:p w14:paraId="04FA5CCE">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eastAsia="宋体"/>
          <w:b w:val="0"/>
          <w:bCs/>
          <w:szCs w:val="21"/>
        </w:rPr>
      </w:pPr>
      <w:r>
        <w:rPr>
          <w:rFonts w:hint="eastAsia" w:ascii="宋体" w:hAnsi="宋体" w:eastAsia="宋体"/>
          <w:b w:val="0"/>
          <w:bCs/>
          <w:szCs w:val="21"/>
        </w:rPr>
        <w:t>为进一步加强我市</w:t>
      </w:r>
      <w:r>
        <w:rPr>
          <w:rFonts w:hint="eastAsia" w:ascii="宋体" w:hAnsi="宋体" w:eastAsia="宋体"/>
          <w:b w:val="0"/>
          <w:bCs/>
          <w:szCs w:val="21"/>
          <w:lang w:eastAsia="zh-CN"/>
        </w:rPr>
        <w:t>农药包装废弃物与废旧农膜</w:t>
      </w:r>
      <w:r>
        <w:rPr>
          <w:rFonts w:hint="eastAsia" w:ascii="宋体" w:hAnsi="宋体" w:eastAsia="宋体"/>
          <w:b w:val="0"/>
          <w:bCs/>
          <w:szCs w:val="21"/>
        </w:rPr>
        <w:t>回收</w:t>
      </w:r>
      <w:r>
        <w:rPr>
          <w:rFonts w:hint="eastAsia" w:ascii="宋体" w:hAnsi="宋体" w:eastAsia="宋体"/>
          <w:b w:val="0"/>
          <w:bCs/>
          <w:szCs w:val="21"/>
          <w:lang w:val="en-US" w:eastAsia="zh-CN"/>
        </w:rPr>
        <w:t>处理</w:t>
      </w:r>
      <w:r>
        <w:rPr>
          <w:rFonts w:hint="eastAsia" w:ascii="宋体" w:hAnsi="宋体" w:eastAsia="宋体"/>
          <w:b w:val="0"/>
          <w:bCs/>
          <w:szCs w:val="21"/>
        </w:rPr>
        <w:t>工作，推动“无废城市”建设，东莞市农业技术推广管理办公室计划采取</w:t>
      </w:r>
      <w:r>
        <w:rPr>
          <w:rFonts w:hint="eastAsia" w:ascii="宋体" w:hAnsi="宋体" w:eastAsia="宋体"/>
          <w:b w:val="0"/>
          <w:bCs/>
          <w:szCs w:val="21"/>
          <w:lang w:val="en-US" w:eastAsia="zh-CN"/>
        </w:rPr>
        <w:t>公开招标</w:t>
      </w:r>
      <w:r>
        <w:rPr>
          <w:rFonts w:hint="eastAsia" w:ascii="宋体" w:hAnsi="宋体" w:eastAsia="宋体"/>
          <w:b w:val="0"/>
          <w:bCs/>
          <w:szCs w:val="21"/>
        </w:rPr>
        <w:t>的方式</w:t>
      </w:r>
      <w:r>
        <w:rPr>
          <w:rFonts w:hint="eastAsia" w:ascii="宋体" w:hAnsi="宋体" w:eastAsia="宋体"/>
          <w:b w:val="0"/>
          <w:bCs/>
          <w:szCs w:val="21"/>
          <w:lang w:val="en-US" w:eastAsia="zh-CN"/>
        </w:rPr>
        <w:t>选择1家单位（或联合体）</w:t>
      </w:r>
      <w:r>
        <w:rPr>
          <w:rFonts w:hint="eastAsia" w:ascii="宋体" w:hAnsi="宋体" w:eastAsia="宋体"/>
          <w:b w:val="0"/>
          <w:bCs/>
          <w:szCs w:val="21"/>
        </w:rPr>
        <w:t>实施202</w:t>
      </w:r>
      <w:r>
        <w:rPr>
          <w:rFonts w:hint="eastAsia" w:ascii="宋体" w:hAnsi="宋体" w:eastAsia="宋体"/>
          <w:b w:val="0"/>
          <w:bCs/>
          <w:szCs w:val="21"/>
          <w:lang w:val="en-US" w:eastAsia="zh-CN"/>
        </w:rPr>
        <w:t>5</w:t>
      </w:r>
      <w:r>
        <w:rPr>
          <w:rFonts w:hint="eastAsia" w:ascii="宋体" w:hAnsi="宋体" w:eastAsia="宋体"/>
          <w:b w:val="0"/>
          <w:bCs/>
          <w:szCs w:val="21"/>
        </w:rPr>
        <w:t>年全市</w:t>
      </w:r>
      <w:r>
        <w:rPr>
          <w:rFonts w:hint="eastAsia" w:ascii="宋体" w:hAnsi="宋体" w:eastAsia="宋体"/>
          <w:b w:val="0"/>
          <w:bCs/>
          <w:szCs w:val="21"/>
          <w:lang w:eastAsia="zh-CN"/>
        </w:rPr>
        <w:t>农药包装废弃物与废旧农膜</w:t>
      </w:r>
      <w:r>
        <w:rPr>
          <w:rFonts w:hint="eastAsia" w:ascii="宋体" w:hAnsi="宋体" w:eastAsia="宋体"/>
          <w:b w:val="0"/>
          <w:bCs/>
          <w:szCs w:val="21"/>
        </w:rPr>
        <w:t>回收</w:t>
      </w:r>
      <w:r>
        <w:rPr>
          <w:rFonts w:hint="eastAsia" w:ascii="宋体" w:hAnsi="宋体" w:eastAsia="宋体"/>
          <w:b w:val="0"/>
          <w:bCs/>
          <w:szCs w:val="21"/>
          <w:lang w:eastAsia="zh-CN"/>
        </w:rPr>
        <w:t>处理</w:t>
      </w:r>
      <w:r>
        <w:rPr>
          <w:rFonts w:hint="eastAsia" w:ascii="宋体" w:hAnsi="宋体" w:eastAsia="宋体"/>
          <w:b w:val="0"/>
          <w:bCs/>
          <w:szCs w:val="21"/>
          <w:lang w:val="en-US" w:eastAsia="zh-CN"/>
        </w:rPr>
        <w:t>工作。</w:t>
      </w:r>
    </w:p>
    <w:p w14:paraId="60ADBFB4">
      <w:pPr>
        <w:pStyle w:val="24"/>
        <w:numPr>
          <w:ilvl w:val="0"/>
          <w:numId w:val="8"/>
        </w:numPr>
        <w:snapToGrid w:val="0"/>
        <w:spacing w:line="360" w:lineRule="auto"/>
        <w:ind w:left="442" w:hanging="442" w:firstLineChars="0"/>
        <w:contextualSpacing/>
        <w:rPr>
          <w:rFonts w:hint="eastAsia" w:ascii="宋体" w:hAnsi="宋体" w:eastAsia="宋体"/>
          <w:b/>
          <w:szCs w:val="21"/>
        </w:rPr>
      </w:pPr>
      <w:r>
        <w:rPr>
          <w:rFonts w:ascii="宋体" w:hAnsi="宋体" w:eastAsia="宋体"/>
          <w:b/>
          <w:bCs/>
        </w:rPr>
        <w:t>采购标的</w:t>
      </w:r>
    </w:p>
    <w:p w14:paraId="4666CF3D">
      <w:pPr>
        <w:pStyle w:val="24"/>
        <w:numPr>
          <w:ilvl w:val="0"/>
          <w:numId w:val="9"/>
        </w:numPr>
        <w:snapToGrid w:val="0"/>
        <w:spacing w:line="360" w:lineRule="auto"/>
        <w:ind w:firstLineChars="0"/>
        <w:contextualSpacing/>
        <w:rPr>
          <w:rFonts w:hint="eastAsia" w:ascii="宋体" w:hAnsi="宋体" w:eastAsia="宋体"/>
          <w:bCs/>
          <w:szCs w:val="21"/>
        </w:rPr>
      </w:pPr>
      <w:r>
        <w:rPr>
          <w:rFonts w:ascii="宋体" w:hAnsi="宋体" w:eastAsia="宋体"/>
          <w:bCs/>
          <w:szCs w:val="21"/>
        </w:rPr>
        <w:t>采购标的</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4036"/>
        <w:gridCol w:w="1145"/>
        <w:gridCol w:w="888"/>
        <w:gridCol w:w="2389"/>
      </w:tblGrid>
      <w:tr w14:paraId="3C04F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tcPr>
          <w:p w14:paraId="6727D6C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rPr>
            </w:pPr>
            <w:r>
              <w:rPr>
                <w:rFonts w:hint="eastAsia" w:ascii="宋体" w:hAnsi="宋体" w:eastAsia="宋体"/>
                <w:bCs/>
                <w:szCs w:val="21"/>
              </w:rPr>
              <w:t>序号</w:t>
            </w:r>
          </w:p>
        </w:tc>
        <w:tc>
          <w:tcPr>
            <w:tcW w:w="2172" w:type="pct"/>
          </w:tcPr>
          <w:p w14:paraId="1022AC1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rPr>
            </w:pPr>
            <w:r>
              <w:rPr>
                <w:rFonts w:hint="eastAsia" w:ascii="宋体" w:hAnsi="宋体" w:eastAsia="宋体"/>
                <w:bCs/>
                <w:szCs w:val="21"/>
              </w:rPr>
              <w:t>标的名称</w:t>
            </w:r>
          </w:p>
        </w:tc>
        <w:tc>
          <w:tcPr>
            <w:tcW w:w="616" w:type="pct"/>
          </w:tcPr>
          <w:p w14:paraId="766BA13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rPr>
            </w:pPr>
            <w:r>
              <w:rPr>
                <w:rFonts w:hint="eastAsia" w:ascii="宋体" w:hAnsi="宋体" w:eastAsia="宋体"/>
                <w:bCs/>
                <w:szCs w:val="21"/>
              </w:rPr>
              <w:t>单位</w:t>
            </w:r>
          </w:p>
        </w:tc>
        <w:tc>
          <w:tcPr>
            <w:tcW w:w="478" w:type="pct"/>
          </w:tcPr>
          <w:p w14:paraId="5DF0744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rPr>
            </w:pPr>
            <w:r>
              <w:rPr>
                <w:rFonts w:hint="eastAsia" w:ascii="宋体" w:hAnsi="宋体" w:eastAsia="宋体"/>
                <w:bCs/>
                <w:szCs w:val="21"/>
              </w:rPr>
              <w:t>数量</w:t>
            </w:r>
          </w:p>
        </w:tc>
        <w:tc>
          <w:tcPr>
            <w:tcW w:w="1286" w:type="pct"/>
          </w:tcPr>
          <w:p w14:paraId="765C810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rPr>
            </w:pPr>
            <w:r>
              <w:rPr>
                <w:rFonts w:hint="eastAsia" w:ascii="宋体" w:hAnsi="宋体" w:eastAsia="宋体"/>
                <w:bCs/>
                <w:szCs w:val="21"/>
              </w:rPr>
              <w:t>采购标的所属行业</w:t>
            </w:r>
          </w:p>
        </w:tc>
      </w:tr>
      <w:tr w14:paraId="674F2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Align w:val="center"/>
          </w:tcPr>
          <w:p w14:paraId="29BA5AF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lang w:val="en-US" w:eastAsia="zh-CN"/>
              </w:rPr>
            </w:pPr>
            <w:r>
              <w:rPr>
                <w:rFonts w:hint="eastAsia" w:ascii="宋体" w:hAnsi="宋体" w:eastAsia="宋体"/>
                <w:bCs/>
                <w:szCs w:val="21"/>
                <w:lang w:val="en-US" w:eastAsia="zh-CN"/>
              </w:rPr>
              <w:t>1</w:t>
            </w:r>
          </w:p>
        </w:tc>
        <w:tc>
          <w:tcPr>
            <w:tcW w:w="2172" w:type="pct"/>
            <w:vAlign w:val="center"/>
          </w:tcPr>
          <w:p w14:paraId="53FC4F0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rPr>
            </w:pPr>
            <w:r>
              <w:rPr>
                <w:rFonts w:hint="eastAsia" w:ascii="宋体" w:hAnsi="宋体" w:eastAsia="宋体" w:cs="宋体"/>
                <w:color w:val="auto"/>
                <w:kern w:val="0"/>
                <w:sz w:val="21"/>
                <w:szCs w:val="21"/>
                <w:lang w:eastAsia="zh-Hans"/>
              </w:rPr>
              <w:t>农药包装废弃物与废旧农膜回收处理</w:t>
            </w:r>
          </w:p>
        </w:tc>
        <w:tc>
          <w:tcPr>
            <w:tcW w:w="616" w:type="pct"/>
            <w:vAlign w:val="center"/>
          </w:tcPr>
          <w:p w14:paraId="449B2DC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lang w:val="en-US" w:eastAsia="zh-CN"/>
              </w:rPr>
            </w:pPr>
            <w:r>
              <w:rPr>
                <w:rFonts w:hint="eastAsia" w:ascii="宋体" w:hAnsi="宋体" w:eastAsia="宋体"/>
                <w:bCs/>
                <w:szCs w:val="21"/>
                <w:lang w:val="en-US" w:eastAsia="zh-CN"/>
              </w:rPr>
              <w:t>项</w:t>
            </w:r>
          </w:p>
        </w:tc>
        <w:tc>
          <w:tcPr>
            <w:tcW w:w="478" w:type="pct"/>
            <w:vAlign w:val="center"/>
          </w:tcPr>
          <w:p w14:paraId="30F9C12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lang w:val="en-US" w:eastAsia="zh-CN"/>
              </w:rPr>
            </w:pPr>
            <w:r>
              <w:rPr>
                <w:rFonts w:hint="eastAsia" w:ascii="宋体" w:hAnsi="宋体" w:eastAsia="宋体"/>
                <w:bCs/>
                <w:szCs w:val="21"/>
                <w:lang w:val="en-US" w:eastAsia="zh-CN"/>
              </w:rPr>
              <w:t>1</w:t>
            </w:r>
          </w:p>
        </w:tc>
        <w:tc>
          <w:tcPr>
            <w:tcW w:w="1286" w:type="pct"/>
            <w:vAlign w:val="center"/>
          </w:tcPr>
          <w:p w14:paraId="7FDF17F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rPr>
            </w:pPr>
            <w:r>
              <w:rPr>
                <w:rFonts w:hint="eastAsia" w:ascii="宋体" w:hAnsi="宋体" w:eastAsia="宋体"/>
                <w:bCs/>
                <w:szCs w:val="21"/>
                <w:lang w:eastAsia="zh-CN"/>
              </w:rPr>
              <w:t>其他未列明行业</w:t>
            </w:r>
          </w:p>
        </w:tc>
      </w:tr>
    </w:tbl>
    <w:p w14:paraId="78681BD1">
      <w:pPr>
        <w:pStyle w:val="24"/>
        <w:numPr>
          <w:ilvl w:val="0"/>
          <w:numId w:val="8"/>
        </w:numPr>
        <w:snapToGrid w:val="0"/>
        <w:spacing w:before="217" w:beforeLines="50" w:line="360" w:lineRule="auto"/>
        <w:ind w:left="442" w:hanging="442" w:firstLineChars="0"/>
        <w:contextualSpacing/>
        <w:rPr>
          <w:rFonts w:hint="eastAsia" w:ascii="宋体" w:hAnsi="宋体" w:eastAsia="宋体"/>
          <w:b/>
          <w:szCs w:val="21"/>
        </w:rPr>
      </w:pPr>
      <w:r>
        <w:rPr>
          <w:rFonts w:ascii="宋体" w:hAnsi="宋体" w:eastAsia="宋体"/>
          <w:b/>
          <w:bCs/>
        </w:rPr>
        <w:t>商务要求</w:t>
      </w:r>
    </w:p>
    <w:p w14:paraId="49AB169A">
      <w:pPr>
        <w:pStyle w:val="24"/>
        <w:numPr>
          <w:ilvl w:val="0"/>
          <w:numId w:val="10"/>
        </w:numPr>
        <w:snapToGrid w:val="0"/>
        <w:spacing w:line="360" w:lineRule="auto"/>
        <w:ind w:firstLineChars="0"/>
        <w:contextualSpacing/>
        <w:rPr>
          <w:rFonts w:hint="eastAsia" w:ascii="宋体" w:hAnsi="宋体" w:eastAsia="宋体" w:cs="宋体"/>
          <w:iCs/>
          <w:sz w:val="21"/>
          <w:szCs w:val="21"/>
        </w:rPr>
      </w:pPr>
      <w:r>
        <w:rPr>
          <w:rFonts w:hint="eastAsia" w:ascii="宋体" w:hAnsi="宋体" w:eastAsia="宋体" w:cs="宋体"/>
          <w:iCs/>
          <w:sz w:val="21"/>
          <w:szCs w:val="21"/>
        </w:rPr>
        <w:t>服务时间</w:t>
      </w:r>
      <w:r>
        <w:rPr>
          <w:rFonts w:hint="eastAsia" w:ascii="宋体" w:hAnsi="宋体" w:eastAsia="宋体" w:cs="宋体"/>
          <w:iCs/>
          <w:sz w:val="21"/>
          <w:szCs w:val="21"/>
          <w:lang w:eastAsia="zh-CN"/>
        </w:rPr>
        <w:t>：</w:t>
      </w:r>
      <w:r>
        <w:rPr>
          <w:rFonts w:ascii="宋体" w:hAnsi="宋体" w:eastAsia="宋体" w:cs="Times New Roman"/>
          <w:color w:val="auto"/>
          <w:kern w:val="0"/>
          <w:szCs w:val="21"/>
          <w:highlight w:val="none"/>
          <w:lang w:eastAsia="zh-Hans"/>
        </w:rPr>
        <w:t>1年</w:t>
      </w:r>
      <w:r>
        <w:rPr>
          <w:rFonts w:hint="eastAsia" w:ascii="宋体" w:hAnsi="宋体" w:eastAsia="宋体" w:cs="Times New Roman"/>
          <w:color w:val="auto"/>
          <w:kern w:val="0"/>
          <w:szCs w:val="21"/>
          <w:highlight w:val="none"/>
          <w:lang w:eastAsia="zh-CN"/>
        </w:rPr>
        <w:t>，</w:t>
      </w:r>
      <w:r>
        <w:rPr>
          <w:rFonts w:hint="eastAsia" w:ascii="宋体" w:hAnsi="宋体" w:eastAsia="宋体" w:cs="宋体"/>
          <w:sz w:val="21"/>
          <w:szCs w:val="21"/>
          <w:highlight w:val="none"/>
          <w:lang w:val="en-US" w:eastAsia="zh-Hans"/>
        </w:rPr>
        <w:t>具体服务时间合同签订时确认，服务期满或合同期内项目结算金额达到项目预算金额的，合同自动终止</w:t>
      </w:r>
      <w:r>
        <w:rPr>
          <w:rFonts w:ascii="宋体" w:hAnsi="宋体" w:eastAsia="宋体" w:cs="Times New Roman"/>
          <w:color w:val="auto"/>
          <w:kern w:val="0"/>
          <w:szCs w:val="21"/>
          <w:highlight w:val="none"/>
          <w:lang w:eastAsia="zh-Hans"/>
        </w:rPr>
        <w:t>。</w:t>
      </w:r>
    </w:p>
    <w:p w14:paraId="7D1ED232">
      <w:pPr>
        <w:pStyle w:val="24"/>
        <w:numPr>
          <w:ilvl w:val="0"/>
          <w:numId w:val="10"/>
        </w:numPr>
        <w:snapToGrid w:val="0"/>
        <w:spacing w:line="360" w:lineRule="auto"/>
        <w:ind w:leftChars="0" w:firstLineChars="0"/>
        <w:contextualSpacing/>
        <w:rPr>
          <w:rFonts w:hint="eastAsia" w:ascii="宋体" w:hAnsi="宋体" w:eastAsia="宋体" w:cs="宋体"/>
          <w:iCs/>
          <w:sz w:val="21"/>
          <w:szCs w:val="21"/>
          <w:lang w:val="en-US" w:eastAsia="zh-CN"/>
        </w:rPr>
      </w:pPr>
      <w:r>
        <w:rPr>
          <w:rFonts w:hint="eastAsia" w:ascii="宋体" w:hAnsi="宋体" w:eastAsia="宋体" w:cs="宋体"/>
          <w:iCs/>
          <w:sz w:val="21"/>
          <w:szCs w:val="21"/>
        </w:rPr>
        <w:t>服务地点</w:t>
      </w:r>
    </w:p>
    <w:p w14:paraId="6F3993F0">
      <w:pPr>
        <w:pStyle w:val="24"/>
        <w:numPr>
          <w:ilvl w:val="0"/>
          <w:numId w:val="0"/>
        </w:numPr>
        <w:ind w:firstLine="420" w:firstLineChars="200"/>
        <w:rPr>
          <w:rFonts w:hint="eastAsia" w:ascii="宋体" w:hAnsi="宋体" w:eastAsia="宋体" w:cs="宋体"/>
          <w:iCs/>
          <w:sz w:val="21"/>
          <w:szCs w:val="21"/>
          <w:lang w:val="en-US" w:eastAsia="zh-CN"/>
        </w:rPr>
      </w:pPr>
      <w:r>
        <w:rPr>
          <w:rFonts w:hint="eastAsia" w:ascii="宋体" w:hAnsi="宋体" w:eastAsia="宋体" w:cs="宋体"/>
          <w:iCs/>
          <w:sz w:val="21"/>
          <w:szCs w:val="21"/>
          <w:lang w:val="en-US" w:eastAsia="zh-CN"/>
        </w:rPr>
        <w:t>东莞市内或</w:t>
      </w:r>
      <w:r>
        <w:rPr>
          <w:rFonts w:hint="eastAsia" w:ascii="宋体" w:hAnsi="宋体" w:eastAsia="宋体" w:cs="宋体"/>
          <w:iCs/>
          <w:sz w:val="21"/>
          <w:szCs w:val="21"/>
          <w:lang w:val="en-US" w:eastAsia="zh-Hans"/>
        </w:rPr>
        <w:t>采购人指定地点</w:t>
      </w:r>
      <w:r>
        <w:rPr>
          <w:rFonts w:hint="eastAsia" w:ascii="宋体" w:hAnsi="宋体" w:eastAsia="宋体" w:cs="宋体"/>
          <w:iCs/>
          <w:sz w:val="21"/>
          <w:szCs w:val="21"/>
          <w:lang w:val="en-US" w:eastAsia="zh-CN"/>
        </w:rPr>
        <w:t>。</w:t>
      </w:r>
    </w:p>
    <w:p w14:paraId="4FEAF1F4">
      <w:pPr>
        <w:pStyle w:val="24"/>
        <w:numPr>
          <w:ilvl w:val="0"/>
          <w:numId w:val="10"/>
        </w:numPr>
        <w:tabs>
          <w:tab w:val="left" w:pos="420"/>
          <w:tab w:val="left" w:pos="630"/>
          <w:tab w:val="left" w:pos="840"/>
        </w:tabs>
        <w:snapToGrid w:val="0"/>
        <w:spacing w:line="360" w:lineRule="auto"/>
        <w:ind w:firstLineChars="0"/>
        <w:contextualSpacing/>
        <w:rPr>
          <w:rFonts w:hint="eastAsia" w:ascii="宋体" w:hAnsi="宋体" w:eastAsia="宋体" w:cs="宋体"/>
          <w:b w:val="0"/>
          <w:bCs w:val="0"/>
          <w:color w:val="auto"/>
          <w:sz w:val="21"/>
          <w:szCs w:val="21"/>
          <w:highlight w:val="none"/>
          <w:lang w:val="en-US" w:eastAsia="zh-CN"/>
        </w:rPr>
      </w:pPr>
      <w:r>
        <w:rPr>
          <w:rFonts w:hint="eastAsia" w:ascii="宋体" w:hAnsi="宋体" w:eastAsia="宋体"/>
          <w:szCs w:val="21"/>
          <w:u w:val="single"/>
        </w:rPr>
        <w:t>★</w:t>
      </w:r>
      <w:r>
        <w:rPr>
          <w:rFonts w:hint="eastAsia" w:ascii="宋体" w:hAnsi="宋体" w:eastAsia="宋体" w:cs="宋体"/>
          <w:b/>
          <w:bCs/>
          <w:iCs/>
          <w:sz w:val="21"/>
          <w:szCs w:val="21"/>
          <w:u w:val="single"/>
          <w:lang w:val="en-US" w:eastAsia="zh-CN"/>
        </w:rPr>
        <w:t>报价要</w:t>
      </w:r>
      <w:r>
        <w:rPr>
          <w:rFonts w:hint="eastAsia" w:ascii="宋体" w:hAnsi="宋体" w:eastAsia="宋体" w:cs="宋体"/>
          <w:b/>
          <w:bCs/>
          <w:iCs/>
          <w:color w:val="auto"/>
          <w:sz w:val="21"/>
          <w:szCs w:val="21"/>
          <w:u w:val="single"/>
          <w:lang w:val="en-US" w:eastAsia="zh-CN"/>
        </w:rPr>
        <w:t>求：</w:t>
      </w:r>
      <w:r>
        <w:rPr>
          <w:rFonts w:hint="eastAsia" w:ascii="宋体" w:hAnsi="宋体" w:eastAsia="宋体" w:cs="宋体"/>
          <w:b/>
          <w:bCs/>
          <w:iCs/>
          <w:color w:val="auto"/>
          <w:sz w:val="21"/>
          <w:szCs w:val="21"/>
          <w:u w:val="single"/>
        </w:rPr>
        <w:t>本项目</w:t>
      </w:r>
      <w:r>
        <w:rPr>
          <w:rFonts w:hint="eastAsia" w:ascii="宋体" w:hAnsi="宋体" w:eastAsia="宋体" w:cs="宋体"/>
          <w:b/>
          <w:bCs/>
          <w:iCs/>
          <w:color w:val="auto"/>
          <w:sz w:val="21"/>
          <w:szCs w:val="21"/>
          <w:u w:val="single"/>
          <w:lang w:val="en-US" w:eastAsia="zh-CN"/>
        </w:rPr>
        <w:t>需根据《</w:t>
      </w:r>
      <w:r>
        <w:rPr>
          <w:rFonts w:hint="eastAsia" w:ascii="宋体" w:hAnsi="宋体" w:eastAsia="宋体" w:cs="Times New Roman"/>
          <w:b/>
          <w:bCs/>
          <w:color w:val="auto"/>
          <w:kern w:val="0"/>
          <w:sz w:val="21"/>
          <w:szCs w:val="21"/>
          <w:u w:val="single"/>
          <w:lang w:val="en-US" w:eastAsia="zh-CN"/>
        </w:rPr>
        <w:t>开标一览表</w:t>
      </w:r>
      <w:r>
        <w:rPr>
          <w:rFonts w:hint="eastAsia" w:ascii="宋体" w:hAnsi="宋体" w:eastAsia="宋体" w:cs="宋体"/>
          <w:b/>
          <w:bCs/>
          <w:iCs/>
          <w:color w:val="auto"/>
          <w:sz w:val="21"/>
          <w:szCs w:val="21"/>
          <w:u w:val="single"/>
          <w:lang w:val="en-US" w:eastAsia="zh-CN"/>
        </w:rPr>
        <w:t>》进行分项明细</w:t>
      </w:r>
      <w:r>
        <w:rPr>
          <w:rFonts w:hint="eastAsia" w:ascii="宋体" w:hAnsi="宋体" w:eastAsia="宋体" w:cs="宋体"/>
          <w:b/>
          <w:bCs/>
          <w:iCs/>
          <w:color w:val="auto"/>
          <w:sz w:val="21"/>
          <w:szCs w:val="21"/>
          <w:u w:val="single"/>
        </w:rPr>
        <w:t>报价，</w:t>
      </w:r>
      <w:r>
        <w:rPr>
          <w:rFonts w:hint="eastAsia" w:ascii="宋体" w:hAnsi="宋体" w:eastAsia="宋体" w:cs="宋体"/>
          <w:b/>
          <w:bCs/>
          <w:iCs/>
          <w:color w:val="auto"/>
          <w:sz w:val="21"/>
          <w:szCs w:val="21"/>
          <w:u w:val="single"/>
          <w:lang w:val="en-US" w:eastAsia="zh-CN"/>
        </w:rPr>
        <w:t>不按要求报价将做无效响应。投标人</w:t>
      </w:r>
      <w:r>
        <w:rPr>
          <w:rFonts w:hint="eastAsia" w:ascii="宋体" w:hAnsi="宋体" w:eastAsia="宋体" w:cs="宋体"/>
          <w:b/>
          <w:bCs/>
          <w:iCs/>
          <w:color w:val="auto"/>
          <w:sz w:val="21"/>
          <w:szCs w:val="21"/>
          <w:highlight w:val="none"/>
          <w:u w:val="single"/>
        </w:rPr>
        <w:t>的</w:t>
      </w:r>
      <w:r>
        <w:rPr>
          <w:rFonts w:hint="eastAsia" w:ascii="宋体" w:hAnsi="宋体" w:eastAsia="宋体" w:cs="宋体"/>
          <w:b/>
          <w:bCs/>
          <w:iCs/>
          <w:color w:val="auto"/>
          <w:sz w:val="21"/>
          <w:szCs w:val="21"/>
          <w:u w:val="single"/>
          <w:lang w:val="en-US" w:eastAsia="zh-CN"/>
        </w:rPr>
        <w:t>投标</w:t>
      </w:r>
      <w:r>
        <w:rPr>
          <w:rFonts w:hint="eastAsia" w:ascii="宋体" w:hAnsi="宋体" w:eastAsia="宋体" w:cs="宋体"/>
          <w:b/>
          <w:bCs/>
          <w:iCs/>
          <w:color w:val="auto"/>
          <w:sz w:val="21"/>
          <w:szCs w:val="21"/>
          <w:u w:val="single"/>
        </w:rPr>
        <w:t>报价</w:t>
      </w:r>
      <w:r>
        <w:rPr>
          <w:rFonts w:hint="eastAsia" w:ascii="宋体" w:hAnsi="宋体" w:eastAsia="宋体" w:cs="宋体"/>
          <w:b/>
          <w:bCs/>
          <w:iCs/>
          <w:sz w:val="21"/>
          <w:szCs w:val="21"/>
          <w:u w:val="single"/>
        </w:rPr>
        <w:t>必须包含为完成本项目全部内容所需的一切费用，包括但不限于：</w:t>
      </w:r>
      <w:r>
        <w:rPr>
          <w:rFonts w:hint="eastAsia" w:ascii="宋体" w:hAnsi="宋体" w:eastAsia="宋体" w:cs="宋体"/>
          <w:b/>
          <w:bCs/>
          <w:color w:val="auto"/>
          <w:sz w:val="21"/>
          <w:szCs w:val="21"/>
          <w:highlight w:val="none"/>
          <w:u w:val="single"/>
          <w:lang w:val="en-US" w:eastAsia="zh-CN"/>
        </w:rPr>
        <w:t>仓库租赁及管理设施设备费用、处理服务费、验收费用、管理费、宣传费、物资费（回收桶、配套PE内衬袋等）、人员成本、</w:t>
      </w:r>
      <w:r>
        <w:rPr>
          <w:rFonts w:hint="eastAsia" w:ascii="宋体" w:hAnsi="宋体" w:eastAsia="宋体" w:cs="宋体"/>
          <w:b/>
          <w:bCs/>
          <w:iCs/>
          <w:sz w:val="21"/>
          <w:szCs w:val="21"/>
          <w:u w:val="single"/>
        </w:rPr>
        <w:t>搬运费、保险费、工具费、技术服务费、利润、各项税费等合同实施过程中应预见及不可预见的</w:t>
      </w:r>
      <w:r>
        <w:rPr>
          <w:rFonts w:hint="eastAsia" w:ascii="宋体" w:hAnsi="宋体" w:eastAsia="宋体" w:cs="宋体"/>
          <w:b/>
          <w:bCs/>
          <w:iCs/>
          <w:sz w:val="21"/>
          <w:szCs w:val="21"/>
          <w:highlight w:val="none"/>
          <w:u w:val="single"/>
        </w:rPr>
        <w:t>一切费用。采购人不再另行支付与本项目有关的任何费用。</w:t>
      </w:r>
    </w:p>
    <w:p w14:paraId="58868441">
      <w:pPr>
        <w:pStyle w:val="24"/>
        <w:numPr>
          <w:ilvl w:val="0"/>
          <w:numId w:val="10"/>
        </w:numPr>
        <w:snapToGrid w:val="0"/>
        <w:spacing w:line="360" w:lineRule="auto"/>
        <w:ind w:firstLineChars="0"/>
        <w:contextualSpacing/>
        <w:rPr>
          <w:rFonts w:hint="eastAsia" w:ascii="宋体" w:hAnsi="宋体" w:eastAsia="宋体" w:cs="宋体"/>
          <w:iCs/>
          <w:sz w:val="21"/>
          <w:szCs w:val="21"/>
          <w:highlight w:val="none"/>
        </w:rPr>
      </w:pPr>
      <w:r>
        <w:rPr>
          <w:rFonts w:hint="eastAsia" w:ascii="宋体" w:hAnsi="宋体" w:eastAsia="宋体" w:cs="宋体"/>
          <w:iCs/>
          <w:sz w:val="21"/>
          <w:szCs w:val="21"/>
          <w:highlight w:val="none"/>
        </w:rPr>
        <w:t>付款条件（进度和方式）</w:t>
      </w:r>
    </w:p>
    <w:p w14:paraId="0BBDD3B2">
      <w:pPr>
        <w:pStyle w:val="24"/>
        <w:numPr>
          <w:ilvl w:val="0"/>
          <w:numId w:val="11"/>
        </w:numPr>
        <w:snapToGrid w:val="0"/>
        <w:spacing w:line="360" w:lineRule="auto"/>
        <w:ind w:left="425" w:leftChars="0" w:hanging="425" w:firstLineChars="0"/>
        <w:contextualSpacing/>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本项目采购人分2次把合同总价支付至中标人处；中标人与采购人按季度根据分项报价单价进行据实核算，核算时需提供核算资料至采购人处。（核算资料包括但不限于回收奖励金签收单、回收处理台账等；因本项目属于据实核算，如</w:t>
      </w:r>
      <w:r>
        <w:rPr>
          <w:rFonts w:hint="eastAsia" w:ascii="宋体" w:hAnsi="宋体" w:eastAsia="宋体" w:cs="宋体"/>
          <w:iCs/>
          <w:color w:val="auto"/>
          <w:sz w:val="21"/>
          <w:szCs w:val="21"/>
          <w:lang w:val="en-US" w:eastAsia="zh-CN"/>
        </w:rPr>
        <w:t>合同期满后</w:t>
      </w:r>
      <w:r>
        <w:rPr>
          <w:rFonts w:hint="eastAsia" w:ascii="宋体" w:hAnsi="宋体" w:eastAsia="宋体" w:cs="宋体"/>
          <w:iCs/>
          <w:color w:val="auto"/>
          <w:sz w:val="21"/>
          <w:szCs w:val="21"/>
          <w:highlight w:val="none"/>
          <w:lang w:val="en-US" w:eastAsia="zh-CN"/>
        </w:rPr>
        <w:t>还有未使用完合同价款的，中标人需在合同终止后10个工作日内无条件把余款退回至采购人指定账户。）</w:t>
      </w:r>
    </w:p>
    <w:p w14:paraId="07DD8EE7">
      <w:pPr>
        <w:pStyle w:val="24"/>
        <w:numPr>
          <w:ilvl w:val="0"/>
          <w:numId w:val="11"/>
        </w:numPr>
        <w:snapToGrid w:val="0"/>
        <w:spacing w:line="360" w:lineRule="auto"/>
        <w:ind w:left="425" w:leftChars="0" w:hanging="425" w:firstLineChars="0"/>
        <w:contextualSpacing/>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采购人与中标人签订合同并收到中标人的等额有效发票后，采购人于5个工作日内向中标人支付合同总价的50%；</w:t>
      </w:r>
    </w:p>
    <w:p w14:paraId="5A97A80D">
      <w:pPr>
        <w:pStyle w:val="24"/>
        <w:numPr>
          <w:ilvl w:val="0"/>
          <w:numId w:val="11"/>
        </w:numPr>
        <w:snapToGrid w:val="0"/>
        <w:spacing w:line="360" w:lineRule="auto"/>
        <w:ind w:left="425" w:leftChars="0" w:hanging="425" w:firstLineChars="0"/>
        <w:contextualSpacing/>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项目合同签订2个月内，中标人能依据合同条款响应采购人回收处理需求，采购人收到中标人的等额有效发票后10个工作日内向中标人支付合同总价的50%。</w:t>
      </w:r>
    </w:p>
    <w:p w14:paraId="50A96569">
      <w:pPr>
        <w:pStyle w:val="24"/>
        <w:numPr>
          <w:ilvl w:val="0"/>
          <w:numId w:val="10"/>
        </w:numPr>
        <w:snapToGrid w:val="0"/>
        <w:spacing w:line="360" w:lineRule="auto"/>
        <w:ind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验收要求</w:t>
      </w:r>
    </w:p>
    <w:p w14:paraId="14E1BEA0">
      <w:pPr>
        <w:pStyle w:val="24"/>
        <w:numPr>
          <w:ilvl w:val="0"/>
          <w:numId w:val="12"/>
        </w:numPr>
        <w:snapToGrid w:val="0"/>
        <w:spacing w:line="360" w:lineRule="auto"/>
        <w:ind w:left="425" w:leftChars="0" w:hanging="425" w:firstLineChars="0"/>
        <w:contextualSpacing/>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中标人需在每轮回收处理结束后的5个工作日内，向采购人提交当轮次的所有数据的纸质材料及电子台帐（含收运、储存、处理等环节的联单、台账、照片等），并按采购人要求提供对应材料的扫描件。同时，中标人需在完成第一轮全市农药包装废弃物与废旧农膜回运处理和合同期满后的10个工作日内，向采购人提交工作总结。</w:t>
      </w:r>
    </w:p>
    <w:p w14:paraId="2220EC56">
      <w:pPr>
        <w:pStyle w:val="24"/>
        <w:numPr>
          <w:ilvl w:val="0"/>
          <w:numId w:val="12"/>
        </w:numPr>
        <w:snapToGrid w:val="0"/>
        <w:spacing w:line="360" w:lineRule="auto"/>
        <w:ind w:left="425" w:leftChars="0" w:hanging="425" w:firstLineChars="0"/>
        <w:contextualSpacing/>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由采购人组织验收小组按国家有关规定、规范进行验收。必要时邀请相关的专业人员或机构参与验收。</w:t>
      </w:r>
    </w:p>
    <w:p w14:paraId="46B8B2B1">
      <w:pPr>
        <w:pStyle w:val="24"/>
        <w:numPr>
          <w:ilvl w:val="0"/>
          <w:numId w:val="8"/>
        </w:numPr>
        <w:snapToGrid w:val="0"/>
        <w:spacing w:before="217" w:beforeLines="50" w:line="360" w:lineRule="auto"/>
        <w:ind w:left="442" w:hanging="442" w:firstLineChars="0"/>
        <w:contextualSpacing/>
        <w:rPr>
          <w:rFonts w:hint="eastAsia" w:ascii="宋体" w:hAnsi="宋体" w:eastAsia="宋体" w:cs="宋体"/>
          <w:b/>
          <w:color w:val="auto"/>
          <w:sz w:val="21"/>
          <w:szCs w:val="21"/>
          <w:highlight w:val="none"/>
        </w:rPr>
      </w:pPr>
      <w:r>
        <w:rPr>
          <w:rFonts w:hint="eastAsia" w:ascii="宋体" w:hAnsi="宋体" w:eastAsia="宋体" w:cs="宋体"/>
          <w:b/>
          <w:bCs/>
          <w:color w:val="auto"/>
          <w:sz w:val="21"/>
          <w:szCs w:val="21"/>
          <w:highlight w:val="none"/>
        </w:rPr>
        <w:t>技术要求</w:t>
      </w:r>
    </w:p>
    <w:p w14:paraId="722AE6A5">
      <w:pPr>
        <w:pStyle w:val="24"/>
        <w:numPr>
          <w:ilvl w:val="0"/>
          <w:numId w:val="13"/>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项目目标</w:t>
      </w:r>
    </w:p>
    <w:p w14:paraId="6D07184C">
      <w:pPr>
        <w:pStyle w:val="24"/>
        <w:numPr>
          <w:ilvl w:val="0"/>
          <w:numId w:val="14"/>
        </w:numPr>
        <w:snapToGrid w:val="0"/>
        <w:spacing w:line="360" w:lineRule="auto"/>
        <w:ind w:left="420" w:leftChars="0" w:hanging="420"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highlight w:val="none"/>
          <w:lang w:val="en-US" w:eastAsia="zh-CN"/>
        </w:rPr>
        <w:t>农药包装废弃物是指农药使用后被废弃的与农药直接接触或含有农药残留余物的包装物（瓶、罐、桶、袋等）；农膜是指用于农业生</w:t>
      </w:r>
      <w:r>
        <w:rPr>
          <w:rFonts w:hint="eastAsia" w:ascii="宋体" w:hAnsi="宋体" w:eastAsia="宋体" w:cs="宋体"/>
          <w:color w:val="auto"/>
          <w:sz w:val="21"/>
          <w:szCs w:val="21"/>
          <w:lang w:val="en-US" w:eastAsia="zh-CN"/>
        </w:rPr>
        <w:t>产的地面覆盖薄膜和棚膜等。</w:t>
      </w:r>
    </w:p>
    <w:p w14:paraId="70D30F95">
      <w:pPr>
        <w:pStyle w:val="24"/>
        <w:numPr>
          <w:ilvl w:val="0"/>
          <w:numId w:val="14"/>
        </w:numPr>
        <w:snapToGrid w:val="0"/>
        <w:spacing w:line="360" w:lineRule="auto"/>
        <w:ind w:left="420" w:leftChars="0" w:hanging="420"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实现农药包装废弃物及废旧农膜高效回收与处理在我市全覆盖。在全市开展农药包装废弃物及废旧农膜收集、运输、处理工作，设立农药包装废弃物及废旧农膜转运点约200个，回收处理农药包装废弃物27吨，废旧农膜20吨，无害化处理率达到100%。</w:t>
      </w:r>
    </w:p>
    <w:p w14:paraId="30AFD5F4">
      <w:pPr>
        <w:pStyle w:val="24"/>
        <w:numPr>
          <w:ilvl w:val="0"/>
          <w:numId w:val="14"/>
        </w:numPr>
        <w:snapToGrid w:val="0"/>
        <w:spacing w:line="360" w:lineRule="auto"/>
        <w:ind w:left="420" w:leftChars="0" w:hanging="420"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转运市内假农药、劣质农药、过期农药及罚没农药并进行无害化处理，无害化处理率达到100%。按实际需求开展工作，</w:t>
      </w:r>
      <w:r>
        <w:rPr>
          <w:rFonts w:hint="eastAsia" w:ascii="宋体" w:hAnsi="宋体" w:eastAsia="宋体" w:cs="宋体"/>
          <w:b w:val="0"/>
          <w:bCs w:val="0"/>
          <w:color w:val="auto"/>
          <w:sz w:val="21"/>
          <w:szCs w:val="21"/>
          <w:highlight w:val="none"/>
          <w:lang w:val="en-US" w:eastAsia="zh-CN"/>
        </w:rPr>
        <w:t>转运处理量上限为1吨。</w:t>
      </w:r>
    </w:p>
    <w:p w14:paraId="2A38C030">
      <w:pPr>
        <w:pStyle w:val="24"/>
        <w:numPr>
          <w:ilvl w:val="0"/>
          <w:numId w:val="13"/>
        </w:numPr>
        <w:snapToGrid w:val="0"/>
        <w:spacing w:line="360" w:lineRule="auto"/>
        <w:ind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服务要求</w:t>
      </w:r>
    </w:p>
    <w:p w14:paraId="1DD2A6D5">
      <w:pPr>
        <w:pStyle w:val="24"/>
        <w:widowControl/>
        <w:numPr>
          <w:ilvl w:val="0"/>
          <w:numId w:val="15"/>
        </w:numPr>
        <w:snapToGrid w:val="0"/>
        <w:spacing w:line="360" w:lineRule="auto"/>
        <w:ind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lang w:val="en-US" w:eastAsia="zh-CN"/>
        </w:rPr>
        <w:t>履行项目职责。自觉接受、服从并配合采购人及有关部门的监督指导。服务、指导各转运点正确开展农药包装废弃物及废旧农膜的收集、暂存，及时转运收集的农药包装废弃物及废旧农膜并进行专业化处理，落实安全防范措施。负责转运及处理台账登记、归档及汇总统计，转运时向</w:t>
      </w:r>
      <w:r>
        <w:rPr>
          <w:rFonts w:hint="eastAsia" w:ascii="宋体" w:hAnsi="宋体" w:eastAsia="宋体" w:cs="宋体"/>
          <w:color w:val="auto"/>
          <w:sz w:val="21"/>
          <w:szCs w:val="21"/>
          <w:highlight w:val="none"/>
          <w:lang w:val="en-US" w:eastAsia="zh-CN"/>
        </w:rPr>
        <w:t>转运点负责人支付回收奖励金。杜绝市外农药包装废弃物及废旧农膜流入我市，若发现转运点回收市外农药废弃物等异常情况，应及时制止并向采购人和相关监管单位报告。</w:t>
      </w:r>
    </w:p>
    <w:p w14:paraId="75CC13B0">
      <w:pPr>
        <w:pStyle w:val="24"/>
        <w:widowControl/>
        <w:numPr>
          <w:ilvl w:val="0"/>
          <w:numId w:val="15"/>
        </w:numPr>
        <w:snapToGrid w:val="0"/>
        <w:spacing w:line="360" w:lineRule="auto"/>
        <w:ind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中标人需根据项目情况提供“</w:t>
      </w:r>
      <w:r>
        <w:rPr>
          <w:rFonts w:hint="eastAsia" w:ascii="宋体" w:hAnsi="宋体" w:eastAsia="宋体"/>
          <w:b w:val="0"/>
          <w:bCs/>
          <w:color w:val="auto"/>
          <w:szCs w:val="21"/>
          <w:highlight w:val="none"/>
          <w:u w:val="none"/>
          <w:lang w:val="en-US" w:eastAsia="zh-CN"/>
        </w:rPr>
        <w:t>农药包装废弃物及废旧农膜</w:t>
      </w:r>
      <w:r>
        <w:rPr>
          <w:rFonts w:hint="eastAsia" w:ascii="宋体" w:hAnsi="宋体" w:eastAsia="宋体" w:cs="宋体"/>
          <w:color w:val="auto"/>
          <w:sz w:val="21"/>
          <w:szCs w:val="21"/>
          <w:highlight w:val="none"/>
          <w:lang w:val="en-US" w:eastAsia="zh-CN"/>
        </w:rPr>
        <w:t>”</w:t>
      </w:r>
      <w:r>
        <w:rPr>
          <w:rFonts w:hint="default" w:ascii="宋体" w:hAnsi="宋体" w:eastAsia="宋体"/>
          <w:b w:val="0"/>
          <w:bCs/>
          <w:color w:val="auto"/>
          <w:szCs w:val="21"/>
          <w:highlight w:val="none"/>
          <w:u w:val="none"/>
          <w:lang w:val="en-US" w:eastAsia="zh-CN"/>
        </w:rPr>
        <w:t>中转仓储</w:t>
      </w:r>
      <w:r>
        <w:rPr>
          <w:rFonts w:hint="eastAsia" w:ascii="宋体" w:hAnsi="宋体" w:eastAsia="宋体"/>
          <w:b w:val="0"/>
          <w:bCs/>
          <w:color w:val="auto"/>
          <w:szCs w:val="21"/>
          <w:highlight w:val="none"/>
          <w:u w:val="none"/>
          <w:lang w:val="en-US" w:eastAsia="zh-CN"/>
        </w:rPr>
        <w:t>场地及“假农药、劣质农药、过期农药及罚没农药”</w:t>
      </w:r>
      <w:r>
        <w:rPr>
          <w:rFonts w:hint="default" w:ascii="宋体" w:hAnsi="宋体" w:eastAsia="宋体"/>
          <w:b w:val="0"/>
          <w:bCs/>
          <w:color w:val="auto"/>
          <w:szCs w:val="21"/>
          <w:highlight w:val="none"/>
          <w:u w:val="none"/>
          <w:lang w:val="en-US" w:eastAsia="zh-CN"/>
        </w:rPr>
        <w:t>中转仓储</w:t>
      </w:r>
      <w:r>
        <w:rPr>
          <w:rFonts w:hint="eastAsia" w:ascii="宋体" w:hAnsi="宋体" w:eastAsia="宋体"/>
          <w:b w:val="0"/>
          <w:bCs/>
          <w:color w:val="auto"/>
          <w:szCs w:val="21"/>
          <w:highlight w:val="none"/>
          <w:u w:val="none"/>
          <w:lang w:val="en-US" w:eastAsia="zh-CN"/>
        </w:rPr>
        <w:t>场地。</w:t>
      </w:r>
    </w:p>
    <w:p w14:paraId="56746413">
      <w:pPr>
        <w:pStyle w:val="24"/>
        <w:widowControl/>
        <w:numPr>
          <w:ilvl w:val="0"/>
          <w:numId w:val="15"/>
        </w:numPr>
        <w:snapToGrid w:val="0"/>
        <w:spacing w:line="360" w:lineRule="auto"/>
        <w:ind w:firstLineChars="0"/>
        <w:contextualSpacing/>
        <w:rPr>
          <w:rFonts w:hint="eastAsia" w:ascii="宋体" w:hAnsi="宋体" w:eastAsia="宋体" w:cs="宋体"/>
          <w:color w:val="auto"/>
          <w:sz w:val="21"/>
          <w:szCs w:val="21"/>
          <w:lang w:val="en-US" w:eastAsia="zh-CN"/>
        </w:rPr>
      </w:pPr>
      <w:r>
        <w:rPr>
          <w:rFonts w:hint="eastAsia" w:ascii="宋体" w:hAnsi="宋体" w:eastAsia="宋体" w:cs="宋体"/>
          <w:b w:val="0"/>
          <w:bCs w:val="0"/>
          <w:color w:val="auto"/>
          <w:sz w:val="21"/>
          <w:szCs w:val="21"/>
          <w:highlight w:val="none"/>
          <w:lang w:val="en-US" w:eastAsia="zh-CN"/>
        </w:rPr>
        <w:t>我市已在辖区内30个镇街设有转运点约200个，均具备标识牌及农药包装废弃物回收桶2个，可正常使用。中标人在项目开展过程中需根据实际需要更新补充相应物资。</w:t>
      </w:r>
    </w:p>
    <w:p w14:paraId="0DBC20F1">
      <w:pPr>
        <w:pStyle w:val="24"/>
        <w:widowControl/>
        <w:numPr>
          <w:ilvl w:val="0"/>
          <w:numId w:val="15"/>
        </w:numPr>
        <w:snapToGrid w:val="0"/>
        <w:spacing w:line="360" w:lineRule="auto"/>
        <w:ind w:firstLineChars="0"/>
        <w:contextualSpacing/>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中标人收集、运输、储存和无害化处理假农药、劣质农药、过期农药及罚没农药过程中必须符合以下要求（包含但不限于）：</w:t>
      </w:r>
    </w:p>
    <w:p w14:paraId="4CAFE64F">
      <w:pPr>
        <w:pStyle w:val="24"/>
        <w:widowControl/>
        <w:numPr>
          <w:ilvl w:val="0"/>
          <w:numId w:val="16"/>
        </w:numPr>
        <w:snapToGrid w:val="0"/>
        <w:spacing w:line="360" w:lineRule="auto"/>
        <w:ind w:left="425" w:leftChars="0" w:hanging="425" w:firstLineChars="0"/>
        <w:contextualSpacing/>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18597-2023 《危险废物贮存污染控制标准》</w:t>
      </w:r>
    </w:p>
    <w:p w14:paraId="4CDCDC25">
      <w:pPr>
        <w:pStyle w:val="24"/>
        <w:widowControl/>
        <w:numPr>
          <w:ilvl w:val="0"/>
          <w:numId w:val="16"/>
        </w:numPr>
        <w:snapToGrid w:val="0"/>
        <w:spacing w:line="360" w:lineRule="auto"/>
        <w:ind w:left="425" w:leftChars="0" w:hanging="425" w:firstLineChars="0"/>
        <w:contextualSpacing/>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15603-2022 《危险化学品仓库储存通则》</w:t>
      </w:r>
    </w:p>
    <w:p w14:paraId="051ECEDA">
      <w:pPr>
        <w:pStyle w:val="24"/>
        <w:widowControl/>
        <w:numPr>
          <w:ilvl w:val="0"/>
          <w:numId w:val="16"/>
        </w:numPr>
        <w:snapToGrid w:val="0"/>
        <w:spacing w:line="360" w:lineRule="auto"/>
        <w:ind w:left="425" w:leftChars="0" w:hanging="425" w:firstLineChars="0"/>
        <w:contextualSpacing/>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12463-2009 《危险货物运输包装通用技术条件》</w:t>
      </w:r>
    </w:p>
    <w:p w14:paraId="153011C8">
      <w:pPr>
        <w:pStyle w:val="24"/>
        <w:widowControl/>
        <w:numPr>
          <w:ilvl w:val="0"/>
          <w:numId w:val="16"/>
        </w:numPr>
        <w:snapToGrid w:val="0"/>
        <w:spacing w:line="360" w:lineRule="auto"/>
        <w:ind w:left="425" w:leftChars="0" w:hanging="425"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JT/T 617 《危险货物道路运输规则》</w:t>
      </w:r>
    </w:p>
    <w:p w14:paraId="34DA3408">
      <w:pPr>
        <w:pStyle w:val="24"/>
        <w:numPr>
          <w:ilvl w:val="0"/>
          <w:numId w:val="13"/>
        </w:numPr>
        <w:snapToGrid w:val="0"/>
        <w:spacing w:line="360" w:lineRule="auto"/>
        <w:ind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主要工作内容</w:t>
      </w:r>
    </w:p>
    <w:p w14:paraId="7E3D65C2">
      <w:pPr>
        <w:pStyle w:val="24"/>
        <w:widowControl/>
        <w:numPr>
          <w:ilvl w:val="0"/>
          <w:numId w:val="17"/>
        </w:numPr>
        <w:snapToGrid w:val="0"/>
        <w:spacing w:line="360" w:lineRule="auto"/>
        <w:ind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回收转运</w:t>
      </w:r>
    </w:p>
    <w:p w14:paraId="2870D16F">
      <w:pPr>
        <w:pStyle w:val="24"/>
        <w:widowControl/>
        <w:numPr>
          <w:ilvl w:val="0"/>
          <w:numId w:val="18"/>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采购人统筹协调全市农药包装废弃物和废旧农膜回收工作，统筹布局全市回收点（转运点），监督指导镇街落实回收和转运相关工作，委托中标人开展上门清运、奖励金发放、无害化处置等。</w:t>
      </w:r>
    </w:p>
    <w:p w14:paraId="3B2861C1">
      <w:pPr>
        <w:pStyle w:val="24"/>
        <w:widowControl/>
        <w:numPr>
          <w:ilvl w:val="0"/>
          <w:numId w:val="18"/>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镇街农业农村部门具体负责农药包装废弃物和废旧农膜的回收环节（从田间收集到转运上车前的工作），包括建立健全回收体系，统筹协调回收工作，科学设置回收点（转运点），摸排上报转运需求，监督检查回收台账，现场核实转运情况，科普宣传法规政策，清理田间农药包装废弃物和废旧农膜等。</w:t>
      </w:r>
    </w:p>
    <w:p w14:paraId="2FAFD93E">
      <w:pPr>
        <w:pStyle w:val="24"/>
        <w:widowControl/>
        <w:numPr>
          <w:ilvl w:val="0"/>
          <w:numId w:val="18"/>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转运点负有回收义务，负责开展农药包装废弃物、废旧农膜回收工作并做好回收记录。</w:t>
      </w:r>
    </w:p>
    <w:p w14:paraId="01CACD81">
      <w:pPr>
        <w:pStyle w:val="24"/>
        <w:widowControl/>
        <w:numPr>
          <w:ilvl w:val="0"/>
          <w:numId w:val="18"/>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中标人根据项目需求及合同，按照回收计划对转运点开展农药包装废弃物及废旧农膜归集和转运，包含分类打包、称重等相关工作。合同期内，开展转运800个次（具体转运点名单由采购人提供）。中标人需为转运点设置醒目统一标识牌，配备至少两个带盖、防渗漏的农药包装废弃物回收桶（内部放置专用的PE内衬袋）。</w:t>
      </w:r>
    </w:p>
    <w:p w14:paraId="04510588">
      <w:pPr>
        <w:pStyle w:val="24"/>
        <w:widowControl/>
        <w:numPr>
          <w:ilvl w:val="0"/>
          <w:numId w:val="18"/>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中标人按照项目需求及合同，指导转运点做好回收工作，及时掌握各环节信息数据，开展农药包装废弃物与废旧农膜的回收种类、数量等各环节的信息数据汇总统计分析，供随时查询。每轮回收处理结束后，向采购人提供项目开展情况记录。</w:t>
      </w:r>
    </w:p>
    <w:p w14:paraId="5989A763">
      <w:pPr>
        <w:pStyle w:val="24"/>
        <w:widowControl/>
        <w:numPr>
          <w:ilvl w:val="0"/>
          <w:numId w:val="18"/>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rPr>
        <w:t>因本项目假农药、劣质农药、过期农药及罚没农药收运及处理量、农药包装废弃物及废旧农膜转运个次及回收处理量存在不可控因素，如合同期满后还有未使用完合同价款的（含对应回收奖励金），中标人需在合同终止后10个工作日内无条件把余款退回至</w:t>
      </w:r>
      <w:r>
        <w:rPr>
          <w:rFonts w:hint="eastAsia" w:ascii="宋体" w:hAnsi="宋体" w:eastAsia="宋体" w:cs="宋体"/>
          <w:iCs/>
          <w:color w:val="auto"/>
          <w:sz w:val="21"/>
          <w:szCs w:val="21"/>
          <w:lang w:val="en-US" w:eastAsia="zh-CN"/>
        </w:rPr>
        <w:t>采购人</w:t>
      </w:r>
      <w:r>
        <w:rPr>
          <w:rFonts w:hint="eastAsia" w:ascii="宋体" w:hAnsi="宋体" w:eastAsia="宋体" w:cs="宋体"/>
          <w:iCs/>
          <w:color w:val="auto"/>
          <w:sz w:val="21"/>
          <w:szCs w:val="21"/>
        </w:rPr>
        <w:t>指定账户。</w:t>
      </w:r>
    </w:p>
    <w:p w14:paraId="6F331B96">
      <w:pPr>
        <w:pStyle w:val="24"/>
        <w:widowControl/>
        <w:numPr>
          <w:ilvl w:val="0"/>
          <w:numId w:val="18"/>
        </w:numPr>
        <w:snapToGrid w:val="0"/>
        <w:spacing w:line="360" w:lineRule="auto"/>
        <w:ind w:left="425" w:leftChars="0" w:hanging="425"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实行回收奖励政策。中标人根据转运点接收的农药使用者交回的农药包装废弃物、废旧农膜的重量，核算奖励金额并做好回收奖励记录台账。转运时，中标人根据实际回收情况，将奖励金交付转运点管理人。其后，由镇街工作人员指导并监督转运点采取合适方式返还给交回农药包装的农药使用者及回收废旧农膜的使用者。回收奖励金上限总额为175，000.00元。采购人根据付款方式提前将奖励金支付至中标人处，中标人需按标准据实发放至转运点管理人处；若发放金额达到上限，即停止奖励金发放。</w:t>
      </w:r>
    </w:p>
    <w:p w14:paraId="74B67E4A">
      <w:pPr>
        <w:pStyle w:val="24"/>
        <w:widowControl/>
        <w:numPr>
          <w:ilvl w:val="-1"/>
          <w:numId w:val="0"/>
        </w:numPr>
        <w:snapToGrid w:val="0"/>
        <w:spacing w:line="360" w:lineRule="auto"/>
        <w:ind w:left="0" w:leftChars="0" w:firstLine="0" w:firstLineChars="0"/>
        <w:contextualSpacing/>
        <w:jc w:val="center"/>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回收奖励金明细</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1182"/>
        <w:gridCol w:w="1589"/>
        <w:gridCol w:w="6005"/>
      </w:tblGrid>
      <w:tr w14:paraId="62BA8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5" w:type="pct"/>
            <w:noWrap w:val="0"/>
            <w:vAlign w:val="center"/>
          </w:tcPr>
          <w:p w14:paraId="638A434B">
            <w:pPr>
              <w:keepNext w:val="0"/>
              <w:keepLines w:val="0"/>
              <w:pageBreakBefore w:val="0"/>
              <w:widowControl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序号</w:t>
            </w:r>
          </w:p>
        </w:tc>
        <w:tc>
          <w:tcPr>
            <w:tcW w:w="636" w:type="pct"/>
            <w:noWrap w:val="0"/>
            <w:vAlign w:val="center"/>
          </w:tcPr>
          <w:p w14:paraId="11947114">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回收产品</w:t>
            </w:r>
          </w:p>
        </w:tc>
        <w:tc>
          <w:tcPr>
            <w:tcW w:w="855" w:type="pct"/>
            <w:noWrap w:val="0"/>
            <w:vAlign w:val="center"/>
          </w:tcPr>
          <w:p w14:paraId="2E320E41">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奖励金标准</w:t>
            </w:r>
          </w:p>
        </w:tc>
        <w:tc>
          <w:tcPr>
            <w:tcW w:w="3232" w:type="pct"/>
            <w:noWrap w:val="0"/>
            <w:vAlign w:val="center"/>
          </w:tcPr>
          <w:p w14:paraId="0A197AE5">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备注</w:t>
            </w:r>
          </w:p>
        </w:tc>
      </w:tr>
      <w:tr w14:paraId="7EABB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275" w:type="pct"/>
            <w:noWrap w:val="0"/>
            <w:vAlign w:val="center"/>
          </w:tcPr>
          <w:p w14:paraId="14621B7F">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1</w:t>
            </w:r>
          </w:p>
        </w:tc>
        <w:tc>
          <w:tcPr>
            <w:tcW w:w="636" w:type="pct"/>
            <w:noWrap w:val="0"/>
            <w:vAlign w:val="center"/>
          </w:tcPr>
          <w:p w14:paraId="285BE921">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rPr>
            </w:pPr>
            <w:r>
              <w:rPr>
                <w:rFonts w:hint="eastAsia" w:ascii="宋体" w:hAnsi="宋体" w:eastAsia="宋体" w:cs="宋体"/>
                <w:b w:val="0"/>
                <w:bCs w:val="0"/>
                <w:color w:val="000000"/>
                <w:kern w:val="0"/>
                <w:sz w:val="21"/>
                <w:szCs w:val="21"/>
                <w:highlight w:val="none"/>
                <w:lang w:val="en-US" w:eastAsia="zh-CN" w:bidi="ar"/>
              </w:rPr>
              <w:t>农药包装废弃物</w:t>
            </w:r>
          </w:p>
        </w:tc>
        <w:tc>
          <w:tcPr>
            <w:tcW w:w="855" w:type="pct"/>
            <w:noWrap w:val="0"/>
            <w:vAlign w:val="center"/>
          </w:tcPr>
          <w:p w14:paraId="7A81CE5A">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5元/公斤</w:t>
            </w:r>
          </w:p>
        </w:tc>
        <w:tc>
          <w:tcPr>
            <w:tcW w:w="3232" w:type="pct"/>
            <w:noWrap w:val="0"/>
            <w:vAlign w:val="center"/>
          </w:tcPr>
          <w:p w14:paraId="2B9F807E">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000000"/>
                <w:kern w:val="0"/>
                <w:sz w:val="21"/>
                <w:szCs w:val="21"/>
                <w:highlight w:val="none"/>
                <w:vertAlign w:val="baseline"/>
              </w:rPr>
            </w:pPr>
            <w:r>
              <w:rPr>
                <w:rFonts w:hint="eastAsia" w:ascii="宋体" w:hAnsi="宋体" w:eastAsia="宋体" w:cs="宋体"/>
                <w:b w:val="0"/>
                <w:bCs w:val="0"/>
                <w:color w:val="000000"/>
                <w:kern w:val="0"/>
                <w:sz w:val="21"/>
                <w:szCs w:val="21"/>
                <w:highlight w:val="none"/>
                <w:lang w:val="en-US" w:eastAsia="zh-CN" w:bidi="ar"/>
              </w:rPr>
              <w:t>废弃农药包装瓶，瓶内无异物，不得掺杂其他包装瓶；废弃农药包装袋，农药包装袋外形须基本完整，袋内无异物，不得掺杂其他包装袋。</w:t>
            </w:r>
          </w:p>
        </w:tc>
      </w:tr>
      <w:tr w14:paraId="13BEE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275" w:type="pct"/>
            <w:noWrap w:val="0"/>
            <w:vAlign w:val="center"/>
          </w:tcPr>
          <w:p w14:paraId="4ADB58E8">
            <w:pPr>
              <w:keepNext w:val="0"/>
              <w:keepLines w:val="0"/>
              <w:pageBreakBefore w:val="0"/>
              <w:widowControl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2</w:t>
            </w:r>
          </w:p>
        </w:tc>
        <w:tc>
          <w:tcPr>
            <w:tcW w:w="636" w:type="pct"/>
            <w:noWrap w:val="0"/>
            <w:vAlign w:val="center"/>
          </w:tcPr>
          <w:p w14:paraId="5EF1ADD9">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bidi="ar-SA"/>
              </w:rPr>
            </w:pPr>
            <w:r>
              <w:rPr>
                <w:rFonts w:hint="eastAsia" w:ascii="宋体" w:hAnsi="宋体" w:eastAsia="宋体" w:cs="宋体"/>
                <w:b w:val="0"/>
                <w:bCs w:val="0"/>
                <w:color w:val="000000"/>
                <w:kern w:val="0"/>
                <w:sz w:val="21"/>
                <w:szCs w:val="21"/>
                <w:highlight w:val="none"/>
                <w:lang w:val="en-US" w:eastAsia="zh-CN" w:bidi="ar"/>
              </w:rPr>
              <w:t>废旧农膜</w:t>
            </w:r>
          </w:p>
        </w:tc>
        <w:tc>
          <w:tcPr>
            <w:tcW w:w="855" w:type="pct"/>
            <w:noWrap w:val="0"/>
            <w:vAlign w:val="center"/>
          </w:tcPr>
          <w:p w14:paraId="3D55F69E">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bidi="ar-SA"/>
              </w:rPr>
            </w:pPr>
            <w:r>
              <w:rPr>
                <w:rFonts w:hint="eastAsia" w:ascii="宋体" w:hAnsi="宋体" w:eastAsia="宋体" w:cs="宋体"/>
                <w:b w:val="0"/>
                <w:bCs w:val="0"/>
                <w:color w:val="000000"/>
                <w:kern w:val="0"/>
                <w:sz w:val="21"/>
                <w:szCs w:val="21"/>
                <w:highlight w:val="none"/>
                <w:vertAlign w:val="baseline"/>
                <w:lang w:val="en-US" w:eastAsia="zh-CN"/>
              </w:rPr>
              <w:t>2元/公斤</w:t>
            </w:r>
          </w:p>
        </w:tc>
        <w:tc>
          <w:tcPr>
            <w:tcW w:w="3232" w:type="pct"/>
            <w:noWrap w:val="0"/>
            <w:vAlign w:val="center"/>
          </w:tcPr>
          <w:p w14:paraId="4F9E6118">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000000"/>
                <w:kern w:val="0"/>
                <w:sz w:val="21"/>
                <w:szCs w:val="21"/>
                <w:highlight w:val="none"/>
                <w:vertAlign w:val="baseline"/>
                <w:lang w:val="en-US" w:eastAsia="zh-CN" w:bidi="ar-SA"/>
              </w:rPr>
            </w:pPr>
            <w:r>
              <w:rPr>
                <w:rFonts w:hint="eastAsia" w:ascii="宋体" w:hAnsi="宋体" w:eastAsia="宋体" w:cs="宋体"/>
                <w:b w:val="0"/>
                <w:bCs w:val="0"/>
                <w:color w:val="000000"/>
                <w:kern w:val="0"/>
                <w:sz w:val="21"/>
                <w:szCs w:val="21"/>
                <w:highlight w:val="none"/>
                <w:lang w:val="en-US" w:eastAsia="zh-CN" w:bidi="ar"/>
              </w:rPr>
              <w:t>废旧农膜需避免沾水，沾土，混入杂草、杂物。</w:t>
            </w:r>
          </w:p>
        </w:tc>
      </w:tr>
    </w:tbl>
    <w:p w14:paraId="10518A0C">
      <w:pPr>
        <w:pStyle w:val="24"/>
        <w:widowControl/>
        <w:numPr>
          <w:ilvl w:val="0"/>
          <w:numId w:val="17"/>
        </w:numPr>
        <w:snapToGrid w:val="0"/>
        <w:spacing w:line="360" w:lineRule="auto"/>
        <w:ind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运输储存</w:t>
      </w:r>
    </w:p>
    <w:p w14:paraId="2C9716E1">
      <w:pPr>
        <w:pStyle w:val="24"/>
        <w:widowControl/>
        <w:numPr>
          <w:ilvl w:val="0"/>
          <w:numId w:val="19"/>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农药包装废弃物及废旧农膜</w:t>
      </w:r>
    </w:p>
    <w:p w14:paraId="040E35ED">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rPr>
      </w:pPr>
      <w:r>
        <w:rPr>
          <w:rFonts w:hint="eastAsia" w:ascii="宋体" w:hAnsi="宋体" w:eastAsia="宋体" w:cs="宋体"/>
          <w:iCs/>
          <w:color w:val="auto"/>
          <w:sz w:val="21"/>
          <w:szCs w:val="21"/>
        </w:rPr>
        <w:t>①</w:t>
      </w:r>
      <w:r>
        <w:rPr>
          <w:rFonts w:hint="eastAsia" w:ascii="宋体" w:hAnsi="宋体" w:eastAsia="宋体" w:cs="宋体"/>
          <w:iCs/>
          <w:color w:val="auto"/>
          <w:sz w:val="21"/>
          <w:szCs w:val="21"/>
          <w:lang w:val="en-US" w:eastAsia="zh-CN"/>
        </w:rPr>
        <w:t>由中标人进行转运，要使用封闭的厢式车辆，从转运点转运回收的农药包装废弃物及废旧农膜，并指定专人负责收集。对回收收集的农药包装废弃物及废旧农膜进行妥善储存，不得擅自倾倒、堆放、遗撒；运输时应当采取防止污染环境的措施，不得丢弃、遗撒，运输工具应当满足防雨、防渗漏、防遗撒要求。中标人承担项目实施中车辆的维修、保养及燃油、车辆保险等一切车辆和工作人员涉及的费用及安全管理责任。</w:t>
      </w:r>
    </w:p>
    <w:p w14:paraId="5565E941">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rPr>
      </w:pPr>
      <w:r>
        <w:rPr>
          <w:rFonts w:hint="eastAsia" w:ascii="宋体" w:hAnsi="宋体" w:eastAsia="宋体" w:cs="宋体"/>
          <w:iCs/>
          <w:color w:val="auto"/>
          <w:sz w:val="21"/>
          <w:szCs w:val="21"/>
        </w:rPr>
        <w:t>②</w:t>
      </w:r>
      <w:r>
        <w:rPr>
          <w:rFonts w:hint="eastAsia" w:ascii="宋体" w:hAnsi="宋体" w:eastAsia="宋体" w:cs="宋体"/>
          <w:iCs/>
          <w:color w:val="auto"/>
          <w:sz w:val="21"/>
          <w:szCs w:val="21"/>
          <w:lang w:val="en-US" w:eastAsia="zh-CN"/>
        </w:rPr>
        <w:t>中标人需与镇街农业农村部门沟通后形成收运计划，并可按照收运计划合理制定多点拼车路线，建立转运台账。每一轮收运需提前两周制定计划并发给采购人，经采购人同意后开展工作。</w:t>
      </w:r>
    </w:p>
    <w:p w14:paraId="01F28258">
      <w:pPr>
        <w:pStyle w:val="24"/>
        <w:widowControl/>
        <w:numPr>
          <w:ilvl w:val="0"/>
          <w:numId w:val="19"/>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假农药、劣质农药、过期农药及罚没农药</w:t>
      </w:r>
    </w:p>
    <w:p w14:paraId="3943A56E">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rPr>
      </w:pPr>
      <w:r>
        <w:rPr>
          <w:rFonts w:hint="eastAsia" w:ascii="宋体" w:hAnsi="宋体" w:eastAsia="宋体" w:cs="宋体"/>
          <w:iCs/>
          <w:color w:val="auto"/>
          <w:sz w:val="21"/>
          <w:szCs w:val="21"/>
        </w:rPr>
        <w:t>①</w:t>
      </w:r>
      <w:r>
        <w:rPr>
          <w:rFonts w:hint="eastAsia" w:ascii="宋体" w:hAnsi="宋体" w:eastAsia="宋体" w:cs="宋体"/>
          <w:iCs/>
          <w:color w:val="auto"/>
          <w:sz w:val="21"/>
          <w:szCs w:val="21"/>
          <w:lang w:val="en-US" w:eastAsia="zh-CN"/>
        </w:rPr>
        <w:t>中标人根据《国家危险废物名录（2025年版）》规定以及东莞市道路状况，响应采购人要求合理安排危险货物运输车辆，开展假农药、劣质农药、过期农药及罚没农药运输储存工作。中标人须保证转运车辆在运输过程中不会发生渗漏、遗撒等现象，以杜绝对沿途环境造成污染。如发生渗漏、遗撒等情形，应及时向采购人和相关管理部门报告并采取相应措施防止危害及影响扩大。收运车辆须具备相应资质、车况良好，配置灭火器具、配套GPS监控装置，转运前应检查车辆状况，发现异常情况及时报告、尽快处理。因运输过程发生的事故及应承担的法律责任全部由中标人承担。</w:t>
      </w:r>
    </w:p>
    <w:p w14:paraId="505654FC">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rPr>
        <w:t>②</w:t>
      </w:r>
      <w:r>
        <w:rPr>
          <w:rFonts w:hint="eastAsia" w:ascii="宋体" w:hAnsi="宋体" w:eastAsia="宋体" w:cs="宋体"/>
          <w:iCs/>
          <w:color w:val="auto"/>
          <w:sz w:val="21"/>
          <w:szCs w:val="21"/>
          <w:lang w:val="en-US" w:eastAsia="zh-CN"/>
        </w:rPr>
        <w:t>中标人应按相关法律法规要求，对经回收的假农药、劣质农药、过期农药及罚没农药进行集中保管、统一处理，不得擅自倾倒、堆放、遗撒，严防二次污染。</w:t>
      </w:r>
    </w:p>
    <w:p w14:paraId="6CD67121">
      <w:pPr>
        <w:pStyle w:val="24"/>
        <w:widowControl/>
        <w:numPr>
          <w:ilvl w:val="0"/>
          <w:numId w:val="17"/>
        </w:numPr>
        <w:snapToGrid w:val="0"/>
        <w:spacing w:line="360" w:lineRule="auto"/>
        <w:ind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处理</w:t>
      </w:r>
    </w:p>
    <w:p w14:paraId="34FBEF31">
      <w:pPr>
        <w:pStyle w:val="24"/>
        <w:widowControl/>
        <w:numPr>
          <w:ilvl w:val="0"/>
          <w:numId w:val="20"/>
        </w:numPr>
        <w:snapToGrid w:val="0"/>
        <w:spacing w:line="360" w:lineRule="auto"/>
        <w:ind w:left="425" w:leftChars="0" w:hanging="425" w:firstLineChars="0"/>
        <w:contextualSpacing/>
        <w:rPr>
          <w:rFonts w:hint="eastAsia" w:ascii="宋体" w:hAnsi="宋体" w:eastAsia="宋体" w:cs="宋体"/>
          <w:b/>
          <w:bCs/>
          <w:iCs/>
          <w:color w:val="C00000"/>
          <w:sz w:val="21"/>
          <w:szCs w:val="21"/>
          <w:highlight w:val="none"/>
          <w:u w:val="single"/>
        </w:rPr>
      </w:pPr>
      <w:r>
        <w:rPr>
          <w:rFonts w:hint="eastAsia" w:ascii="宋体" w:hAnsi="宋体" w:eastAsia="宋体" w:cs="宋体"/>
          <w:b w:val="0"/>
          <w:bCs w:val="0"/>
          <w:iCs/>
          <w:color w:val="auto"/>
          <w:sz w:val="21"/>
          <w:szCs w:val="21"/>
          <w:lang w:val="en-US" w:eastAsia="zh-CN"/>
        </w:rPr>
        <w:t>实施无害化处理模式。根据《国家危险废物名录（2025年版）》规定，农药包装废弃物收集、运输、利用、处置等环节实行危险废物豁免管理，中标人确保合同期内回收的</w:t>
      </w:r>
      <w:r>
        <w:rPr>
          <w:rFonts w:hint="eastAsia" w:ascii="宋体" w:hAnsi="宋体" w:eastAsia="宋体" w:cs="宋体"/>
          <w:iCs/>
          <w:color w:val="auto"/>
          <w:sz w:val="21"/>
          <w:szCs w:val="21"/>
          <w:lang w:val="en-US" w:eastAsia="zh-CN"/>
        </w:rPr>
        <w:t>农药包装废弃物及废旧农膜100％无害化处理或资源化利用，并提供相应的接收及处理证明。</w:t>
      </w:r>
    </w:p>
    <w:p w14:paraId="6A1BF5CE">
      <w:pPr>
        <w:pStyle w:val="24"/>
        <w:widowControl/>
        <w:numPr>
          <w:ilvl w:val="0"/>
          <w:numId w:val="17"/>
        </w:numPr>
        <w:snapToGrid w:val="0"/>
        <w:spacing w:line="360" w:lineRule="auto"/>
        <w:ind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宣传</w:t>
      </w:r>
    </w:p>
    <w:p w14:paraId="43B8BC4F">
      <w:pPr>
        <w:pStyle w:val="24"/>
        <w:widowControl/>
        <w:numPr>
          <w:ilvl w:val="0"/>
          <w:numId w:val="21"/>
        </w:numPr>
        <w:snapToGrid w:val="0"/>
        <w:spacing w:line="360" w:lineRule="auto"/>
        <w:ind w:left="425" w:leftChars="0" w:hanging="425"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中标人需协助采购人和转运点所在镇街，做好东莞市农药包装废弃物及废旧农膜回收处理的宣传和教育工作。</w:t>
      </w:r>
    </w:p>
    <w:p w14:paraId="392E8564">
      <w:pPr>
        <w:pStyle w:val="24"/>
        <w:widowControl/>
        <w:numPr>
          <w:ilvl w:val="0"/>
          <w:numId w:val="17"/>
        </w:numPr>
        <w:snapToGrid w:val="0"/>
        <w:spacing w:line="360" w:lineRule="auto"/>
        <w:ind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档案及文书管理</w:t>
      </w:r>
    </w:p>
    <w:p w14:paraId="2932C9E0">
      <w:pPr>
        <w:pStyle w:val="24"/>
        <w:widowControl/>
        <w:numPr>
          <w:ilvl w:val="0"/>
          <w:numId w:val="22"/>
        </w:numPr>
        <w:snapToGrid w:val="0"/>
        <w:spacing w:line="360" w:lineRule="auto"/>
        <w:ind w:left="425" w:leftChars="0" w:hanging="425"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中标人需在完成第一轮全市农药包装废弃物与废旧农膜收运处理及服务期满时，对工作情况进行总结。服务期内配合采购人做好农药包装废弃物及废旧农膜回收处理相关数据测算、统计和分析工作，建立收运、储存、处理等环节的纸质及电子台帐，做好日常工作图文资料收集和档案管理。</w:t>
      </w:r>
    </w:p>
    <w:p w14:paraId="199A6AA0">
      <w:pPr>
        <w:pStyle w:val="24"/>
        <w:widowControl/>
        <w:numPr>
          <w:ilvl w:val="0"/>
          <w:numId w:val="22"/>
        </w:numPr>
        <w:snapToGrid w:val="0"/>
        <w:spacing w:line="360" w:lineRule="auto"/>
        <w:ind w:left="425" w:leftChars="0" w:hanging="425"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中标人需在服务期满时对假农药、劣质农药、过期农药及罚没农药的回收处理工作情况进行总结。服务期内配合采购人做好相关数据统计工作，建立收运、储存、处理等环节的纸质及电子台帐，做好日常工作图文资料收集和档案管理。</w:t>
      </w:r>
    </w:p>
    <w:p w14:paraId="4FABCA33">
      <w:pPr>
        <w:pStyle w:val="24"/>
        <w:numPr>
          <w:ilvl w:val="0"/>
          <w:numId w:val="13"/>
        </w:numPr>
        <w:snapToGrid w:val="0"/>
        <w:spacing w:line="360" w:lineRule="auto"/>
        <w:ind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专职人员要求及其他要求</w:t>
      </w:r>
    </w:p>
    <w:p w14:paraId="207F0531">
      <w:pPr>
        <w:pStyle w:val="24"/>
        <w:widowControl/>
        <w:numPr>
          <w:ilvl w:val="0"/>
          <w:numId w:val="23"/>
        </w:numPr>
        <w:snapToGrid w:val="0"/>
        <w:spacing w:line="360" w:lineRule="auto"/>
        <w:ind w:firstLineChars="0"/>
        <w:contextualSpacing/>
        <w:rPr>
          <w:rFonts w:hint="eastAsia" w:ascii="宋体" w:hAnsi="宋体" w:eastAsia="宋体" w:cs="宋体"/>
          <w:sz w:val="21"/>
          <w:szCs w:val="21"/>
          <w:highlight w:val="none"/>
        </w:rPr>
      </w:pPr>
      <w:r>
        <w:rPr>
          <w:rFonts w:hint="eastAsia" w:ascii="宋体" w:hAnsi="宋体" w:eastAsia="宋体" w:cs="宋体"/>
          <w:sz w:val="21"/>
          <w:szCs w:val="21"/>
          <w:lang w:val="en-US" w:eastAsia="zh-CN"/>
        </w:rPr>
        <w:t>中标人须安排专职人员进行项目日常管理与服务，专职人员负责日常与采购人、镇街工作人员、转</w:t>
      </w:r>
      <w:r>
        <w:rPr>
          <w:rFonts w:hint="eastAsia" w:ascii="宋体" w:hAnsi="宋体" w:eastAsia="宋体" w:cs="宋体"/>
          <w:sz w:val="21"/>
          <w:szCs w:val="21"/>
          <w:highlight w:val="none"/>
          <w:lang w:val="en-US" w:eastAsia="zh-CN"/>
        </w:rPr>
        <w:t>运点负责人的沟通联系。</w:t>
      </w:r>
    </w:p>
    <w:p w14:paraId="50919C55">
      <w:pPr>
        <w:pStyle w:val="24"/>
        <w:widowControl/>
        <w:numPr>
          <w:ilvl w:val="0"/>
          <w:numId w:val="23"/>
        </w:numPr>
        <w:snapToGrid w:val="0"/>
        <w:spacing w:line="360" w:lineRule="auto"/>
        <w:ind w:firstLineChars="0"/>
        <w:contextualSpacing/>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参与危险废物回收、运输、管理等环节的工作人员须有此类工作经验并持相关证书上岗，中标人在合同签订时须把相关人员证书复印件交至采购人进行备案。</w:t>
      </w:r>
    </w:p>
    <w:p w14:paraId="51CC3BE4">
      <w:pPr>
        <w:pStyle w:val="24"/>
        <w:widowControl/>
        <w:numPr>
          <w:ilvl w:val="0"/>
          <w:numId w:val="23"/>
        </w:numPr>
        <w:snapToGrid w:val="0"/>
        <w:spacing w:line="360" w:lineRule="auto"/>
        <w:ind w:firstLineChars="0"/>
        <w:contextualSpacing/>
        <w:rPr>
          <w:rFonts w:hint="eastAsia" w:ascii="宋体" w:hAnsi="宋体" w:eastAsia="宋体" w:cs="宋体"/>
          <w:sz w:val="21"/>
          <w:szCs w:val="21"/>
          <w:highlight w:val="none"/>
        </w:rPr>
      </w:pPr>
      <w:r>
        <w:rPr>
          <w:rFonts w:hint="eastAsia" w:ascii="宋体" w:hAnsi="宋体" w:eastAsia="宋体"/>
          <w:color w:val="auto"/>
          <w:szCs w:val="21"/>
          <w:highlight w:val="none"/>
        </w:rPr>
        <w:t>投标人</w:t>
      </w:r>
      <w:r>
        <w:rPr>
          <w:rFonts w:hint="eastAsia" w:ascii="宋体" w:hAnsi="宋体" w:eastAsia="宋体"/>
          <w:color w:val="auto"/>
          <w:szCs w:val="21"/>
          <w:highlight w:val="none"/>
          <w:lang w:val="en-US" w:eastAsia="zh-CN"/>
        </w:rPr>
        <w:t>根据项目需要制定完善的</w:t>
      </w:r>
      <w:r>
        <w:rPr>
          <w:rFonts w:hint="default" w:ascii="宋体" w:hAnsi="宋体" w:eastAsia="宋体"/>
          <w:color w:val="000000" w:themeColor="text1"/>
          <w:szCs w:val="21"/>
          <w:highlight w:val="none"/>
          <w:lang w:val="en-US" w:eastAsia="zh-CN"/>
          <w14:textFill>
            <w14:solidFill>
              <w14:schemeClr w14:val="tx1"/>
            </w14:solidFill>
          </w14:textFill>
        </w:rPr>
        <w:t>应急预案</w:t>
      </w:r>
      <w:r>
        <w:rPr>
          <w:rFonts w:hint="eastAsia" w:ascii="宋体" w:hAnsi="宋体" w:eastAsia="宋体"/>
          <w:color w:val="auto"/>
          <w:szCs w:val="21"/>
          <w:highlight w:val="none"/>
          <w:lang w:val="en-US" w:eastAsia="zh-CN"/>
        </w:rPr>
        <w:t>，</w:t>
      </w:r>
      <w:r>
        <w:rPr>
          <w:rFonts w:hint="default" w:ascii="宋体" w:hAnsi="宋体" w:eastAsia="宋体"/>
          <w:color w:val="auto"/>
          <w:szCs w:val="21"/>
          <w:highlight w:val="none"/>
          <w:lang w:val="en-US" w:eastAsia="zh-CN"/>
        </w:rPr>
        <w:t>包含但不限于</w:t>
      </w:r>
      <w:r>
        <w:rPr>
          <w:rFonts w:hint="eastAsia" w:ascii="宋体" w:hAnsi="宋体" w:eastAsia="宋体"/>
          <w:color w:val="auto"/>
          <w:szCs w:val="21"/>
          <w:highlight w:val="none"/>
          <w:lang w:val="en-US" w:eastAsia="zh-CN"/>
        </w:rPr>
        <w:t>恶劣天气、环境</w:t>
      </w:r>
      <w:r>
        <w:rPr>
          <w:rFonts w:hint="default" w:ascii="宋体" w:hAnsi="宋体" w:eastAsia="宋体"/>
          <w:color w:val="auto"/>
          <w:szCs w:val="21"/>
          <w:highlight w:val="none"/>
          <w:lang w:val="en-US" w:eastAsia="zh-CN"/>
        </w:rPr>
        <w:t>污染</w:t>
      </w:r>
      <w:r>
        <w:rPr>
          <w:rFonts w:hint="eastAsia" w:ascii="宋体" w:hAnsi="宋体" w:eastAsia="宋体"/>
          <w:color w:val="auto"/>
          <w:szCs w:val="21"/>
          <w:highlight w:val="none"/>
          <w:lang w:val="en-US" w:eastAsia="zh-CN"/>
        </w:rPr>
        <w:t>、人员伤害、运输车辆故障等服务中</w:t>
      </w:r>
      <w:r>
        <w:rPr>
          <w:rFonts w:hint="default" w:ascii="宋体" w:hAnsi="宋体" w:eastAsia="宋体"/>
          <w:color w:val="auto"/>
          <w:szCs w:val="21"/>
          <w:highlight w:val="none"/>
          <w:lang w:val="en-US" w:eastAsia="zh-CN"/>
        </w:rPr>
        <w:t>可能发生</w:t>
      </w:r>
      <w:r>
        <w:rPr>
          <w:rFonts w:hint="eastAsia" w:ascii="宋体" w:hAnsi="宋体" w:eastAsia="宋体"/>
          <w:color w:val="auto"/>
          <w:szCs w:val="21"/>
          <w:highlight w:val="none"/>
          <w:lang w:val="en-US" w:eastAsia="zh-CN"/>
        </w:rPr>
        <w:t>的</w:t>
      </w:r>
      <w:r>
        <w:rPr>
          <w:rFonts w:hint="default" w:ascii="宋体" w:hAnsi="宋体" w:eastAsia="宋体"/>
          <w:color w:val="auto"/>
          <w:szCs w:val="21"/>
          <w:highlight w:val="none"/>
          <w:lang w:val="en-US" w:eastAsia="zh-CN"/>
        </w:rPr>
        <w:t>各类紧急情况的预防措施</w:t>
      </w:r>
      <w:r>
        <w:rPr>
          <w:rFonts w:hint="eastAsia" w:ascii="宋体" w:hAnsi="宋体" w:eastAsia="宋体"/>
          <w:color w:val="auto"/>
          <w:szCs w:val="21"/>
          <w:highlight w:val="none"/>
          <w:lang w:val="en-US" w:eastAsia="zh-CN"/>
        </w:rPr>
        <w:t>及事故处理办法，</w:t>
      </w:r>
      <w:r>
        <w:rPr>
          <w:rFonts w:hint="eastAsia" w:ascii="宋体" w:hAnsi="宋体" w:eastAsia="宋体"/>
          <w:color w:val="000000" w:themeColor="text1"/>
          <w:szCs w:val="21"/>
          <w:highlight w:val="none"/>
          <w:lang w:val="en-US" w:eastAsia="zh-CN"/>
          <w14:textFill>
            <w14:solidFill>
              <w14:schemeClr w14:val="tx1"/>
            </w14:solidFill>
          </w14:textFill>
        </w:rPr>
        <w:t>保障项目按质按量完成履约。</w:t>
      </w:r>
    </w:p>
    <w:p w14:paraId="0CB0AE7F">
      <w:pPr>
        <w:pStyle w:val="24"/>
        <w:widowControl/>
        <w:numPr>
          <w:ilvl w:val="0"/>
          <w:numId w:val="23"/>
        </w:numPr>
        <w:snapToGrid w:val="0"/>
        <w:spacing w:line="360" w:lineRule="auto"/>
        <w:ind w:firstLineChars="0"/>
        <w:contextualSpacing/>
        <w:rPr>
          <w:rFonts w:hint="eastAsia" w:ascii="宋体" w:hAnsi="宋体" w:eastAsia="宋体" w:cs="宋体"/>
          <w:sz w:val="21"/>
          <w:szCs w:val="21"/>
          <w:highlight w:val="none"/>
        </w:rPr>
      </w:pPr>
      <w:r>
        <w:rPr>
          <w:rFonts w:hint="eastAsia" w:ascii="宋体" w:hAnsi="宋体" w:eastAsia="宋体" w:cs="宋体"/>
          <w:sz w:val="21"/>
          <w:szCs w:val="21"/>
          <w:highlight w:val="none"/>
        </w:rPr>
        <w:t>投标人</w:t>
      </w:r>
      <w:r>
        <w:rPr>
          <w:rFonts w:hint="eastAsia" w:ascii="宋体" w:hAnsi="宋体" w:eastAsia="宋体" w:cs="宋体"/>
          <w:sz w:val="21"/>
          <w:szCs w:val="21"/>
          <w:highlight w:val="none"/>
          <w:lang w:val="en-US" w:eastAsia="zh-CN"/>
        </w:rPr>
        <w:t>需要了解</w:t>
      </w:r>
      <w:r>
        <w:rPr>
          <w:rFonts w:hint="eastAsia" w:ascii="宋体" w:hAnsi="宋体" w:eastAsia="宋体" w:cs="宋体"/>
          <w:sz w:val="21"/>
          <w:szCs w:val="21"/>
          <w:highlight w:val="none"/>
        </w:rPr>
        <w:t>项目</w:t>
      </w:r>
      <w:r>
        <w:rPr>
          <w:rFonts w:hint="eastAsia" w:ascii="宋体" w:hAnsi="宋体" w:eastAsia="宋体" w:cs="宋体"/>
          <w:sz w:val="21"/>
          <w:szCs w:val="21"/>
          <w:highlight w:val="none"/>
          <w:lang w:val="en-US" w:eastAsia="zh-CN"/>
        </w:rPr>
        <w:t>中</w:t>
      </w:r>
      <w:r>
        <w:rPr>
          <w:rFonts w:hint="eastAsia" w:ascii="宋体" w:hAnsi="宋体" w:eastAsia="宋体"/>
          <w:color w:val="auto"/>
          <w:szCs w:val="21"/>
          <w:highlight w:val="none"/>
          <w:lang w:val="en-US" w:eastAsia="zh-CN"/>
        </w:rPr>
        <w:t>涉及的</w:t>
      </w:r>
      <w:r>
        <w:rPr>
          <w:rFonts w:hint="eastAsia" w:ascii="宋体" w:hAnsi="宋体" w:eastAsia="宋体" w:cs="宋体"/>
          <w:color w:val="auto"/>
          <w:sz w:val="21"/>
          <w:szCs w:val="21"/>
          <w:highlight w:val="none"/>
          <w:lang w:val="en-US" w:eastAsia="zh-CN"/>
        </w:rPr>
        <w:t>收集、转运、处理等流程</w:t>
      </w:r>
      <w:r>
        <w:rPr>
          <w:rFonts w:hint="eastAsia" w:ascii="宋体" w:hAnsi="宋体" w:eastAsia="宋体"/>
          <w:color w:val="auto"/>
          <w:szCs w:val="21"/>
          <w:highlight w:val="none"/>
          <w:lang w:val="en-US" w:eastAsia="zh-CN"/>
        </w:rPr>
        <w:t>和我市</w:t>
      </w:r>
      <w:r>
        <w:rPr>
          <w:rFonts w:hint="eastAsia" w:ascii="宋体" w:hAnsi="宋体" w:eastAsia="宋体" w:cs="宋体"/>
          <w:sz w:val="21"/>
          <w:szCs w:val="21"/>
          <w:highlight w:val="none"/>
        </w:rPr>
        <w:t>农药包装废弃物</w:t>
      </w:r>
      <w:r>
        <w:rPr>
          <w:rFonts w:hint="eastAsia" w:ascii="宋体" w:hAnsi="宋体" w:eastAsia="宋体" w:cs="宋体"/>
          <w:sz w:val="21"/>
          <w:szCs w:val="21"/>
          <w:highlight w:val="none"/>
          <w:lang w:val="en-US" w:eastAsia="zh-CN"/>
        </w:rPr>
        <w:t>及</w:t>
      </w:r>
      <w:r>
        <w:rPr>
          <w:rFonts w:hint="eastAsia" w:ascii="宋体" w:hAnsi="宋体" w:eastAsia="宋体" w:cs="宋体"/>
          <w:sz w:val="21"/>
          <w:szCs w:val="21"/>
          <w:highlight w:val="none"/>
        </w:rPr>
        <w:t>废旧农膜</w:t>
      </w:r>
      <w:r>
        <w:rPr>
          <w:rFonts w:hint="eastAsia" w:ascii="宋体" w:hAnsi="宋体" w:eastAsia="宋体" w:cs="宋体"/>
          <w:color w:val="auto"/>
          <w:sz w:val="21"/>
          <w:szCs w:val="21"/>
          <w:highlight w:val="none"/>
          <w:lang w:val="en-US" w:eastAsia="zh-CN"/>
        </w:rPr>
        <w:t>分布情况</w:t>
      </w:r>
      <w:r>
        <w:rPr>
          <w:rFonts w:hint="eastAsia" w:ascii="宋体" w:hAnsi="宋体" w:eastAsia="宋体" w:cs="宋体"/>
          <w:sz w:val="21"/>
          <w:szCs w:val="21"/>
          <w:highlight w:val="none"/>
          <w:lang w:val="en-US" w:eastAsia="zh-CN"/>
        </w:rPr>
        <w:t>，并</w:t>
      </w:r>
      <w:r>
        <w:rPr>
          <w:rFonts w:hint="eastAsia" w:ascii="宋体" w:hAnsi="宋体" w:eastAsia="宋体" w:cs="宋体"/>
          <w:sz w:val="21"/>
          <w:szCs w:val="21"/>
          <w:highlight w:val="none"/>
        </w:rPr>
        <w:t>针对采购需求提供合理建议</w:t>
      </w:r>
      <w:r>
        <w:rPr>
          <w:rFonts w:hint="eastAsia" w:ascii="宋体" w:hAnsi="宋体" w:eastAsia="宋体" w:cs="宋体"/>
          <w:sz w:val="21"/>
          <w:szCs w:val="21"/>
          <w:highlight w:val="none"/>
          <w:lang w:val="en-US" w:eastAsia="zh-CN"/>
        </w:rPr>
        <w:t>至采购人处。</w:t>
      </w:r>
    </w:p>
    <w:p w14:paraId="670F1718">
      <w:pPr>
        <w:pStyle w:val="24"/>
        <w:widowControl/>
        <w:numPr>
          <w:ilvl w:val="0"/>
          <w:numId w:val="23"/>
        </w:numPr>
        <w:snapToGrid w:val="0"/>
        <w:spacing w:line="360" w:lineRule="auto"/>
        <w:ind w:firstLineChars="0"/>
        <w:contextualSpacing/>
        <w:rPr>
          <w:rFonts w:hint="default" w:ascii="宋体" w:hAnsi="宋体" w:eastAsia="宋体" w:cs="宋体"/>
          <w:iCs/>
          <w:color w:val="auto"/>
          <w:sz w:val="21"/>
          <w:szCs w:val="21"/>
          <w:highlight w:val="none"/>
          <w:lang w:val="en-US" w:eastAsia="zh-CN"/>
        </w:rPr>
      </w:pPr>
      <w:r>
        <w:rPr>
          <w:rFonts w:hint="default" w:ascii="宋体" w:hAnsi="宋体" w:eastAsia="宋体" w:cs="宋体"/>
          <w:iCs/>
          <w:color w:val="auto"/>
          <w:sz w:val="21"/>
          <w:szCs w:val="21"/>
          <w:highlight w:val="none"/>
          <w:lang w:val="en-US" w:eastAsia="zh-CN"/>
        </w:rPr>
        <w:t>投标人针对本项目制定</w:t>
      </w:r>
      <w:r>
        <w:rPr>
          <w:rFonts w:hint="eastAsia" w:ascii="宋体" w:hAnsi="宋体" w:eastAsia="宋体" w:cs="宋体"/>
          <w:iCs/>
          <w:color w:val="auto"/>
          <w:sz w:val="21"/>
          <w:szCs w:val="21"/>
          <w:highlight w:val="none"/>
          <w:lang w:val="en-US" w:eastAsia="zh-CN"/>
        </w:rPr>
        <w:t>完善且详细的</w:t>
      </w:r>
      <w:r>
        <w:rPr>
          <w:rFonts w:hint="default" w:ascii="宋体" w:hAnsi="宋体" w:eastAsia="宋体" w:cs="宋体"/>
          <w:iCs/>
          <w:color w:val="auto"/>
          <w:sz w:val="21"/>
          <w:szCs w:val="21"/>
          <w:highlight w:val="none"/>
          <w:lang w:val="en-US" w:eastAsia="zh-CN"/>
        </w:rPr>
        <w:t>服务质量保障方案</w:t>
      </w:r>
      <w:r>
        <w:rPr>
          <w:rFonts w:hint="eastAsia" w:ascii="宋体" w:hAnsi="宋体" w:eastAsia="宋体" w:cs="宋体"/>
          <w:iCs/>
          <w:color w:val="auto"/>
          <w:sz w:val="21"/>
          <w:szCs w:val="21"/>
          <w:highlight w:val="none"/>
          <w:lang w:val="en-US" w:eastAsia="zh-CN"/>
        </w:rPr>
        <w:t>，</w:t>
      </w:r>
      <w:r>
        <w:rPr>
          <w:rFonts w:hint="default" w:ascii="宋体" w:hAnsi="宋体" w:eastAsia="宋体" w:cs="宋体"/>
          <w:iCs/>
          <w:color w:val="auto"/>
          <w:sz w:val="21"/>
          <w:szCs w:val="21"/>
          <w:highlight w:val="none"/>
          <w:lang w:val="en-US" w:eastAsia="zh-CN"/>
        </w:rPr>
        <w:t>包括但不限于服务质量目标、质量保证体系及措施、流程规范程度、服务质量保障措施</w:t>
      </w:r>
      <w:r>
        <w:rPr>
          <w:rFonts w:hint="eastAsia" w:ascii="宋体" w:hAnsi="宋体" w:eastAsia="宋体" w:cs="宋体"/>
          <w:iCs/>
          <w:color w:val="auto"/>
          <w:sz w:val="21"/>
          <w:szCs w:val="21"/>
          <w:highlight w:val="none"/>
          <w:lang w:val="en-US" w:eastAsia="zh-CN"/>
        </w:rPr>
        <w:t>等内容。</w:t>
      </w:r>
    </w:p>
    <w:p w14:paraId="1A9B08C4">
      <w:pPr>
        <w:pStyle w:val="24"/>
        <w:widowControl/>
        <w:numPr>
          <w:ilvl w:val="0"/>
          <w:numId w:val="23"/>
        </w:numPr>
        <w:snapToGrid w:val="0"/>
        <w:spacing w:line="360" w:lineRule="auto"/>
        <w:ind w:firstLineChars="0"/>
        <w:contextualSpacing/>
        <w:rPr>
          <w:rFonts w:hint="default" w:ascii="宋体" w:hAnsi="宋体" w:eastAsia="宋体" w:cs="宋体"/>
          <w:iCs/>
          <w:color w:val="auto"/>
          <w:sz w:val="21"/>
          <w:szCs w:val="21"/>
          <w:highlight w:val="none"/>
          <w:lang w:val="en-US" w:eastAsia="zh-CN"/>
        </w:rPr>
      </w:pPr>
      <w:r>
        <w:rPr>
          <w:rFonts w:hint="default" w:ascii="宋体" w:hAnsi="宋体" w:eastAsia="宋体"/>
          <w:color w:val="000000" w:themeColor="text1"/>
          <w:szCs w:val="21"/>
          <w:highlight w:val="none"/>
          <w:lang w:val="en-US" w:eastAsia="zh-CN"/>
          <w14:textFill>
            <w14:solidFill>
              <w14:schemeClr w14:val="tx1"/>
            </w14:solidFill>
          </w14:textFill>
        </w:rPr>
        <w:t>根据投标人对本项目制定的应急预案</w:t>
      </w:r>
      <w:r>
        <w:rPr>
          <w:rFonts w:hint="eastAsia" w:ascii="宋体" w:hAnsi="宋体" w:eastAsia="宋体"/>
          <w:color w:val="000000" w:themeColor="text1"/>
          <w:szCs w:val="21"/>
          <w:highlight w:val="none"/>
          <w:lang w:val="en-US" w:eastAsia="zh-CN"/>
          <w14:textFill>
            <w14:solidFill>
              <w14:schemeClr w14:val="tx1"/>
            </w14:solidFill>
          </w14:textFill>
        </w:rPr>
        <w:t>，如</w:t>
      </w:r>
      <w:r>
        <w:rPr>
          <w:rFonts w:hint="default" w:ascii="宋体" w:hAnsi="宋体" w:eastAsia="宋体"/>
          <w:color w:val="000000" w:themeColor="text1"/>
          <w:szCs w:val="21"/>
          <w:highlight w:val="none"/>
          <w:lang w:val="en-US" w:eastAsia="zh-CN"/>
          <w14:textFill>
            <w14:solidFill>
              <w14:schemeClr w14:val="tx1"/>
            </w14:solidFill>
          </w14:textFill>
        </w:rPr>
        <w:t>环境污染、人员伤害、天气恶劣、运输车辆故障等，服务中可能发生的各类紧急情况的预判及预防措施</w:t>
      </w:r>
      <w:r>
        <w:rPr>
          <w:rFonts w:hint="eastAsia" w:ascii="宋体" w:hAnsi="宋体" w:eastAsia="宋体"/>
          <w:color w:val="000000" w:themeColor="text1"/>
          <w:szCs w:val="21"/>
          <w:highlight w:val="none"/>
          <w:lang w:val="en-US" w:eastAsia="zh-CN"/>
          <w14:textFill>
            <w14:solidFill>
              <w14:schemeClr w14:val="tx1"/>
            </w14:solidFill>
          </w14:textFill>
        </w:rPr>
        <w:t>，保障项目按质按量完成履约。</w:t>
      </w:r>
    </w:p>
    <w:p w14:paraId="1191C5B7">
      <w:pPr>
        <w:pStyle w:val="24"/>
        <w:numPr>
          <w:ilvl w:val="0"/>
          <w:numId w:val="13"/>
        </w:numPr>
        <w:snapToGrid w:val="0"/>
        <w:spacing w:line="360" w:lineRule="auto"/>
        <w:ind w:firstLineChars="0"/>
        <w:contextualSpacing/>
        <w:rPr>
          <w:rFonts w:hint="default" w:ascii="宋体" w:hAnsi="宋体" w:eastAsia="宋体" w:cs="宋体"/>
          <w:iCs/>
          <w:color w:val="auto"/>
          <w:sz w:val="21"/>
          <w:szCs w:val="21"/>
          <w:lang w:val="en-US" w:eastAsia="zh-CN"/>
        </w:rPr>
      </w:pPr>
      <w:r>
        <w:rPr>
          <w:rFonts w:hint="default" w:ascii="宋体" w:hAnsi="宋体" w:eastAsia="宋体" w:cs="宋体"/>
          <w:iCs/>
          <w:color w:val="auto"/>
          <w:sz w:val="21"/>
          <w:szCs w:val="21"/>
          <w:lang w:val="en-US" w:eastAsia="zh-CN"/>
        </w:rPr>
        <w:t>考核要求</w:t>
      </w:r>
    </w:p>
    <w:p w14:paraId="7218C35F">
      <w:pPr>
        <w:pStyle w:val="34"/>
        <w:keepNext w:val="0"/>
        <w:keepLines w:val="0"/>
        <w:pageBreakBefore w:val="0"/>
        <w:numPr>
          <w:ilvl w:val="0"/>
          <w:numId w:val="24"/>
        </w:numPr>
        <w:kinsoku/>
        <w:wordWrap/>
        <w:overflowPunct/>
        <w:topLinePunct w:val="0"/>
        <w:autoSpaceDE/>
        <w:autoSpaceDN/>
        <w:bidi w:val="0"/>
        <w:adjustRightInd/>
        <w:snapToGrid/>
        <w:spacing w:before="0" w:line="400" w:lineRule="exact"/>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sz w:val="21"/>
          <w:szCs w:val="21"/>
          <w:highlight w:val="none"/>
          <w:lang w:val="en-US" w:eastAsia="zh-CN"/>
        </w:rPr>
        <w:t>中标人在每轮回收处理结束后，需对各转运点的收集、转运、处理等情况及存在问题向采购人进行</w:t>
      </w:r>
      <w:r>
        <w:rPr>
          <w:rFonts w:hint="eastAsia" w:ascii="宋体" w:hAnsi="宋体" w:eastAsia="宋体" w:cs="宋体"/>
          <w:color w:val="auto"/>
          <w:sz w:val="21"/>
          <w:szCs w:val="21"/>
          <w:highlight w:val="none"/>
          <w:lang w:val="en-US" w:eastAsia="zh-CN"/>
        </w:rPr>
        <w:t>汇报，采购人不定时对收运数量进行核实抽查，一经发现造假，采购人有权无偿终止合同。如项目进度明显滞后或回收处理工作推动不力，中标人应按要求及时整改到位，相同问题再次发生的，采购人有权无偿终止合同。</w:t>
      </w:r>
    </w:p>
    <w:p w14:paraId="083CFDFF">
      <w:pPr>
        <w:pStyle w:val="24"/>
        <w:widowControl/>
        <w:numPr>
          <w:ilvl w:val="0"/>
          <w:numId w:val="0"/>
        </w:numPr>
        <w:snapToGrid w:val="0"/>
        <w:spacing w:line="360" w:lineRule="auto"/>
        <w:ind w:leftChars="0"/>
        <w:contextualSpacing/>
        <w:rPr>
          <w:rFonts w:hint="eastAsia" w:ascii="宋体" w:hAnsi="宋体" w:eastAsia="宋体" w:cs="宋体"/>
          <w:sz w:val="21"/>
          <w:szCs w:val="21"/>
          <w:highlight w:val="none"/>
          <w:lang w:val="en-US" w:eastAsia="zh-CN"/>
        </w:rPr>
      </w:pPr>
    </w:p>
    <w:bookmarkEnd w:id="8"/>
    <w:p w14:paraId="5DA89554">
      <w:pPr>
        <w:pageBreakBefore/>
        <w:spacing w:after="217" w:afterLines="50"/>
        <w:jc w:val="center"/>
        <w:outlineLvl w:val="1"/>
        <w:rPr>
          <w:rFonts w:ascii="Calibri" w:hAnsi="Calibri" w:eastAsia="宋体" w:cs="Times New Roman"/>
          <w:kern w:val="0"/>
          <w:sz w:val="20"/>
          <w:szCs w:val="20"/>
          <w:lang w:eastAsia="zh-Hans"/>
        </w:rPr>
      </w:pPr>
      <w:bookmarkStart w:id="9" w:name="_Toc169799780"/>
      <w:bookmarkStart w:id="10" w:name="_Toc169807542"/>
      <w:r>
        <w:rPr>
          <w:rFonts w:ascii="Calibri" w:hAnsi="Calibri" w:eastAsia="宋体" w:cs="Times New Roman"/>
          <w:b/>
          <w:kern w:val="0"/>
          <w:sz w:val="36"/>
          <w:szCs w:val="20"/>
          <w:lang w:eastAsia="zh-Hans"/>
        </w:rPr>
        <w:t>第三章 投标人须知</w:t>
      </w:r>
      <w:bookmarkEnd w:id="9"/>
      <w:bookmarkEnd w:id="10"/>
    </w:p>
    <w:p w14:paraId="5D825FBD">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5E0490A3">
      <w:pPr>
        <w:pStyle w:val="24"/>
        <w:widowControl/>
        <w:numPr>
          <w:ilvl w:val="0"/>
          <w:numId w:val="25"/>
        </w:numPr>
        <w:tabs>
          <w:tab w:val="left" w:pos="426"/>
          <w:tab w:val="left" w:pos="709"/>
          <w:tab w:val="left" w:pos="1418"/>
        </w:tabs>
        <w:ind w:hanging="2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名词解释</w:t>
      </w:r>
    </w:p>
    <w:p w14:paraId="02616A0B">
      <w:pPr>
        <w:pStyle w:val="24"/>
        <w:widowControl/>
        <w:numPr>
          <w:ilvl w:val="0"/>
          <w:numId w:val="26"/>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采购代理机构：</w:t>
      </w:r>
      <w:r>
        <w:rPr>
          <w:rFonts w:hint="eastAsia" w:ascii="宋体" w:hAnsi="宋体" w:eastAsia="宋体" w:cs="Times New Roman"/>
          <w:kern w:val="0"/>
          <w:szCs w:val="21"/>
          <w:lang w:eastAsia="zh-Hans"/>
        </w:rPr>
        <w:t>是指</w:t>
      </w:r>
      <w:r>
        <w:rPr>
          <w:rFonts w:ascii="宋体" w:hAnsi="宋体" w:eastAsia="宋体" w:cs="Times New Roman"/>
          <w:kern w:val="0"/>
          <w:szCs w:val="21"/>
          <w:lang w:eastAsia="zh-Hans"/>
        </w:rPr>
        <w:t>负责整个采购活动的组织，依法负责编制和发布招标文件，对招标文件拥有最终的解释权，不以任何身份出任评标委员会成员。</w:t>
      </w:r>
    </w:p>
    <w:p w14:paraId="1D7CA2E0">
      <w:pPr>
        <w:pStyle w:val="24"/>
        <w:widowControl/>
        <w:numPr>
          <w:ilvl w:val="0"/>
          <w:numId w:val="26"/>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采购人：是</w:t>
      </w:r>
      <w:r>
        <w:rPr>
          <w:rFonts w:hint="eastAsia" w:ascii="宋体" w:hAnsi="宋体" w:eastAsia="宋体" w:cs="Times New Roman"/>
          <w:kern w:val="0"/>
          <w:szCs w:val="21"/>
          <w:lang w:eastAsia="zh-Hans"/>
        </w:rPr>
        <w:t>指</w:t>
      </w:r>
      <w:r>
        <w:rPr>
          <w:rFonts w:ascii="宋体" w:hAnsi="宋体" w:eastAsia="宋体" w:cs="Times New Roman"/>
          <w:kern w:val="0"/>
          <w:szCs w:val="21"/>
          <w:lang w:eastAsia="zh-Hans"/>
        </w:rPr>
        <w:t>采购活动当事人之一，负责项目的整体规划、技术方案可行性设计论证与实施，作为合同采购方（用户）的主体承担质疑回复、履行合同、验收与评价等义务。</w:t>
      </w:r>
    </w:p>
    <w:p w14:paraId="708D0ACA">
      <w:pPr>
        <w:pStyle w:val="24"/>
        <w:widowControl/>
        <w:numPr>
          <w:ilvl w:val="0"/>
          <w:numId w:val="26"/>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是</w:t>
      </w:r>
      <w:r>
        <w:rPr>
          <w:rFonts w:ascii="宋体" w:hAnsi="宋体" w:eastAsia="宋体" w:cs="Times New Roman"/>
          <w:kern w:val="0"/>
          <w:szCs w:val="21"/>
          <w:lang w:eastAsia="zh-Hans"/>
        </w:rPr>
        <w:t>指向采购人提供货物、工程或者服务的法人、其他组织或者自然人。</w:t>
      </w:r>
    </w:p>
    <w:p w14:paraId="561BD5E8">
      <w:pPr>
        <w:pStyle w:val="24"/>
        <w:widowControl/>
        <w:numPr>
          <w:ilvl w:val="0"/>
          <w:numId w:val="26"/>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评标委员会</w:t>
      </w:r>
      <w:r>
        <w:rPr>
          <w:rFonts w:hint="eastAsia" w:ascii="宋体" w:hAnsi="宋体" w:eastAsia="宋体" w:cs="Times New Roman"/>
          <w:kern w:val="0"/>
          <w:szCs w:val="21"/>
          <w:lang w:eastAsia="zh-Hans"/>
        </w:rPr>
        <w:t>：</w:t>
      </w:r>
      <w:r>
        <w:rPr>
          <w:rFonts w:ascii="宋体" w:hAnsi="宋体" w:eastAsia="宋体" w:cs="Times New Roman"/>
          <w:kern w:val="0"/>
          <w:szCs w:val="21"/>
          <w:lang w:eastAsia="zh-Hans"/>
        </w:rPr>
        <w:t>是指</w:t>
      </w: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《中华人民共和国政府采购法》等法律法规规定，由采购人代表和有关专家组成以确定中标供应商或者推荐中标候选人的临时组织。</w:t>
      </w:r>
    </w:p>
    <w:p w14:paraId="71ABEC1A">
      <w:pPr>
        <w:pStyle w:val="24"/>
        <w:widowControl/>
        <w:numPr>
          <w:ilvl w:val="0"/>
          <w:numId w:val="26"/>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3502EE98">
      <w:pPr>
        <w:pStyle w:val="24"/>
        <w:widowControl/>
        <w:numPr>
          <w:ilvl w:val="0"/>
          <w:numId w:val="26"/>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招标文件：是指包括招标公告和招标文件及其补充、变更和澄清等一系列文件。</w:t>
      </w:r>
    </w:p>
    <w:p w14:paraId="0FE4CB1C">
      <w:pPr>
        <w:pStyle w:val="24"/>
        <w:widowControl/>
        <w:numPr>
          <w:ilvl w:val="0"/>
          <w:numId w:val="25"/>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6AC42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48E7EEAB">
            <w:pPr>
              <w:widowControl/>
              <w:jc w:val="left"/>
              <w:rPr>
                <w:rFonts w:hint="eastAsia" w:ascii="宋体" w:hAnsi="宋体" w:eastAsia="宋体" w:cs="Times New Roman"/>
                <w:kern w:val="0"/>
                <w:szCs w:val="21"/>
                <w:lang w:eastAsia="zh-Hans"/>
              </w:rPr>
            </w:pPr>
            <w:bookmarkStart w:id="11" w:name="_Hlk169877316"/>
            <w:r>
              <w:rPr>
                <w:rFonts w:ascii="宋体" w:hAnsi="宋体" w:eastAsia="宋体" w:cs="Times New Roman"/>
                <w:kern w:val="0"/>
                <w:szCs w:val="21"/>
                <w:lang w:eastAsia="zh-Hans"/>
              </w:rPr>
              <w:t>本表与招标文件对应章节的内容若不一致，以本表为准。</w:t>
            </w:r>
          </w:p>
        </w:tc>
      </w:tr>
      <w:tr w14:paraId="22F92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F51F4F6">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97" w:type="pct"/>
            <w:vAlign w:val="center"/>
          </w:tcPr>
          <w:p w14:paraId="5E8342C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条款名称</w:t>
            </w:r>
          </w:p>
        </w:tc>
        <w:tc>
          <w:tcPr>
            <w:tcW w:w="3619" w:type="pct"/>
            <w:vAlign w:val="center"/>
          </w:tcPr>
          <w:p w14:paraId="39B7A88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内容及要求</w:t>
            </w:r>
          </w:p>
        </w:tc>
      </w:tr>
      <w:tr w14:paraId="1EA36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3BE761">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w:t>
            </w:r>
          </w:p>
        </w:tc>
        <w:tc>
          <w:tcPr>
            <w:tcW w:w="997" w:type="pct"/>
            <w:vAlign w:val="center"/>
          </w:tcPr>
          <w:p w14:paraId="407BEE9A">
            <w:pPr>
              <w:widowControl/>
              <w:jc w:val="left"/>
              <w:rPr>
                <w:rFonts w:hint="eastAsia" w:ascii="宋体" w:hAnsi="宋体" w:eastAsia="宋体" w:cs="Times New Roman"/>
                <w:kern w:val="0"/>
                <w:szCs w:val="21"/>
              </w:rPr>
            </w:pPr>
            <w:r>
              <w:rPr>
                <w:rFonts w:hint="eastAsia" w:ascii="宋体" w:hAnsi="宋体" w:eastAsia="宋体" w:cs="Times New Roman"/>
                <w:kern w:val="0"/>
                <w:szCs w:val="21"/>
                <w:lang w:eastAsia="zh-Hans"/>
              </w:rPr>
              <w:t>项目属性</w:t>
            </w:r>
          </w:p>
        </w:tc>
        <w:tc>
          <w:tcPr>
            <w:tcW w:w="3619" w:type="pct"/>
            <w:vAlign w:val="center"/>
          </w:tcPr>
          <w:p w14:paraId="23AB7AD7">
            <w:pPr>
              <w:widowControl/>
              <w:rPr>
                <w:rFonts w:hint="eastAsia" w:ascii="宋体" w:hAnsi="宋体" w:eastAsia="宋体" w:cs="Times New Roman"/>
                <w:kern w:val="0"/>
                <w:szCs w:val="21"/>
              </w:rPr>
            </w:pPr>
            <w:r>
              <w:rPr>
                <w:rFonts w:hint="eastAsia" w:ascii="宋体" w:hAnsi="宋体" w:eastAsia="宋体" w:cs="Times New Roman"/>
                <w:kern w:val="0"/>
                <w:szCs w:val="21"/>
                <w:lang w:eastAsia="zh-Hans"/>
              </w:rPr>
              <w:t>项目属性</w:t>
            </w:r>
            <w:r>
              <w:rPr>
                <w:rFonts w:hint="eastAsia" w:ascii="宋体" w:hAnsi="宋体" w:eastAsia="宋体" w:cs="Times New Roman"/>
                <w:kern w:val="0"/>
                <w:szCs w:val="21"/>
              </w:rPr>
              <w:t>：服务</w:t>
            </w:r>
          </w:p>
        </w:tc>
      </w:tr>
      <w:tr w14:paraId="62334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CDC62EB">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997" w:type="pct"/>
            <w:vAlign w:val="center"/>
          </w:tcPr>
          <w:p w14:paraId="210FA8EB">
            <w:pPr>
              <w:widowControl/>
              <w:jc w:val="left"/>
              <w:rPr>
                <w:rFonts w:hint="eastAsia" w:ascii="宋体" w:hAnsi="宋体" w:eastAsia="宋体" w:cs="Times New Roman"/>
                <w:kern w:val="0"/>
                <w:szCs w:val="21"/>
              </w:rPr>
            </w:pPr>
            <w:r>
              <w:rPr>
                <w:rFonts w:hint="eastAsia" w:ascii="宋体" w:hAnsi="宋体" w:eastAsia="宋体" w:cs="Times New Roman"/>
                <w:kern w:val="0"/>
                <w:szCs w:val="21"/>
              </w:rPr>
              <w:t>资金属性</w:t>
            </w:r>
          </w:p>
        </w:tc>
        <w:tc>
          <w:tcPr>
            <w:tcW w:w="3619" w:type="pct"/>
            <w:vAlign w:val="center"/>
          </w:tcPr>
          <w:p w14:paraId="3C15C8FC">
            <w:pPr>
              <w:widowControl/>
              <w:rPr>
                <w:rFonts w:hint="eastAsia" w:ascii="宋体" w:hAnsi="宋体" w:eastAsia="宋体" w:cs="Times New Roman"/>
                <w:color w:val="auto"/>
                <w:kern w:val="0"/>
                <w:szCs w:val="21"/>
              </w:rPr>
            </w:pPr>
            <w:r>
              <w:rPr>
                <w:rFonts w:hint="eastAsia" w:ascii="宋体" w:hAnsi="宋体" w:eastAsia="宋体" w:cs="Times New Roman"/>
                <w:color w:val="auto"/>
                <w:kern w:val="0"/>
                <w:szCs w:val="21"/>
              </w:rPr>
              <w:t>财政性资金</w:t>
            </w:r>
          </w:p>
        </w:tc>
      </w:tr>
      <w:tr w14:paraId="18837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EAD6C6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w:t>
            </w:r>
          </w:p>
        </w:tc>
        <w:tc>
          <w:tcPr>
            <w:tcW w:w="997" w:type="pct"/>
            <w:vAlign w:val="center"/>
          </w:tcPr>
          <w:p w14:paraId="756B6A3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评标办法</w:t>
            </w:r>
          </w:p>
        </w:tc>
        <w:tc>
          <w:tcPr>
            <w:tcW w:w="3619" w:type="pct"/>
          </w:tcPr>
          <w:p w14:paraId="274ECF36">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综合评分法</w:t>
            </w:r>
          </w:p>
        </w:tc>
      </w:tr>
      <w:tr w14:paraId="2FF9C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840BDAB">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4</w:t>
            </w:r>
          </w:p>
        </w:tc>
        <w:tc>
          <w:tcPr>
            <w:tcW w:w="997" w:type="pct"/>
            <w:vAlign w:val="center"/>
          </w:tcPr>
          <w:p w14:paraId="466E0AD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现场踏勘</w:t>
            </w:r>
          </w:p>
        </w:tc>
        <w:tc>
          <w:tcPr>
            <w:tcW w:w="3619" w:type="pct"/>
          </w:tcPr>
          <w:p w14:paraId="4210CF2B">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否</w:t>
            </w:r>
          </w:p>
        </w:tc>
      </w:tr>
      <w:tr w14:paraId="24CB9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885C52A">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5</w:t>
            </w:r>
          </w:p>
        </w:tc>
        <w:tc>
          <w:tcPr>
            <w:tcW w:w="997" w:type="pct"/>
            <w:vAlign w:val="center"/>
          </w:tcPr>
          <w:p w14:paraId="7E6A79C8">
            <w:pPr>
              <w:widowControl/>
              <w:jc w:val="left"/>
              <w:rPr>
                <w:rFonts w:hint="eastAsia" w:ascii="宋体" w:hAnsi="宋体" w:eastAsia="宋体" w:cs="Times New Roman"/>
                <w:kern w:val="0"/>
                <w:szCs w:val="21"/>
                <w:highlight w:val="none"/>
                <w:lang w:eastAsia="zh-Hans"/>
              </w:rPr>
            </w:pPr>
            <w:r>
              <w:rPr>
                <w:rFonts w:ascii="宋体" w:hAnsi="宋体" w:eastAsia="宋体" w:cs="Times New Roman"/>
                <w:kern w:val="0"/>
                <w:szCs w:val="21"/>
                <w:highlight w:val="none"/>
                <w:lang w:eastAsia="zh-Hans"/>
              </w:rPr>
              <w:t>投标有效期</w:t>
            </w:r>
          </w:p>
        </w:tc>
        <w:tc>
          <w:tcPr>
            <w:tcW w:w="3619" w:type="pct"/>
          </w:tcPr>
          <w:p w14:paraId="2C88DA30">
            <w:pPr>
              <w:widowControl/>
              <w:jc w:val="left"/>
              <w:rPr>
                <w:rFonts w:hint="eastAsia" w:ascii="宋体" w:hAnsi="宋体" w:eastAsia="宋体" w:cs="Times New Roman"/>
                <w:kern w:val="0"/>
                <w:szCs w:val="21"/>
                <w:highlight w:val="none"/>
                <w:lang w:eastAsia="zh-Hans"/>
              </w:rPr>
            </w:pPr>
            <w:r>
              <w:rPr>
                <w:rFonts w:ascii="宋体" w:hAnsi="宋体" w:eastAsia="宋体" w:cs="Times New Roman"/>
                <w:kern w:val="0"/>
                <w:szCs w:val="21"/>
                <w:highlight w:val="none"/>
                <w:lang w:eastAsia="zh-Hans"/>
              </w:rPr>
              <w:t>从提交投标文件的截止之日起90日历天</w:t>
            </w:r>
            <w:r>
              <w:rPr>
                <w:rFonts w:hint="eastAsia" w:ascii="宋体" w:hAnsi="宋体" w:eastAsia="宋体" w:cs="Times New Roman"/>
                <w:kern w:val="0"/>
                <w:szCs w:val="21"/>
                <w:highlight w:val="none"/>
                <w:lang w:eastAsia="zh-Hans"/>
              </w:rPr>
              <w:t>。</w:t>
            </w:r>
          </w:p>
        </w:tc>
      </w:tr>
      <w:tr w14:paraId="1A96C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47840D3C">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6</w:t>
            </w:r>
          </w:p>
        </w:tc>
        <w:tc>
          <w:tcPr>
            <w:tcW w:w="997" w:type="pct"/>
            <w:vAlign w:val="center"/>
          </w:tcPr>
          <w:p w14:paraId="3214FB1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投标保证金</w:t>
            </w:r>
          </w:p>
        </w:tc>
        <w:tc>
          <w:tcPr>
            <w:tcW w:w="3619" w:type="pct"/>
          </w:tcPr>
          <w:p w14:paraId="34B35CF5">
            <w:pPr>
              <w:widowControl/>
              <w:jc w:val="left"/>
              <w:rPr>
                <w:rFonts w:hint="eastAsia" w:ascii="宋体" w:hAnsi="宋体" w:eastAsia="宋体" w:cs="Times New Roman"/>
                <w:kern w:val="0"/>
                <w:szCs w:val="21"/>
              </w:rPr>
            </w:pPr>
            <w:r>
              <w:rPr>
                <w:rFonts w:hint="eastAsia" w:ascii="宋体" w:hAnsi="宋体" w:eastAsia="宋体" w:cs="Times New Roman"/>
                <w:kern w:val="0"/>
                <w:szCs w:val="21"/>
                <w:lang w:val="en-US" w:eastAsia="zh-CN"/>
              </w:rPr>
              <w:t>本项目不收取</w:t>
            </w:r>
            <w:r>
              <w:rPr>
                <w:rFonts w:ascii="宋体" w:hAnsi="宋体" w:eastAsia="宋体" w:cs="Times New Roman"/>
                <w:kern w:val="0"/>
                <w:szCs w:val="21"/>
                <w:lang w:eastAsia="zh-Hans"/>
              </w:rPr>
              <w:t>投标保证金。</w:t>
            </w:r>
          </w:p>
        </w:tc>
      </w:tr>
      <w:tr w14:paraId="4324F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D1F7EC">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7</w:t>
            </w:r>
          </w:p>
        </w:tc>
        <w:tc>
          <w:tcPr>
            <w:tcW w:w="997" w:type="pct"/>
            <w:vAlign w:val="center"/>
          </w:tcPr>
          <w:p w14:paraId="367CBD3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投标文件要求</w:t>
            </w:r>
          </w:p>
        </w:tc>
        <w:tc>
          <w:tcPr>
            <w:tcW w:w="3619" w:type="pct"/>
          </w:tcPr>
          <w:p w14:paraId="4AC632CC">
            <w:pPr>
              <w:widowControl/>
              <w:jc w:val="left"/>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一、电子投标文件：</w:t>
            </w:r>
          </w:p>
          <w:p w14:paraId="28CF4976">
            <w:pPr>
              <w:widowControl/>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电子</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文件U盘(或光盘)</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w:t>
            </w:r>
            <w:r>
              <w:rPr>
                <w:rFonts w:hint="eastAsia" w:ascii="宋体" w:hAnsi="宋体" w:eastAsia="宋体" w:cs="Times New Roman"/>
                <w:color w:val="auto"/>
                <w:kern w:val="0"/>
                <w:szCs w:val="21"/>
                <w:lang w:eastAsia="zh-Hans"/>
              </w:rPr>
              <w:t>。</w:t>
            </w:r>
          </w:p>
          <w:p w14:paraId="16515549">
            <w:pPr>
              <w:widowControl/>
              <w:jc w:val="left"/>
              <w:rPr>
                <w:rFonts w:hint="eastAsia" w:ascii="宋体" w:hAnsi="宋体" w:eastAsia="宋体" w:cs="Times New Roman"/>
                <w:color w:val="auto"/>
                <w:kern w:val="0"/>
                <w:szCs w:val="21"/>
              </w:rPr>
            </w:pPr>
            <w:r>
              <w:rPr>
                <w:rFonts w:ascii="宋体" w:hAnsi="宋体" w:eastAsia="宋体" w:cs="Times New Roman"/>
                <w:b/>
                <w:color w:val="auto"/>
                <w:kern w:val="0"/>
                <w:szCs w:val="21"/>
                <w:lang w:eastAsia="zh-Hans"/>
              </w:rPr>
              <w:t>二、投标文件：</w:t>
            </w:r>
          </w:p>
          <w:p w14:paraId="74344198">
            <w:pPr>
              <w:widowControl/>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投标文件正本</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份，投标文件副本</w:t>
            </w:r>
            <w:r>
              <w:rPr>
                <w:rFonts w:hint="eastAsia" w:ascii="宋体" w:hAnsi="宋体" w:eastAsia="宋体" w:cs="Times New Roman"/>
                <w:color w:val="auto"/>
                <w:kern w:val="0"/>
                <w:szCs w:val="21"/>
              </w:rPr>
              <w:t>5</w:t>
            </w:r>
            <w:r>
              <w:rPr>
                <w:rFonts w:ascii="宋体" w:hAnsi="宋体" w:eastAsia="宋体" w:cs="Times New Roman"/>
                <w:color w:val="auto"/>
                <w:kern w:val="0"/>
                <w:szCs w:val="21"/>
                <w:lang w:eastAsia="zh-Hans"/>
              </w:rPr>
              <w:t>份。</w:t>
            </w:r>
          </w:p>
          <w:p w14:paraId="17D0D7F1">
            <w:pPr>
              <w:widowControl/>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（递交的</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文件需密封完好，</w:t>
            </w:r>
            <w:r>
              <w:rPr>
                <w:rFonts w:hint="eastAsia" w:ascii="宋体" w:hAnsi="宋体" w:eastAsia="宋体" w:cs="Times New Roman"/>
                <w:color w:val="auto"/>
                <w:kern w:val="0"/>
                <w:szCs w:val="21"/>
                <w:lang w:eastAsia="zh-Hans"/>
              </w:rPr>
              <w:t>每套投标文件须清楚地标明“正本”或“副本”。若副本与正本不符，以正本为准。</w:t>
            </w:r>
            <w:r>
              <w:rPr>
                <w:rFonts w:ascii="宋体" w:hAnsi="宋体" w:eastAsia="宋体" w:cs="Times New Roman"/>
                <w:color w:val="auto"/>
                <w:kern w:val="0"/>
                <w:szCs w:val="21"/>
                <w:lang w:eastAsia="zh-Hans"/>
              </w:rPr>
              <w:t>）</w:t>
            </w:r>
          </w:p>
          <w:p w14:paraId="688863E2">
            <w:pPr>
              <w:widowControl/>
              <w:jc w:val="left"/>
              <w:rPr>
                <w:rFonts w:hint="eastAsia" w:ascii="宋体" w:hAnsi="宋体" w:eastAsia="宋体" w:cs="Times New Roman"/>
                <w:b/>
                <w:bCs/>
                <w:color w:val="auto"/>
                <w:kern w:val="0"/>
                <w:szCs w:val="21"/>
              </w:rPr>
            </w:pPr>
            <w:r>
              <w:rPr>
                <w:rFonts w:hint="eastAsia" w:ascii="宋体" w:hAnsi="宋体" w:eastAsia="宋体" w:cs="Times New Roman"/>
                <w:b/>
                <w:bCs/>
                <w:color w:val="auto"/>
                <w:kern w:val="0"/>
                <w:szCs w:val="21"/>
              </w:rPr>
              <w:t>三、唱标信封：</w:t>
            </w:r>
          </w:p>
          <w:p w14:paraId="2E6AA890">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唱标信封1份。</w:t>
            </w:r>
          </w:p>
        </w:tc>
      </w:tr>
      <w:tr w14:paraId="55C8F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77A0BE5">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8</w:t>
            </w:r>
          </w:p>
        </w:tc>
        <w:tc>
          <w:tcPr>
            <w:tcW w:w="997" w:type="pct"/>
            <w:vAlign w:val="center"/>
          </w:tcPr>
          <w:p w14:paraId="052B7CE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中标候选供应商推荐家数</w:t>
            </w:r>
          </w:p>
        </w:tc>
        <w:tc>
          <w:tcPr>
            <w:tcW w:w="3619" w:type="pct"/>
            <w:vAlign w:val="center"/>
          </w:tcPr>
          <w:p w14:paraId="13CACE56">
            <w:pPr>
              <w:widowControl/>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3</w:t>
            </w:r>
            <w:r>
              <w:rPr>
                <w:rFonts w:ascii="宋体" w:hAnsi="宋体" w:eastAsia="宋体" w:cs="Times New Roman"/>
                <w:color w:val="auto"/>
                <w:kern w:val="0"/>
                <w:szCs w:val="21"/>
                <w:lang w:eastAsia="zh-Hans"/>
              </w:rPr>
              <w:t>家</w:t>
            </w:r>
          </w:p>
        </w:tc>
      </w:tr>
      <w:tr w14:paraId="706CC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4AE03">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9</w:t>
            </w:r>
          </w:p>
        </w:tc>
        <w:tc>
          <w:tcPr>
            <w:tcW w:w="997" w:type="pct"/>
            <w:vAlign w:val="center"/>
          </w:tcPr>
          <w:p w14:paraId="4A2176E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中标供应商数量</w:t>
            </w:r>
          </w:p>
        </w:tc>
        <w:tc>
          <w:tcPr>
            <w:tcW w:w="3619" w:type="pct"/>
            <w:vAlign w:val="center"/>
          </w:tcPr>
          <w:p w14:paraId="3BFF7E05">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1家</w:t>
            </w:r>
          </w:p>
        </w:tc>
      </w:tr>
      <w:tr w14:paraId="55250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C3A5317">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10</w:t>
            </w:r>
          </w:p>
        </w:tc>
        <w:tc>
          <w:tcPr>
            <w:tcW w:w="997" w:type="pct"/>
            <w:vAlign w:val="center"/>
          </w:tcPr>
          <w:p w14:paraId="55F5F45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有效供应商家数</w:t>
            </w:r>
          </w:p>
        </w:tc>
        <w:tc>
          <w:tcPr>
            <w:tcW w:w="3619" w:type="pct"/>
            <w:vAlign w:val="center"/>
          </w:tcPr>
          <w:p w14:paraId="6A1BF8B7">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3家</w:t>
            </w:r>
          </w:p>
          <w:p w14:paraId="33C9819A">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此人数约定了开标与评标过程中的最低有效供应商家数，当家数不足时项目将不得开标、不得评标或直接废标。</w:t>
            </w:r>
          </w:p>
        </w:tc>
      </w:tr>
      <w:tr w14:paraId="02B39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392B89E">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11</w:t>
            </w:r>
          </w:p>
        </w:tc>
        <w:tc>
          <w:tcPr>
            <w:tcW w:w="997" w:type="pct"/>
            <w:vAlign w:val="center"/>
          </w:tcPr>
          <w:p w14:paraId="340F9C7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中标供应商确定方式</w:t>
            </w:r>
          </w:p>
        </w:tc>
        <w:tc>
          <w:tcPr>
            <w:tcW w:w="3619" w:type="pct"/>
            <w:vAlign w:val="center"/>
          </w:tcPr>
          <w:p w14:paraId="00512BAC">
            <w:pPr>
              <w:widowControl/>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采购人按照评审报告中推荐的成交候选人确定中标人。</w:t>
            </w:r>
          </w:p>
        </w:tc>
      </w:tr>
      <w:tr w14:paraId="0564D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7899AE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12</w:t>
            </w:r>
          </w:p>
        </w:tc>
        <w:tc>
          <w:tcPr>
            <w:tcW w:w="997" w:type="pct"/>
            <w:vAlign w:val="center"/>
          </w:tcPr>
          <w:p w14:paraId="177208E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代理服务费</w:t>
            </w:r>
          </w:p>
        </w:tc>
        <w:tc>
          <w:tcPr>
            <w:tcW w:w="3619" w:type="pct"/>
            <w:vAlign w:val="center"/>
          </w:tcPr>
          <w:p w14:paraId="590FD2C6">
            <w:pPr>
              <w:widowControl/>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收取。采购机构代理服务收费标准：以中标金额作为采购代理服务费的计算基数，采用差额定率累进法计算，具体计算费率按规定标准“服务类”收取代理服务费。100万元以下1.5%；100～500万元0.8%；500～1000万元0.45%；1000～5000万元0.25%；5000万元～1亿元0.1%；1～5亿元0.05%；5～10亿元0.035%；10～50亿元0.008%；50～100亿元0.006%；100亿以上0.004%。</w:t>
            </w:r>
          </w:p>
        </w:tc>
      </w:tr>
      <w:tr w14:paraId="33649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763F85">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13</w:t>
            </w:r>
          </w:p>
        </w:tc>
        <w:tc>
          <w:tcPr>
            <w:tcW w:w="997" w:type="pct"/>
            <w:vAlign w:val="center"/>
          </w:tcPr>
          <w:p w14:paraId="2E79234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代理服务费收取方式</w:t>
            </w:r>
          </w:p>
        </w:tc>
        <w:tc>
          <w:tcPr>
            <w:tcW w:w="3619" w:type="pct"/>
            <w:vAlign w:val="center"/>
          </w:tcPr>
          <w:p w14:paraId="7E391200">
            <w:pPr>
              <w:widowControl/>
              <w:rPr>
                <w:rFonts w:hint="eastAsia" w:ascii="宋体" w:hAnsi="宋体" w:eastAsia="宋体" w:cs="Times New Roman"/>
                <w:color w:val="auto"/>
                <w:kern w:val="0"/>
                <w:szCs w:val="21"/>
                <w:lang w:eastAsia="zh-CN"/>
              </w:rPr>
            </w:pPr>
            <w:r>
              <w:rPr>
                <w:rFonts w:ascii="宋体" w:hAnsi="宋体" w:eastAsia="宋体" w:cs="Times New Roman"/>
                <w:color w:val="auto"/>
                <w:kern w:val="0"/>
                <w:szCs w:val="21"/>
                <w:lang w:eastAsia="zh-Hans"/>
              </w:rPr>
              <w:t>向中标供应商收取</w:t>
            </w:r>
            <w:r>
              <w:rPr>
                <w:rFonts w:hint="eastAsia" w:ascii="宋体" w:hAnsi="宋体" w:eastAsia="宋体" w:cs="Times New Roman"/>
                <w:color w:val="auto"/>
                <w:kern w:val="0"/>
                <w:szCs w:val="21"/>
                <w:lang w:eastAsia="zh-CN"/>
              </w:rPr>
              <w:t>。</w:t>
            </w:r>
          </w:p>
        </w:tc>
      </w:tr>
      <w:tr w14:paraId="2CE7A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4" w:type="pct"/>
            <w:vAlign w:val="center"/>
          </w:tcPr>
          <w:p w14:paraId="7407644D">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997" w:type="pct"/>
            <w:vAlign w:val="center"/>
          </w:tcPr>
          <w:p w14:paraId="2B63D88B">
            <w:pPr>
              <w:widowControl/>
              <w:jc w:val="left"/>
              <w:rPr>
                <w:rFonts w:hint="eastAsia" w:ascii="宋体" w:hAnsi="宋体" w:eastAsia="宋体" w:cs="Times New Roman"/>
                <w:kern w:val="0"/>
                <w:szCs w:val="21"/>
              </w:rPr>
            </w:pPr>
            <w:r>
              <w:rPr>
                <w:rFonts w:hint="eastAsia" w:ascii="宋体" w:hAnsi="宋体" w:eastAsia="宋体" w:cs="Times New Roman"/>
                <w:kern w:val="0"/>
                <w:szCs w:val="21"/>
                <w:lang w:eastAsia="zh-Hans"/>
              </w:rPr>
              <w:t>履约担保</w:t>
            </w:r>
          </w:p>
        </w:tc>
        <w:tc>
          <w:tcPr>
            <w:tcW w:w="3619" w:type="pct"/>
            <w:vAlign w:val="center"/>
          </w:tcPr>
          <w:p w14:paraId="74D886DB">
            <w:pPr>
              <w:rPr>
                <w:rFonts w:hint="eastAsia" w:ascii="宋体" w:hAnsi="宋体" w:eastAsia="宋体" w:cs="Times New Roman"/>
                <w:kern w:val="0"/>
                <w:szCs w:val="21"/>
                <w:lang w:val="en-US" w:eastAsia="zh-CN"/>
              </w:rPr>
            </w:pPr>
            <w:r>
              <w:rPr>
                <w:rFonts w:hint="eastAsia" w:ascii="宋体" w:hAnsi="宋体" w:eastAsia="宋体" w:cs="Times New Roman"/>
                <w:kern w:val="0"/>
                <w:szCs w:val="21"/>
                <w:lang w:val="en-US" w:eastAsia="zh-CN"/>
              </w:rPr>
              <w:t>本项目不收取</w:t>
            </w:r>
            <w:r>
              <w:rPr>
                <w:rFonts w:hint="eastAsia" w:ascii="宋体" w:hAnsi="宋体" w:eastAsia="宋体" w:cs="Times New Roman"/>
                <w:kern w:val="0"/>
                <w:szCs w:val="21"/>
                <w:lang w:eastAsia="zh-Hans"/>
              </w:rPr>
              <w:t>履约担保</w:t>
            </w:r>
            <w:r>
              <w:rPr>
                <w:rFonts w:hint="eastAsia" w:ascii="宋体" w:hAnsi="宋体" w:eastAsia="宋体" w:cs="Times New Roman"/>
                <w:kern w:val="0"/>
                <w:szCs w:val="21"/>
                <w:lang w:eastAsia="zh-CN"/>
              </w:rPr>
              <w:t>。</w:t>
            </w:r>
          </w:p>
        </w:tc>
      </w:tr>
      <w:bookmarkEnd w:id="11"/>
    </w:tbl>
    <w:p w14:paraId="39D71A99">
      <w:pPr>
        <w:pStyle w:val="24"/>
        <w:keepLines/>
        <w:numPr>
          <w:ilvl w:val="0"/>
          <w:numId w:val="25"/>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说明</w:t>
      </w:r>
    </w:p>
    <w:p w14:paraId="1B1B2708">
      <w:pPr>
        <w:pStyle w:val="24"/>
        <w:widowControl/>
        <w:numPr>
          <w:ilvl w:val="3"/>
          <w:numId w:val="27"/>
        </w:numPr>
        <w:ind w:left="284" w:hanging="284"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kern w:val="0"/>
          <w:szCs w:val="21"/>
          <w:lang w:eastAsia="zh-Hans"/>
        </w:rPr>
        <w:t>总则</w:t>
      </w:r>
    </w:p>
    <w:p w14:paraId="4767F8B4">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采购人、采购代理机构及投标人进行的本次采购活动</w:t>
      </w:r>
      <w:r>
        <w:rPr>
          <w:rFonts w:hint="eastAsia" w:ascii="宋体" w:hAnsi="宋体" w:eastAsia="宋体" w:cs="Times New Roman"/>
          <w:color w:val="auto"/>
          <w:kern w:val="0"/>
          <w:szCs w:val="21"/>
          <w:lang w:eastAsia="zh-Hans"/>
        </w:rPr>
        <w:t>参考</w:t>
      </w:r>
      <w:r>
        <w:rPr>
          <w:rFonts w:ascii="宋体" w:hAnsi="宋体" w:eastAsia="宋体" w:cs="Times New Roman"/>
          <w:color w:val="auto"/>
          <w:kern w:val="0"/>
          <w:szCs w:val="21"/>
          <w:lang w:eastAsia="zh-Hans"/>
        </w:rPr>
        <w:t>《中华人民共和国政府采购法》及其配套的法规、规章、政策。</w:t>
      </w:r>
    </w:p>
    <w:p w14:paraId="2D061FC9">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430A7259">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本次公开招标项目，是以招标公告的方式邀请非特定的投标人参加投标。</w:t>
      </w:r>
    </w:p>
    <w:p w14:paraId="3491F290">
      <w:pPr>
        <w:pStyle w:val="24"/>
        <w:widowControl/>
        <w:numPr>
          <w:ilvl w:val="3"/>
          <w:numId w:val="2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适用范围</w:t>
      </w:r>
    </w:p>
    <w:p w14:paraId="07C1F0CF">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本招标文件仅适用于本次招标公告中所涉及的项目和内容。</w:t>
      </w:r>
    </w:p>
    <w:p w14:paraId="423A2363">
      <w:pPr>
        <w:pStyle w:val="24"/>
        <w:widowControl/>
        <w:numPr>
          <w:ilvl w:val="3"/>
          <w:numId w:val="2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进口产品</w:t>
      </w:r>
    </w:p>
    <w:p w14:paraId="6339DEA4">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若本项目允许采购进口产品，供应商应保证所投产品可履行合法报通关手续进入中国关境内。</w:t>
      </w:r>
    </w:p>
    <w:p w14:paraId="2E415717">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若本项目不允许采购进口产品，如供应商所投产品为进口产品，其响应将被认定为响应无效。</w:t>
      </w:r>
    </w:p>
    <w:p w14:paraId="5DA28CF1">
      <w:pPr>
        <w:pStyle w:val="24"/>
        <w:widowControl/>
        <w:numPr>
          <w:ilvl w:val="3"/>
          <w:numId w:val="2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投标的费用</w:t>
      </w:r>
    </w:p>
    <w:p w14:paraId="1373C26D">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不论投标结果如何，投标人应承担所有与准备和参加投标有关的费用。采购代理机构和采购人均无义务和责任承担相关费用。</w:t>
      </w:r>
    </w:p>
    <w:p w14:paraId="3DD3FDEA">
      <w:pPr>
        <w:pStyle w:val="24"/>
        <w:widowControl/>
        <w:numPr>
          <w:ilvl w:val="3"/>
          <w:numId w:val="2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以联合体形式投标的，应符合以下规定：</w:t>
      </w:r>
    </w:p>
    <w:p w14:paraId="7184A182">
      <w:pPr>
        <w:pStyle w:val="24"/>
        <w:widowControl/>
        <w:numPr>
          <w:ilvl w:val="0"/>
          <w:numId w:val="2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联合体各方均应当满足《中华人民共和国政府采购法》第二十二条规定的条件，并在投标文件中提供联合体各方的相关证明材料。</w:t>
      </w:r>
    </w:p>
    <w:p w14:paraId="761158C4">
      <w:pPr>
        <w:pStyle w:val="24"/>
        <w:widowControl/>
        <w:numPr>
          <w:ilvl w:val="0"/>
          <w:numId w:val="2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00164710">
      <w:pPr>
        <w:pStyle w:val="24"/>
        <w:widowControl/>
        <w:numPr>
          <w:ilvl w:val="0"/>
          <w:numId w:val="2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对于需交投标保证金的，以牵头方名义缴纳。</w:t>
      </w:r>
    </w:p>
    <w:p w14:paraId="3A4FEF83">
      <w:pPr>
        <w:pStyle w:val="24"/>
        <w:widowControl/>
        <w:numPr>
          <w:ilvl w:val="0"/>
          <w:numId w:val="2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联合体成员存在不良信用记录的，视同联合体存在不良信用记录。</w:t>
      </w:r>
    </w:p>
    <w:p w14:paraId="6B04C0A0">
      <w:pPr>
        <w:pStyle w:val="24"/>
        <w:widowControl/>
        <w:numPr>
          <w:ilvl w:val="0"/>
          <w:numId w:val="2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498232A">
      <w:pPr>
        <w:pStyle w:val="24"/>
        <w:widowControl/>
        <w:numPr>
          <w:ilvl w:val="0"/>
          <w:numId w:val="2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联合体各方应当共同与采购人签订采购合同，就合同约定的事项对采购人承担连带责任。</w:t>
      </w:r>
    </w:p>
    <w:p w14:paraId="31DD4546">
      <w:pPr>
        <w:pStyle w:val="24"/>
        <w:widowControl/>
        <w:numPr>
          <w:ilvl w:val="3"/>
          <w:numId w:val="2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关联企业投标说明</w:t>
      </w:r>
    </w:p>
    <w:p w14:paraId="7E1E1276">
      <w:pPr>
        <w:pStyle w:val="24"/>
        <w:widowControl/>
        <w:numPr>
          <w:ilvl w:val="0"/>
          <w:numId w:val="2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262D370B">
      <w:pPr>
        <w:pStyle w:val="24"/>
        <w:widowControl/>
        <w:numPr>
          <w:ilvl w:val="0"/>
          <w:numId w:val="2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5D0360A9">
      <w:pPr>
        <w:pStyle w:val="24"/>
        <w:widowControl/>
        <w:numPr>
          <w:ilvl w:val="3"/>
          <w:numId w:val="2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关于中小微企业投标</w:t>
      </w:r>
    </w:p>
    <w:p w14:paraId="2D3A00ED">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中小微企业响应是指在政府采购活动中，供应商提供的货物均由中小微企业制造、工程均由中小微企业承建或者服务均由中小微企业承接，并在</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54F08178">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5B4B0970">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233C2E27">
      <w:pPr>
        <w:pStyle w:val="24"/>
        <w:widowControl/>
        <w:numPr>
          <w:ilvl w:val="3"/>
          <w:numId w:val="2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纪律与保密事项</w:t>
      </w:r>
    </w:p>
    <w:p w14:paraId="485E1D16">
      <w:pPr>
        <w:pStyle w:val="24"/>
        <w:widowControl/>
        <w:numPr>
          <w:ilvl w:val="0"/>
          <w:numId w:val="3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22156093">
      <w:pPr>
        <w:pStyle w:val="24"/>
        <w:widowControl/>
        <w:numPr>
          <w:ilvl w:val="0"/>
          <w:numId w:val="3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在确定中标供应商之前，投标人不得与采购人就投标价格、投标方案等实质性内容进行谈判，也不得私下接触评标委员会成员。</w:t>
      </w:r>
    </w:p>
    <w:p w14:paraId="1F505358">
      <w:pPr>
        <w:pStyle w:val="24"/>
        <w:widowControl/>
        <w:numPr>
          <w:ilvl w:val="3"/>
          <w:numId w:val="27"/>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语言文字以及度量衡单位</w:t>
      </w:r>
    </w:p>
    <w:p w14:paraId="5102C6A2">
      <w:pPr>
        <w:pStyle w:val="24"/>
        <w:widowControl/>
        <w:numPr>
          <w:ilvl w:val="0"/>
          <w:numId w:val="3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7549589A">
      <w:pPr>
        <w:pStyle w:val="24"/>
        <w:widowControl/>
        <w:numPr>
          <w:ilvl w:val="0"/>
          <w:numId w:val="3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5E7B72E1">
      <w:pPr>
        <w:pStyle w:val="24"/>
        <w:widowControl/>
        <w:numPr>
          <w:ilvl w:val="0"/>
          <w:numId w:val="3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投标人所提供的货物和服务均应以人民币报价，货币单位：元。</w:t>
      </w:r>
    </w:p>
    <w:p w14:paraId="28CD9BF4">
      <w:pPr>
        <w:pStyle w:val="24"/>
        <w:widowControl/>
        <w:numPr>
          <w:ilvl w:val="3"/>
          <w:numId w:val="27"/>
        </w:numPr>
        <w:ind w:left="284" w:hanging="284"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现场踏勘（如有）</w:t>
      </w:r>
    </w:p>
    <w:p w14:paraId="7CE5D6D0">
      <w:pPr>
        <w:pStyle w:val="24"/>
        <w:widowControl/>
        <w:numPr>
          <w:ilvl w:val="0"/>
          <w:numId w:val="3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招标文件规定组织踏勘现场的，采购人按招标文件规定的时间、地点组织投标人踏勘项目现场。</w:t>
      </w:r>
    </w:p>
    <w:p w14:paraId="0C487BB8">
      <w:pPr>
        <w:pStyle w:val="24"/>
        <w:widowControl/>
        <w:numPr>
          <w:ilvl w:val="0"/>
          <w:numId w:val="3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投标人自行承担踏勘现场发生的责任、风险和自身费用。</w:t>
      </w:r>
    </w:p>
    <w:p w14:paraId="2136F2FE">
      <w:pPr>
        <w:pStyle w:val="24"/>
        <w:widowControl/>
        <w:numPr>
          <w:ilvl w:val="0"/>
          <w:numId w:val="3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采购人在踏勘现场中介绍的资料和数据等，只是为了使投标人能够利用招标人现有的资料。招标人对投标人由此而作出的推论、解释和结论概不负责。</w:t>
      </w:r>
    </w:p>
    <w:p w14:paraId="3220C246">
      <w:pPr>
        <w:pStyle w:val="24"/>
        <w:widowControl/>
        <w:numPr>
          <w:ilvl w:val="0"/>
          <w:numId w:val="25"/>
        </w:numPr>
        <w:spacing w:before="217" w:beforeLines="50"/>
        <w:ind w:left="442" w:hanging="442"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招标文件的澄清和修改</w:t>
      </w:r>
    </w:p>
    <w:p w14:paraId="46C885D2">
      <w:pPr>
        <w:pStyle w:val="24"/>
        <w:widowControl/>
        <w:numPr>
          <w:ilvl w:val="0"/>
          <w:numId w:val="33"/>
        </w:numPr>
        <w:ind w:firstLineChars="0"/>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279E9C37">
      <w:pPr>
        <w:pStyle w:val="24"/>
        <w:widowControl/>
        <w:numPr>
          <w:ilvl w:val="0"/>
          <w:numId w:val="33"/>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5C5C965C">
      <w:pPr>
        <w:pStyle w:val="24"/>
        <w:widowControl/>
        <w:numPr>
          <w:ilvl w:val="0"/>
          <w:numId w:val="33"/>
        </w:numPr>
        <w:ind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kern w:val="0"/>
          <w:sz w:val="20"/>
          <w:szCs w:val="20"/>
          <w:lang w:eastAsia="zh-Hans"/>
        </w:rPr>
        <w:t>人。</w:t>
      </w:r>
    </w:p>
    <w:p w14:paraId="46E92CEC">
      <w:pPr>
        <w:pStyle w:val="24"/>
        <w:widowControl/>
        <w:numPr>
          <w:ilvl w:val="0"/>
          <w:numId w:val="25"/>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投标要求</w:t>
      </w:r>
    </w:p>
    <w:p w14:paraId="232C3850">
      <w:pPr>
        <w:pStyle w:val="24"/>
        <w:widowControl/>
        <w:numPr>
          <w:ilvl w:val="0"/>
          <w:numId w:val="34"/>
        </w:numPr>
        <w:ind w:left="284" w:hanging="284" w:firstLineChars="0"/>
        <w:jc w:val="left"/>
        <w:outlineLvl w:val="3"/>
        <w:rPr>
          <w:rFonts w:ascii="Calibri" w:hAnsi="Calibri" w:eastAsia="宋体" w:cs="Times New Roman"/>
          <w:kern w:val="0"/>
          <w:szCs w:val="21"/>
          <w:lang w:eastAsia="zh-Hans"/>
        </w:rPr>
      </w:pPr>
      <w:r>
        <w:rPr>
          <w:rFonts w:ascii="Calibri" w:hAnsi="Calibri" w:eastAsia="宋体" w:cs="Times New Roman"/>
          <w:b/>
          <w:kern w:val="0"/>
          <w:szCs w:val="21"/>
          <w:lang w:eastAsia="zh-Hans"/>
        </w:rPr>
        <w:t>投标文件的制作</w:t>
      </w:r>
    </w:p>
    <w:p w14:paraId="7AD6A8C3">
      <w:pPr>
        <w:pStyle w:val="24"/>
        <w:widowControl/>
        <w:numPr>
          <w:ilvl w:val="0"/>
          <w:numId w:val="35"/>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1D25128">
      <w:pPr>
        <w:pStyle w:val="24"/>
        <w:widowControl/>
        <w:numPr>
          <w:ilvl w:val="0"/>
          <w:numId w:val="35"/>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投标报价包括本项目采购需求和投入使用的所有费用，包括但不限于主件、标准附件、备品备件、施工、服务、专用工具、安装、调试、检验、培训、运输、保险、税款等。</w:t>
      </w:r>
    </w:p>
    <w:p w14:paraId="174D954B">
      <w:pPr>
        <w:pStyle w:val="24"/>
        <w:widowControl/>
        <w:numPr>
          <w:ilvl w:val="0"/>
          <w:numId w:val="35"/>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如有对多个采购包投标的，要对每个采购包独立制作投标文件。</w:t>
      </w:r>
    </w:p>
    <w:p w14:paraId="49A821FA">
      <w:pPr>
        <w:pStyle w:val="24"/>
        <w:widowControl/>
        <w:numPr>
          <w:ilvl w:val="0"/>
          <w:numId w:val="35"/>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招标文件中，凡标有“</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的地方均为实质性响应条款，投标人若有一项带“</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的条款未响应或不满足，将按无效投标处理。</w:t>
      </w:r>
    </w:p>
    <w:p w14:paraId="56C70B5B">
      <w:pPr>
        <w:pStyle w:val="24"/>
        <w:widowControl/>
        <w:numPr>
          <w:ilvl w:val="0"/>
          <w:numId w:val="35"/>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229D14A4">
      <w:pPr>
        <w:pStyle w:val="24"/>
        <w:widowControl/>
        <w:numPr>
          <w:ilvl w:val="0"/>
          <w:numId w:val="35"/>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A2E77A0">
      <w:pPr>
        <w:pStyle w:val="24"/>
        <w:widowControl/>
        <w:numPr>
          <w:ilvl w:val="0"/>
          <w:numId w:val="35"/>
        </w:numPr>
        <w:tabs>
          <w:tab w:val="left" w:pos="709"/>
        </w:tabs>
        <w:ind w:left="567" w:hanging="567" w:firstLineChars="0"/>
        <w:jc w:val="left"/>
        <w:rPr>
          <w:rFonts w:hint="eastAsia" w:ascii="宋体" w:hAnsi="宋体" w:eastAsia="宋体" w:cs="Times New Roman"/>
          <w:kern w:val="0"/>
          <w:szCs w:val="21"/>
          <w:shd w:val="clear" w:color="auto" w:fill="FFC000"/>
          <w:lang w:eastAsia="zh-Hans"/>
        </w:rPr>
      </w:pPr>
      <w:r>
        <w:rPr>
          <w:rFonts w:ascii="宋体" w:hAnsi="宋体" w:eastAsia="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kern w:val="0"/>
          <w:szCs w:val="21"/>
          <w:lang w:val="en-US" w:eastAsia="zh-CN"/>
        </w:rPr>
        <w:t>采购人有关</w:t>
      </w:r>
      <w:r>
        <w:rPr>
          <w:rFonts w:hint="eastAsia" w:ascii="宋体" w:hAnsi="宋体" w:eastAsia="宋体" w:cs="Times New Roman"/>
          <w:kern w:val="0"/>
          <w:szCs w:val="21"/>
          <w:lang w:eastAsia="zh-Hans"/>
        </w:rPr>
        <w:t>部门</w:t>
      </w:r>
      <w:r>
        <w:rPr>
          <w:rFonts w:ascii="宋体" w:hAnsi="宋体" w:eastAsia="宋体" w:cs="Times New Roman"/>
          <w:kern w:val="0"/>
          <w:szCs w:val="21"/>
          <w:lang w:eastAsia="zh-Hans"/>
        </w:rPr>
        <w:t>。</w:t>
      </w:r>
    </w:p>
    <w:p w14:paraId="01EA56BB">
      <w:pPr>
        <w:pStyle w:val="24"/>
        <w:widowControl/>
        <w:numPr>
          <w:ilvl w:val="0"/>
          <w:numId w:val="34"/>
        </w:numPr>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Hans"/>
        </w:rPr>
        <w:t>投标文件的式样和签署</w:t>
      </w:r>
    </w:p>
    <w:p w14:paraId="53D49CF5">
      <w:pPr>
        <w:pStyle w:val="24"/>
        <w:widowControl/>
        <w:numPr>
          <w:ilvl w:val="0"/>
          <w:numId w:val="36"/>
        </w:numPr>
        <w:ind w:firstLineChars="0"/>
        <w:jc w:val="left"/>
        <w:outlineLvl w:val="3"/>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投标文件的式样：投标人应准备一份投标文件正本、电子投标文件、唱标信封和</w:t>
      </w:r>
      <w:r>
        <w:rPr>
          <w:rFonts w:ascii="宋体" w:hAnsi="宋体" w:eastAsia="宋体" w:cs="Times New Roman"/>
          <w:b/>
          <w:bCs/>
          <w:kern w:val="0"/>
          <w:szCs w:val="21"/>
          <w:u w:val="single"/>
          <w:lang w:eastAsia="zh-Hans"/>
        </w:rPr>
        <w:t>详见须知前附表</w:t>
      </w:r>
      <w:r>
        <w:rPr>
          <w:rFonts w:ascii="宋体" w:hAnsi="宋体" w:eastAsia="宋体" w:cs="Times New Roman"/>
          <w:kern w:val="0"/>
          <w:szCs w:val="21"/>
          <w:lang w:eastAsia="zh-Hans"/>
        </w:rPr>
        <w:t>中规定数目的副本，投标文件的副本可采用正本的复印件。每套投标文件须清楚地标明“正本”或“副本”。若副本与正本不符，以正本为准。</w:t>
      </w:r>
    </w:p>
    <w:p w14:paraId="441C25C8">
      <w:pPr>
        <w:pStyle w:val="24"/>
        <w:widowControl/>
        <w:numPr>
          <w:ilvl w:val="0"/>
          <w:numId w:val="36"/>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投标文件的签署：</w:t>
      </w:r>
    </w:p>
    <w:p w14:paraId="4394873F">
      <w:pPr>
        <w:pStyle w:val="24"/>
        <w:widowControl/>
        <w:numPr>
          <w:ilvl w:val="0"/>
          <w:numId w:val="37"/>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42C23702">
      <w:pPr>
        <w:pStyle w:val="24"/>
        <w:widowControl/>
        <w:numPr>
          <w:ilvl w:val="0"/>
          <w:numId w:val="37"/>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投标文件中的任何重要的插字、涂改和增删，必须由法定代表人或经其正式授权的代表在旁边签署</w:t>
      </w:r>
    </w:p>
    <w:p w14:paraId="3E19FD7B">
      <w:pPr>
        <w:pStyle w:val="24"/>
        <w:widowControl/>
        <w:numPr>
          <w:ilvl w:val="0"/>
          <w:numId w:val="36"/>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投标文件的“正本”及所有“副本”的封面及骑缝均须由投标人加盖投标人公章。</w:t>
      </w:r>
    </w:p>
    <w:p w14:paraId="413D07FA">
      <w:pPr>
        <w:pStyle w:val="24"/>
        <w:widowControl/>
        <w:numPr>
          <w:ilvl w:val="0"/>
          <w:numId w:val="34"/>
        </w:numPr>
        <w:ind w:left="284" w:hanging="284" w:firstLineChars="0"/>
        <w:jc w:val="left"/>
        <w:outlineLvl w:val="3"/>
        <w:rPr>
          <w:rFonts w:hint="eastAsia" w:ascii="宋体" w:hAnsi="宋体" w:eastAsia="宋体"/>
          <w:b/>
          <w:bCs/>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投标文件的递交</w:t>
      </w:r>
    </w:p>
    <w:p w14:paraId="3CA5F343">
      <w:pPr>
        <w:pStyle w:val="24"/>
        <w:numPr>
          <w:ilvl w:val="0"/>
          <w:numId w:val="38"/>
        </w:numPr>
        <w:ind w:firstLineChars="0"/>
        <w:rPr>
          <w:rFonts w:hint="eastAsia" w:ascii="宋体" w:hAnsi="宋体" w:eastAsia="宋体"/>
          <w:b/>
          <w:color w:val="000000" w:themeColor="text1"/>
          <w:szCs w:val="21"/>
          <w14:textFill>
            <w14:solidFill>
              <w14:schemeClr w14:val="tx1"/>
            </w14:solidFill>
          </w14:textFill>
        </w:rPr>
      </w:pPr>
      <w:bookmarkStart w:id="12" w:name="_Toc357676131"/>
      <w:r>
        <w:rPr>
          <w:rFonts w:hint="eastAsia" w:ascii="宋体" w:hAnsi="宋体" w:eastAsia="宋体"/>
          <w:b/>
          <w:color w:val="000000" w:themeColor="text1"/>
          <w:szCs w:val="21"/>
          <w14:textFill>
            <w14:solidFill>
              <w14:schemeClr w14:val="tx1"/>
            </w14:solidFill>
          </w14:textFill>
        </w:rPr>
        <w:t>投标文件的装订、密封和标记</w:t>
      </w:r>
      <w:bookmarkEnd w:id="12"/>
    </w:p>
    <w:p w14:paraId="59E42132">
      <w:pPr>
        <w:pStyle w:val="24"/>
        <w:numPr>
          <w:ilvl w:val="0"/>
          <w:numId w:val="39"/>
        </w:numPr>
        <w:tabs>
          <w:tab w:val="left" w:pos="851"/>
        </w:tabs>
        <w:ind w:left="567" w:hanging="567" w:firstLineChars="0"/>
        <w:rPr>
          <w:rFonts w:hint="eastAsia" w:ascii="宋体" w:hAnsi="宋体" w:eastAsia="宋体"/>
          <w:bCs/>
          <w:szCs w:val="21"/>
        </w:rPr>
      </w:pPr>
      <w:r>
        <w:rPr>
          <w:rFonts w:hint="eastAsia" w:ascii="宋体" w:hAnsi="宋体" w:eastAsia="宋体"/>
          <w:bCs/>
          <w:color w:val="000000" w:themeColor="text1"/>
          <w:szCs w:val="21"/>
          <w14:textFill>
            <w14:solidFill>
              <w14:schemeClr w14:val="tx1"/>
            </w14:solidFill>
          </w14:textFill>
        </w:rPr>
        <w:t>投标人应当对投标文件进行装订（所有文件均不允许采用活动夹方式装订），如投标人对</w:t>
      </w:r>
      <w:r>
        <w:rPr>
          <w:rFonts w:hint="eastAsia" w:ascii="宋体" w:hAnsi="宋体" w:eastAsia="宋体"/>
          <w:bCs/>
          <w:szCs w:val="21"/>
        </w:rPr>
        <w:t>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66D27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4291449F">
            <w:pPr>
              <w:jc w:val="center"/>
              <w:rPr>
                <w:rFonts w:hint="eastAsia" w:ascii="宋体" w:hAnsi="宋体" w:eastAsia="宋体"/>
                <w:b/>
                <w:szCs w:val="21"/>
              </w:rPr>
            </w:pPr>
            <w:r>
              <w:rPr>
                <w:rFonts w:hint="eastAsia" w:ascii="宋体" w:hAnsi="宋体" w:eastAsia="宋体"/>
                <w:b/>
                <w:szCs w:val="21"/>
              </w:rPr>
              <w:t>序号</w:t>
            </w:r>
          </w:p>
        </w:tc>
        <w:tc>
          <w:tcPr>
            <w:tcW w:w="1413" w:type="pct"/>
            <w:vAlign w:val="center"/>
          </w:tcPr>
          <w:p w14:paraId="7D8A846B">
            <w:pPr>
              <w:jc w:val="center"/>
              <w:rPr>
                <w:rFonts w:hint="eastAsia" w:ascii="宋体" w:hAnsi="宋体" w:eastAsia="宋体"/>
                <w:b/>
                <w:szCs w:val="21"/>
              </w:rPr>
            </w:pPr>
            <w:r>
              <w:rPr>
                <w:rFonts w:hint="eastAsia" w:ascii="宋体" w:hAnsi="宋体" w:eastAsia="宋体"/>
                <w:b/>
                <w:szCs w:val="21"/>
              </w:rPr>
              <w:t>文件名称</w:t>
            </w:r>
          </w:p>
        </w:tc>
        <w:tc>
          <w:tcPr>
            <w:tcW w:w="926" w:type="pct"/>
            <w:vAlign w:val="center"/>
          </w:tcPr>
          <w:p w14:paraId="0CD67D03">
            <w:pPr>
              <w:jc w:val="center"/>
              <w:rPr>
                <w:rFonts w:hint="eastAsia" w:ascii="宋体" w:hAnsi="宋体" w:eastAsia="宋体"/>
                <w:b/>
                <w:szCs w:val="21"/>
              </w:rPr>
            </w:pPr>
            <w:r>
              <w:rPr>
                <w:rFonts w:hint="eastAsia" w:ascii="宋体" w:hAnsi="宋体" w:eastAsia="宋体"/>
                <w:b/>
                <w:szCs w:val="21"/>
              </w:rPr>
              <w:t>装订</w:t>
            </w:r>
          </w:p>
        </w:tc>
        <w:tc>
          <w:tcPr>
            <w:tcW w:w="2264" w:type="pct"/>
            <w:vAlign w:val="center"/>
          </w:tcPr>
          <w:p w14:paraId="3022C4A7">
            <w:pPr>
              <w:jc w:val="center"/>
              <w:rPr>
                <w:rFonts w:hint="eastAsia" w:ascii="宋体" w:hAnsi="宋体" w:eastAsia="宋体"/>
                <w:b/>
                <w:szCs w:val="21"/>
              </w:rPr>
            </w:pPr>
            <w:r>
              <w:rPr>
                <w:rFonts w:hint="eastAsia" w:ascii="宋体" w:hAnsi="宋体" w:eastAsia="宋体"/>
                <w:b/>
                <w:szCs w:val="21"/>
              </w:rPr>
              <w:t>包装</w:t>
            </w:r>
          </w:p>
        </w:tc>
      </w:tr>
      <w:tr w14:paraId="0BC27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1C178F3F">
            <w:pPr>
              <w:jc w:val="center"/>
              <w:rPr>
                <w:rFonts w:hint="eastAsia" w:ascii="宋体" w:hAnsi="宋体" w:eastAsia="宋体"/>
                <w:szCs w:val="21"/>
              </w:rPr>
            </w:pPr>
            <w:r>
              <w:rPr>
                <w:rFonts w:hint="eastAsia" w:ascii="宋体" w:hAnsi="宋体" w:eastAsia="宋体"/>
                <w:szCs w:val="21"/>
              </w:rPr>
              <w:t>1</w:t>
            </w:r>
          </w:p>
        </w:tc>
        <w:tc>
          <w:tcPr>
            <w:tcW w:w="1413" w:type="pct"/>
            <w:vAlign w:val="center"/>
          </w:tcPr>
          <w:p w14:paraId="0DF929F7">
            <w:pPr>
              <w:jc w:val="center"/>
              <w:rPr>
                <w:rFonts w:hint="eastAsia" w:ascii="宋体" w:hAnsi="宋体" w:eastAsia="宋体"/>
                <w:szCs w:val="21"/>
              </w:rPr>
            </w:pPr>
            <w:r>
              <w:rPr>
                <w:rFonts w:hint="eastAsia" w:ascii="宋体" w:hAnsi="宋体" w:eastAsia="宋体"/>
                <w:szCs w:val="21"/>
              </w:rPr>
              <w:t>投标文件</w:t>
            </w:r>
          </w:p>
        </w:tc>
        <w:tc>
          <w:tcPr>
            <w:tcW w:w="926" w:type="pct"/>
            <w:vAlign w:val="center"/>
          </w:tcPr>
          <w:p w14:paraId="4E4BE44E">
            <w:pPr>
              <w:jc w:val="center"/>
              <w:rPr>
                <w:rFonts w:hint="eastAsia" w:ascii="宋体" w:hAnsi="宋体" w:eastAsia="宋体"/>
                <w:szCs w:val="21"/>
              </w:rPr>
            </w:pPr>
            <w:r>
              <w:rPr>
                <w:rFonts w:hint="eastAsia" w:ascii="宋体" w:hAnsi="宋体" w:eastAsia="宋体"/>
                <w:szCs w:val="21"/>
              </w:rPr>
              <w:t>独立装订</w:t>
            </w:r>
          </w:p>
        </w:tc>
        <w:tc>
          <w:tcPr>
            <w:tcW w:w="2264" w:type="pct"/>
            <w:vAlign w:val="center"/>
          </w:tcPr>
          <w:p w14:paraId="2E8CAA2A">
            <w:pPr>
              <w:jc w:val="center"/>
              <w:rPr>
                <w:rFonts w:hint="eastAsia" w:ascii="宋体" w:hAnsi="宋体" w:eastAsia="宋体"/>
                <w:szCs w:val="21"/>
              </w:rPr>
            </w:pPr>
            <w:r>
              <w:rPr>
                <w:rFonts w:hint="eastAsia" w:ascii="宋体" w:hAnsi="宋体" w:eastAsia="宋体"/>
                <w:szCs w:val="21"/>
              </w:rPr>
              <w:t>正本、副本一起密封包装</w:t>
            </w:r>
          </w:p>
          <w:p w14:paraId="467F7754">
            <w:pPr>
              <w:jc w:val="center"/>
              <w:rPr>
                <w:rFonts w:hint="eastAsia" w:ascii="宋体" w:hAnsi="宋体" w:eastAsia="宋体"/>
                <w:szCs w:val="21"/>
              </w:rPr>
            </w:pPr>
            <w:r>
              <w:rPr>
                <w:rFonts w:hint="eastAsia" w:ascii="宋体" w:hAnsi="宋体" w:eastAsia="宋体"/>
                <w:szCs w:val="21"/>
              </w:rPr>
              <w:t>(内附电子投标文件)</w:t>
            </w:r>
          </w:p>
        </w:tc>
      </w:tr>
      <w:tr w14:paraId="11FBD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3DC7426">
            <w:pPr>
              <w:jc w:val="center"/>
              <w:rPr>
                <w:rFonts w:hint="eastAsia" w:ascii="宋体" w:hAnsi="宋体" w:eastAsia="宋体"/>
                <w:szCs w:val="21"/>
              </w:rPr>
            </w:pPr>
            <w:r>
              <w:rPr>
                <w:rFonts w:ascii="宋体" w:hAnsi="宋体" w:eastAsia="宋体"/>
                <w:szCs w:val="21"/>
              </w:rPr>
              <w:t>2</w:t>
            </w:r>
          </w:p>
        </w:tc>
        <w:tc>
          <w:tcPr>
            <w:tcW w:w="1413" w:type="pct"/>
            <w:vAlign w:val="center"/>
          </w:tcPr>
          <w:p w14:paraId="4B19B75E">
            <w:pPr>
              <w:jc w:val="center"/>
              <w:rPr>
                <w:rFonts w:hint="eastAsia" w:ascii="宋体" w:hAnsi="宋体" w:eastAsia="宋体"/>
                <w:szCs w:val="21"/>
              </w:rPr>
            </w:pPr>
            <w:r>
              <w:rPr>
                <w:rFonts w:hint="eastAsia" w:ascii="宋体" w:hAnsi="宋体" w:eastAsia="宋体"/>
                <w:szCs w:val="21"/>
              </w:rPr>
              <w:t>唱标信封</w:t>
            </w:r>
          </w:p>
        </w:tc>
        <w:tc>
          <w:tcPr>
            <w:tcW w:w="926" w:type="pct"/>
            <w:vAlign w:val="center"/>
          </w:tcPr>
          <w:p w14:paraId="14EEFB40">
            <w:pPr>
              <w:jc w:val="center"/>
              <w:rPr>
                <w:rFonts w:hint="eastAsia" w:ascii="宋体" w:hAnsi="宋体" w:eastAsia="宋体"/>
                <w:szCs w:val="21"/>
              </w:rPr>
            </w:pPr>
            <w:r>
              <w:rPr>
                <w:rFonts w:hint="eastAsia" w:ascii="宋体" w:hAnsi="宋体" w:eastAsia="宋体"/>
                <w:szCs w:val="21"/>
              </w:rPr>
              <w:t>独立装订</w:t>
            </w:r>
          </w:p>
        </w:tc>
        <w:tc>
          <w:tcPr>
            <w:tcW w:w="2264" w:type="pct"/>
            <w:vAlign w:val="center"/>
          </w:tcPr>
          <w:p w14:paraId="151561C3">
            <w:pPr>
              <w:jc w:val="center"/>
              <w:rPr>
                <w:rFonts w:hint="eastAsia" w:ascii="宋体" w:hAnsi="宋体" w:eastAsia="宋体"/>
                <w:szCs w:val="21"/>
              </w:rPr>
            </w:pPr>
            <w:r>
              <w:rPr>
                <w:rFonts w:hint="eastAsia" w:ascii="宋体" w:hAnsi="宋体" w:eastAsia="宋体"/>
                <w:szCs w:val="21"/>
              </w:rPr>
              <w:t>单独密封包装</w:t>
            </w:r>
          </w:p>
        </w:tc>
      </w:tr>
    </w:tbl>
    <w:p w14:paraId="416C01BB">
      <w:pPr>
        <w:pStyle w:val="24"/>
        <w:numPr>
          <w:ilvl w:val="0"/>
          <w:numId w:val="39"/>
        </w:numPr>
        <w:tabs>
          <w:tab w:val="left" w:pos="851"/>
        </w:tabs>
        <w:ind w:left="567" w:hanging="567" w:firstLineChars="0"/>
        <w:rPr>
          <w:rFonts w:hint="eastAsia" w:ascii="宋体" w:hAnsi="宋体" w:eastAsia="宋体"/>
          <w:bCs/>
          <w:szCs w:val="21"/>
        </w:rPr>
      </w:pPr>
      <w:r>
        <w:rPr>
          <w:rFonts w:hint="eastAsia" w:ascii="宋体" w:hAnsi="宋体" w:eastAsia="宋体"/>
          <w:bCs/>
          <w:szCs w:val="21"/>
        </w:rPr>
        <w:t>电子投标文件</w:t>
      </w:r>
      <w:bookmarkStart w:id="13" w:name="_Hlk86740118"/>
      <w:r>
        <w:rPr>
          <w:rFonts w:hint="eastAsia" w:ascii="宋体" w:hAnsi="宋体" w:eastAsia="宋体"/>
          <w:bCs/>
          <w:szCs w:val="21"/>
        </w:rPr>
        <w:t>须同时提交以下文件</w:t>
      </w:r>
      <w:bookmarkEnd w:id="13"/>
      <w:r>
        <w:rPr>
          <w:rFonts w:hint="eastAsia" w:ascii="宋体" w:hAnsi="宋体" w:eastAsia="宋体"/>
          <w:bCs/>
          <w:szCs w:val="21"/>
        </w:rPr>
        <w:t>：</w:t>
      </w:r>
      <w:bookmarkStart w:id="14" w:name="_Hlk86740096"/>
      <w:r>
        <w:rPr>
          <w:rFonts w:hint="eastAsia" w:ascii="宋体" w:hAnsi="宋体" w:eastAsia="宋体"/>
          <w:bCs/>
          <w:szCs w:val="21"/>
        </w:rPr>
        <w:t>①可编辑的WORD或 EXCEL 格式文件。②按招标文件要求签署、盖章后的正本投标文件扫描成PDF格式文件。</w:t>
      </w:r>
      <w:r>
        <w:rPr>
          <w:rFonts w:ascii="宋体" w:hAnsi="宋体" w:eastAsia="宋体"/>
          <w:bCs/>
          <w:szCs w:val="21"/>
        </w:rPr>
        <w:t>电子文件</w:t>
      </w:r>
      <w:r>
        <w:rPr>
          <w:rFonts w:hint="eastAsia" w:ascii="宋体" w:hAnsi="宋体" w:eastAsia="宋体"/>
          <w:bCs/>
          <w:szCs w:val="21"/>
        </w:rPr>
        <w:t>由</w:t>
      </w:r>
      <w:r>
        <w:rPr>
          <w:rFonts w:ascii="宋体" w:hAnsi="宋体" w:eastAsia="宋体"/>
          <w:bCs/>
          <w:szCs w:val="21"/>
        </w:rPr>
        <w:t>光盘</w:t>
      </w:r>
      <w:r>
        <w:rPr>
          <w:rFonts w:hint="eastAsia" w:ascii="宋体" w:hAnsi="宋体" w:eastAsia="宋体"/>
          <w:bCs/>
          <w:szCs w:val="21"/>
        </w:rPr>
        <w:t>或U盘</w:t>
      </w:r>
      <w:r>
        <w:rPr>
          <w:rFonts w:ascii="宋体" w:hAnsi="宋体" w:eastAsia="宋体"/>
          <w:bCs/>
          <w:szCs w:val="21"/>
        </w:rPr>
        <w:t>储存</w:t>
      </w:r>
      <w:bookmarkEnd w:id="14"/>
      <w:r>
        <w:rPr>
          <w:rFonts w:hint="eastAsia" w:ascii="宋体" w:hAnsi="宋体" w:eastAsia="宋体"/>
          <w:bCs/>
          <w:szCs w:val="21"/>
        </w:rPr>
        <w:t>。</w:t>
      </w:r>
    </w:p>
    <w:p w14:paraId="71787C8B">
      <w:pPr>
        <w:pStyle w:val="24"/>
        <w:numPr>
          <w:ilvl w:val="0"/>
          <w:numId w:val="39"/>
        </w:numPr>
        <w:tabs>
          <w:tab w:val="left" w:pos="851"/>
        </w:tabs>
        <w:ind w:left="567" w:hanging="567" w:firstLineChars="0"/>
        <w:rPr>
          <w:rFonts w:hint="eastAsia" w:ascii="宋体" w:hAnsi="宋体" w:eastAsia="宋体"/>
          <w:bCs/>
          <w:szCs w:val="21"/>
        </w:rPr>
      </w:pPr>
      <w:r>
        <w:rPr>
          <w:rFonts w:hint="eastAsia" w:ascii="宋体" w:hAnsi="宋体" w:eastAsia="宋体"/>
          <w:bCs/>
          <w:szCs w:val="21"/>
        </w:rPr>
        <w:t>为方便开标唱标，投标人应将开标一览表、分项报价表、法定代表人身份证明书或法定代表人授权委托书一起密封提交，若联合体投标，应将各方共同签署的《联合体投标协议》一并提交；并在信封上标明“唱标信封”的字样。</w:t>
      </w:r>
    </w:p>
    <w:p w14:paraId="2C4D904E">
      <w:pPr>
        <w:pStyle w:val="24"/>
        <w:widowControl/>
        <w:numPr>
          <w:ilvl w:val="0"/>
          <w:numId w:val="34"/>
        </w:numPr>
        <w:ind w:left="284" w:hanging="284" w:firstLineChars="0"/>
        <w:jc w:val="left"/>
        <w:outlineLvl w:val="3"/>
        <w:rPr>
          <w:rFonts w:hint="eastAsia" w:ascii="宋体" w:hAnsi="宋体" w:eastAsia="宋体"/>
          <w:b/>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投标文件包装密封</w:t>
      </w:r>
    </w:p>
    <w:p w14:paraId="53788B08">
      <w:pPr>
        <w:pStyle w:val="24"/>
        <w:numPr>
          <w:ilvl w:val="0"/>
          <w:numId w:val="40"/>
        </w:numPr>
        <w:tabs>
          <w:tab w:val="left" w:pos="426"/>
        </w:tabs>
        <w:ind w:left="567" w:hanging="567"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投标人应将投标文件密封包装；</w:t>
      </w:r>
    </w:p>
    <w:p w14:paraId="4E95C943">
      <w:pPr>
        <w:pStyle w:val="24"/>
        <w:numPr>
          <w:ilvl w:val="0"/>
          <w:numId w:val="40"/>
        </w:numPr>
        <w:tabs>
          <w:tab w:val="left" w:pos="426"/>
        </w:tabs>
        <w:ind w:left="567" w:hanging="567"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不足以造成投标文件可从外包装内散出而导致投标文件泄密的，不认定为投标文件未密封。</w:t>
      </w:r>
    </w:p>
    <w:p w14:paraId="5E0883D1">
      <w:pPr>
        <w:pStyle w:val="24"/>
        <w:numPr>
          <w:ilvl w:val="0"/>
          <w:numId w:val="40"/>
        </w:numPr>
        <w:tabs>
          <w:tab w:val="left" w:pos="426"/>
        </w:tabs>
        <w:ind w:left="567" w:hanging="567"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包装封套均应注明：</w:t>
      </w:r>
    </w:p>
    <w:p w14:paraId="33340555">
      <w:pPr>
        <w:pStyle w:val="24"/>
        <w:ind w:left="567" w:firstLine="0" w:firstLineChars="0"/>
        <w:rPr>
          <w:rFonts w:hint="eastAsia" w:ascii="宋体" w:hAnsi="宋体" w:eastAsia="宋体"/>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收件人名称：</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广东智汇城市招标采购有限公司</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1289B460">
      <w:pPr>
        <w:pStyle w:val="24"/>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w:t>
      </w:r>
      <w:r>
        <w:rPr>
          <w:rFonts w:ascii="宋体" w:hAnsi="宋体" w:eastAsia="宋体"/>
          <w:color w:val="000000" w:themeColor="text1"/>
          <w:szCs w:val="21"/>
          <w:u w:val="single"/>
          <w14:textFill>
            <w14:solidFill>
              <w14:schemeClr w14:val="tx1"/>
            </w14:solidFill>
          </w14:textFill>
        </w:rPr>
        <w:t xml:space="preserve">                                </w:t>
      </w:r>
    </w:p>
    <w:p w14:paraId="60BA89EA">
      <w:pPr>
        <w:pStyle w:val="24"/>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项目名称：</w:t>
      </w:r>
      <w:r>
        <w:rPr>
          <w:rFonts w:ascii="宋体" w:hAnsi="宋体" w:eastAsia="宋体"/>
          <w:bCs/>
          <w:color w:val="000000" w:themeColor="text1"/>
          <w:szCs w:val="21"/>
          <w:u w:val="single"/>
          <w14:textFill>
            <w14:solidFill>
              <w14:schemeClr w14:val="tx1"/>
            </w14:solidFill>
          </w14:textFill>
        </w:rPr>
        <w:t xml:space="preserve">        （详见投标邀请）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1B69E23C">
      <w:pPr>
        <w:pStyle w:val="24"/>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项目编号：</w:t>
      </w:r>
      <w:r>
        <w:rPr>
          <w:rFonts w:ascii="宋体" w:hAnsi="宋体" w:eastAsia="宋体"/>
          <w:bCs/>
          <w:color w:val="000000" w:themeColor="text1"/>
          <w:szCs w:val="21"/>
          <w:u w:val="single"/>
          <w14:textFill>
            <w14:solidFill>
              <w14:schemeClr w14:val="tx1"/>
            </w14:solidFill>
          </w14:textFill>
        </w:rPr>
        <w:t xml:space="preserve">        （详见投标邀请）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742721B0">
      <w:pPr>
        <w:pStyle w:val="24"/>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注明：“</w:t>
      </w:r>
      <w:r>
        <w:rPr>
          <w:rFonts w:hint="eastAsia" w:ascii="宋体" w:hAnsi="宋体" w:eastAsia="宋体"/>
          <w:bCs/>
          <w:color w:val="000000" w:themeColor="text1"/>
          <w:szCs w:val="21"/>
          <w:u w:val="single"/>
          <w14:textFill>
            <w14:solidFill>
              <w14:schemeClr w14:val="tx1"/>
            </w14:solidFill>
          </w14:textFill>
        </w:rPr>
        <w:t>于</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月</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日北京时间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（详见投标邀请）之前不得启封”的字样。</w:t>
      </w:r>
    </w:p>
    <w:p w14:paraId="3CF26CC2">
      <w:pPr>
        <w:widowControl/>
        <w:ind w:firstLine="404" w:firstLineChars="200"/>
        <w:jc w:val="left"/>
        <w:outlineLvl w:val="3"/>
        <w:rPr>
          <w:rFonts w:ascii="Calibri" w:hAnsi="Calibri" w:eastAsia="宋体" w:cs="Times New Roman"/>
          <w:kern w:val="0"/>
          <w:szCs w:val="21"/>
        </w:rPr>
      </w:pPr>
      <w:r>
        <w:rPr>
          <w:rFonts w:hint="eastAsia" w:ascii="宋体" w:hAnsi="宋体" w:eastAsia="宋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36703C83">
      <w:pPr>
        <w:pStyle w:val="24"/>
        <w:widowControl/>
        <w:numPr>
          <w:ilvl w:val="0"/>
          <w:numId w:val="34"/>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投标文件的修改、撤回与撤销</w:t>
      </w:r>
    </w:p>
    <w:p w14:paraId="1157D784">
      <w:pPr>
        <w:pStyle w:val="24"/>
        <w:widowControl/>
        <w:numPr>
          <w:ilvl w:val="-1"/>
          <w:numId w:val="0"/>
        </w:numPr>
        <w:ind w:left="0" w:firstLine="0" w:firstLineChars="0"/>
        <w:jc w:val="left"/>
        <w:rPr>
          <w:rFonts w:ascii="Calibri" w:hAnsi="Calibri" w:eastAsia="宋体" w:cs="Times New Roman"/>
          <w:kern w:val="0"/>
          <w:szCs w:val="21"/>
        </w:rPr>
      </w:pPr>
      <w:r>
        <w:rPr>
          <w:rFonts w:hint="default" w:ascii="Times New Roman" w:hAnsi="Times New Roman" w:eastAsia="宋体" w:cs="Times New Roman"/>
          <w:kern w:val="0"/>
          <w:sz w:val="20"/>
          <w:szCs w:val="20"/>
          <w:lang w:val="en-US" w:eastAsia="zh-CN"/>
        </w:rPr>
        <w:t xml:space="preserve">5.1 </w:t>
      </w:r>
      <w:r>
        <w:rPr>
          <w:rFonts w:ascii="Calibri" w:hAnsi="Calibri" w:eastAsia="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B0B9C67">
      <w:pPr>
        <w:pStyle w:val="24"/>
        <w:widowControl/>
        <w:numPr>
          <w:ilvl w:val="-1"/>
          <w:numId w:val="0"/>
        </w:numPr>
        <w:ind w:left="0" w:firstLine="0" w:firstLineChars="0"/>
        <w:jc w:val="left"/>
        <w:rPr>
          <w:rFonts w:ascii="Calibri" w:hAnsi="Calibri" w:eastAsia="宋体" w:cs="Times New Roman"/>
          <w:kern w:val="0"/>
          <w:szCs w:val="21"/>
        </w:rPr>
      </w:pPr>
      <w:r>
        <w:rPr>
          <w:rFonts w:hint="default" w:ascii="Times New Roman" w:hAnsi="Times New Roman" w:eastAsia="宋体" w:cs="Times New Roman"/>
          <w:kern w:val="0"/>
          <w:sz w:val="20"/>
          <w:szCs w:val="20"/>
          <w:lang w:val="en-US" w:eastAsia="zh-CN"/>
        </w:rPr>
        <w:t xml:space="preserve">5.2 </w:t>
      </w:r>
      <w:r>
        <w:rPr>
          <w:rFonts w:ascii="Calibri" w:hAnsi="Calibri" w:eastAsia="宋体" w:cs="Times New Roman"/>
          <w:kern w:val="0"/>
          <w:szCs w:val="21"/>
        </w:rPr>
        <w:t>在投标截止时间之后，投标人不得对其投标文件做任何修改和补充。</w:t>
      </w:r>
    </w:p>
    <w:p w14:paraId="35E1A660">
      <w:pPr>
        <w:pStyle w:val="24"/>
        <w:widowControl/>
        <w:numPr>
          <w:ilvl w:val="0"/>
          <w:numId w:val="0"/>
        </w:numPr>
        <w:ind w:leftChars="0"/>
        <w:jc w:val="left"/>
        <w:rPr>
          <w:rFonts w:ascii="Calibri" w:hAnsi="Calibri" w:eastAsia="宋体" w:cs="Times New Roman"/>
          <w:kern w:val="0"/>
          <w:sz w:val="20"/>
          <w:szCs w:val="20"/>
        </w:rPr>
      </w:pPr>
      <w:r>
        <w:rPr>
          <w:rFonts w:hint="default" w:ascii="Times New Roman" w:hAnsi="Times New Roman" w:eastAsia="宋体" w:cs="Times New Roman"/>
          <w:kern w:val="0"/>
          <w:sz w:val="20"/>
          <w:szCs w:val="20"/>
          <w:lang w:val="en-US" w:eastAsia="zh-CN"/>
        </w:rPr>
        <w:t xml:space="preserve">5.3 </w:t>
      </w:r>
      <w:r>
        <w:rPr>
          <w:rFonts w:ascii="Calibri" w:hAnsi="Calibri" w:eastAsia="宋体" w:cs="Times New Roman"/>
          <w:kern w:val="0"/>
          <w:szCs w:val="21"/>
        </w:rPr>
        <w:t>在提交投标文件截止时间至投标有效期满之前，投标人不得撤回其投标文件。</w:t>
      </w:r>
    </w:p>
    <w:p w14:paraId="3D3ED466">
      <w:pPr>
        <w:pStyle w:val="24"/>
        <w:widowControl/>
        <w:numPr>
          <w:ilvl w:val="0"/>
          <w:numId w:val="34"/>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投标保证金</w:t>
      </w:r>
      <w:r>
        <w:rPr>
          <w:rFonts w:hint="eastAsia" w:ascii="Calibri" w:hAnsi="Calibri" w:eastAsia="宋体" w:cs="Times New Roman"/>
          <w:b/>
          <w:kern w:val="0"/>
          <w:szCs w:val="21"/>
          <w:lang w:eastAsia="zh-CN"/>
        </w:rPr>
        <w:t>（</w:t>
      </w:r>
      <w:r>
        <w:rPr>
          <w:rFonts w:hint="eastAsia" w:ascii="Calibri" w:hAnsi="Calibri" w:eastAsia="宋体" w:cs="Times New Roman"/>
          <w:b/>
          <w:kern w:val="0"/>
          <w:szCs w:val="21"/>
          <w:lang w:val="en-US" w:eastAsia="zh-CN"/>
        </w:rPr>
        <w:t>本项目不收取</w:t>
      </w:r>
      <w:r>
        <w:rPr>
          <w:rFonts w:hint="eastAsia" w:ascii="Calibri" w:hAnsi="Calibri" w:eastAsia="宋体" w:cs="Times New Roman"/>
          <w:b/>
          <w:kern w:val="0"/>
          <w:szCs w:val="21"/>
          <w:lang w:eastAsia="zh-CN"/>
        </w:rPr>
        <w:t>）</w:t>
      </w:r>
    </w:p>
    <w:p w14:paraId="3B9D97CE">
      <w:pPr>
        <w:pStyle w:val="24"/>
        <w:widowControl/>
        <w:numPr>
          <w:ilvl w:val="0"/>
          <w:numId w:val="41"/>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投标保证金的缴纳</w:t>
      </w:r>
    </w:p>
    <w:p w14:paraId="39467DBB">
      <w:pPr>
        <w:pStyle w:val="24"/>
        <w:widowControl/>
        <w:numPr>
          <w:ilvl w:val="0"/>
          <w:numId w:val="42"/>
        </w:numPr>
        <w:ind w:left="567" w:hanging="567" w:firstLineChars="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投标人在提交投标文件时，应按投标人须知前附表</w:t>
      </w:r>
      <w:r>
        <w:rPr>
          <w:rFonts w:ascii="宋体" w:hAnsi="宋体" w:eastAsia="宋体" w:cs="Times New Roman"/>
          <w:color w:val="auto"/>
          <w:kern w:val="0"/>
          <w:szCs w:val="21"/>
          <w:lang w:eastAsia="zh-Hans"/>
        </w:rPr>
        <w:t>规定的金额和缴纳要求缴纳投标保证金，并作为其投标文件的组成部分。</w:t>
      </w:r>
    </w:p>
    <w:p w14:paraId="725B5802">
      <w:pPr>
        <w:pStyle w:val="24"/>
        <w:widowControl/>
        <w:numPr>
          <w:ilvl w:val="0"/>
          <w:numId w:val="42"/>
        </w:numPr>
        <w:ind w:left="567" w:hanging="567" w:firstLineChars="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如采用转账、支票、本票、汇票形式提交的，投标保证金从投标人基本账户递交；请各投标人在投标文件递交截止时间前按</w:t>
      </w:r>
      <w:bookmarkStart w:id="15" w:name="_Hlk169879945"/>
      <w:r>
        <w:rPr>
          <w:rFonts w:ascii="宋体" w:hAnsi="宋体" w:eastAsia="宋体" w:cs="Times New Roman"/>
          <w:color w:val="auto"/>
          <w:kern w:val="0"/>
          <w:szCs w:val="21"/>
          <w:u w:val="single"/>
          <w:lang w:eastAsia="zh-Hans"/>
        </w:rPr>
        <w:t>须知前附表</w:t>
      </w:r>
      <w:r>
        <w:rPr>
          <w:rFonts w:ascii="宋体" w:hAnsi="宋体" w:eastAsia="宋体" w:cs="Times New Roman"/>
          <w:color w:val="auto"/>
          <w:kern w:val="0"/>
          <w:szCs w:val="21"/>
          <w:lang w:eastAsia="zh-Hans"/>
        </w:rPr>
        <w:t>规定的金额递交至</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，到账情况以开标时</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查询的信息为准。</w:t>
      </w:r>
    </w:p>
    <w:bookmarkEnd w:id="15"/>
    <w:p w14:paraId="03DF103F">
      <w:pPr>
        <w:pStyle w:val="24"/>
        <w:widowControl/>
        <w:numPr>
          <w:ilvl w:val="0"/>
          <w:numId w:val="42"/>
        </w:numPr>
        <w:ind w:left="567" w:hanging="567" w:firstLineChars="0"/>
        <w:jc w:val="left"/>
        <w:rPr>
          <w:rFonts w:hint="eastAsia" w:ascii="宋体" w:hAnsi="宋体" w:eastAsia="宋体" w:cs="Times New Roman"/>
          <w:kern w:val="0"/>
          <w:szCs w:val="21"/>
          <w:lang w:eastAsia="zh-Hans"/>
        </w:rPr>
      </w:pPr>
      <w:r>
        <w:rPr>
          <w:rFonts w:ascii="Calibri" w:hAnsi="Calibri" w:eastAsia="宋体" w:cs="Times New Roman"/>
          <w:kern w:val="0"/>
          <w:szCs w:val="21"/>
          <w:lang w:eastAsia="zh-Hans"/>
        </w:rPr>
        <w:t>如采用金融机构、专业担保机构开具的投标担保函、投标保证保险函等形式提交投标保证金的，投标担保函须开具给采购人，并与投标文件一同递交。</w:t>
      </w:r>
    </w:p>
    <w:p w14:paraId="4DD5A186">
      <w:pPr>
        <w:pStyle w:val="24"/>
        <w:widowControl/>
        <w:numPr>
          <w:ilvl w:val="0"/>
          <w:numId w:val="4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投标保证金的退还：</w:t>
      </w:r>
    </w:p>
    <w:p w14:paraId="2AA296EC">
      <w:pPr>
        <w:pStyle w:val="24"/>
        <w:widowControl/>
        <w:numPr>
          <w:ilvl w:val="0"/>
          <w:numId w:val="43"/>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投标人在投标截止时间前放弃投标的，自所投采购包结果公告发出后5个工作日内退还。</w:t>
      </w:r>
    </w:p>
    <w:p w14:paraId="26DC5911">
      <w:pPr>
        <w:pStyle w:val="24"/>
        <w:widowControl/>
        <w:numPr>
          <w:ilvl w:val="0"/>
          <w:numId w:val="43"/>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未中标的投标人投标保证金，自中标通知书发出之日起5个工作日内退还。</w:t>
      </w:r>
    </w:p>
    <w:p w14:paraId="2A1456BF">
      <w:pPr>
        <w:pStyle w:val="24"/>
        <w:widowControl/>
        <w:numPr>
          <w:ilvl w:val="0"/>
          <w:numId w:val="43"/>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中标供应商的投标保证金，自采购合同签订之日起5个工作日内退还。</w:t>
      </w:r>
    </w:p>
    <w:p w14:paraId="1522422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备注：但因投标人自身原因导致无法及时退还的除外。</w:t>
      </w:r>
    </w:p>
    <w:p w14:paraId="56E41FA0">
      <w:pPr>
        <w:pStyle w:val="24"/>
        <w:widowControl/>
        <w:numPr>
          <w:ilvl w:val="0"/>
          <w:numId w:val="4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 有下列情形之一的，投标保证金将不予退还：</w:t>
      </w:r>
    </w:p>
    <w:p w14:paraId="31FD9907">
      <w:pPr>
        <w:pStyle w:val="24"/>
        <w:widowControl/>
        <w:numPr>
          <w:ilvl w:val="0"/>
          <w:numId w:val="44"/>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提供虚假材料谋取中标、成交的；</w:t>
      </w:r>
    </w:p>
    <w:p w14:paraId="2CA25992">
      <w:pPr>
        <w:pStyle w:val="24"/>
        <w:widowControl/>
        <w:numPr>
          <w:ilvl w:val="0"/>
          <w:numId w:val="44"/>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投标人在招标文件规定的投标有效期内撤销其投标；</w:t>
      </w:r>
    </w:p>
    <w:p w14:paraId="206116FD">
      <w:pPr>
        <w:pStyle w:val="24"/>
        <w:widowControl/>
        <w:numPr>
          <w:ilvl w:val="0"/>
          <w:numId w:val="44"/>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中标后，无正当理由放弃中标资格；</w:t>
      </w:r>
    </w:p>
    <w:p w14:paraId="2F6C5E30">
      <w:pPr>
        <w:pStyle w:val="24"/>
        <w:widowControl/>
        <w:numPr>
          <w:ilvl w:val="0"/>
          <w:numId w:val="44"/>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中标后，无正当理由不与采购人签订合同；</w:t>
      </w:r>
    </w:p>
    <w:p w14:paraId="5F1A81CE">
      <w:pPr>
        <w:pStyle w:val="24"/>
        <w:widowControl/>
        <w:numPr>
          <w:ilvl w:val="0"/>
          <w:numId w:val="44"/>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法律法规和招标文件规定的其他情形。</w:t>
      </w:r>
    </w:p>
    <w:p w14:paraId="2B151D95">
      <w:pPr>
        <w:pStyle w:val="24"/>
        <w:widowControl/>
        <w:numPr>
          <w:ilvl w:val="0"/>
          <w:numId w:val="34"/>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投标有效期</w:t>
      </w:r>
    </w:p>
    <w:p w14:paraId="7E9FEA51">
      <w:pPr>
        <w:pStyle w:val="24"/>
        <w:widowControl/>
        <w:numPr>
          <w:ilvl w:val="0"/>
          <w:numId w:val="4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7FDC3135">
      <w:pPr>
        <w:pStyle w:val="24"/>
        <w:widowControl/>
        <w:numPr>
          <w:ilvl w:val="0"/>
          <w:numId w:val="4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50C92CB">
      <w:pPr>
        <w:pStyle w:val="24"/>
        <w:widowControl/>
        <w:numPr>
          <w:ilvl w:val="0"/>
          <w:numId w:val="34"/>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样品（演示）</w:t>
      </w:r>
    </w:p>
    <w:p w14:paraId="4C84DE3A">
      <w:pPr>
        <w:pStyle w:val="24"/>
        <w:widowControl/>
        <w:numPr>
          <w:ilvl w:val="0"/>
          <w:numId w:val="4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招标文件规定投标人提交样品的，样品属于投标文件的组成部分。样品的生产、运输、安装、保全等一切费用由投标人自理。</w:t>
      </w:r>
    </w:p>
    <w:p w14:paraId="38779743">
      <w:pPr>
        <w:pStyle w:val="24"/>
        <w:widowControl/>
        <w:numPr>
          <w:ilvl w:val="0"/>
          <w:numId w:val="4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投标截止时间前，投标人应将样品送达至指定地点。若需要现场演示的，投标人应提前做好演示准备（包括演示设备）。</w:t>
      </w:r>
    </w:p>
    <w:p w14:paraId="5EFCE83B">
      <w:pPr>
        <w:pStyle w:val="24"/>
        <w:widowControl/>
        <w:numPr>
          <w:ilvl w:val="0"/>
          <w:numId w:val="4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5DB8DFBB">
      <w:pPr>
        <w:pStyle w:val="24"/>
        <w:widowControl/>
        <w:numPr>
          <w:ilvl w:val="0"/>
          <w:numId w:val="34"/>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除招标文件另有规定外，有下列情形之一的，投标无效：</w:t>
      </w:r>
    </w:p>
    <w:p w14:paraId="0613EAC8">
      <w:pPr>
        <w:pStyle w:val="24"/>
        <w:widowControl/>
        <w:numPr>
          <w:ilvl w:val="0"/>
          <w:numId w:val="4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投标文件未按照招标文件要求签署、盖章；</w:t>
      </w:r>
    </w:p>
    <w:p w14:paraId="26FBD559">
      <w:pPr>
        <w:pStyle w:val="24"/>
        <w:widowControl/>
        <w:numPr>
          <w:ilvl w:val="0"/>
          <w:numId w:val="4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不符合招标文件中规定的资格要求；</w:t>
      </w:r>
    </w:p>
    <w:p w14:paraId="3D33D050">
      <w:pPr>
        <w:pStyle w:val="24"/>
        <w:widowControl/>
        <w:numPr>
          <w:ilvl w:val="0"/>
          <w:numId w:val="4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投标报价超过招标文件中规定的预算金额或最高限价；</w:t>
      </w:r>
    </w:p>
    <w:p w14:paraId="75A74F05">
      <w:pPr>
        <w:pStyle w:val="24"/>
        <w:widowControl/>
        <w:numPr>
          <w:ilvl w:val="0"/>
          <w:numId w:val="4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w:t>
      </w:r>
    </w:p>
    <w:p w14:paraId="6198E270">
      <w:pPr>
        <w:pStyle w:val="24"/>
        <w:widowControl/>
        <w:numPr>
          <w:ilvl w:val="0"/>
          <w:numId w:val="4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有关法律、法规和规章及招标文件规定的其他无效情形。</w:t>
      </w:r>
    </w:p>
    <w:p w14:paraId="6E0CE545">
      <w:pPr>
        <w:pStyle w:val="24"/>
        <w:widowControl/>
        <w:numPr>
          <w:ilvl w:val="0"/>
          <w:numId w:val="25"/>
        </w:numPr>
        <w:spacing w:before="217" w:beforeLines="50"/>
        <w:ind w:left="442" w:hanging="442"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开标、评标和定标</w:t>
      </w:r>
    </w:p>
    <w:p w14:paraId="0333D7ED">
      <w:pPr>
        <w:pStyle w:val="24"/>
        <w:widowControl/>
        <w:numPr>
          <w:ilvl w:val="3"/>
          <w:numId w:val="48"/>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开标</w:t>
      </w:r>
    </w:p>
    <w:p w14:paraId="15E59F05">
      <w:pPr>
        <w:pStyle w:val="24"/>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采购代理机构按投标邀请中规定的日期、时间和地点组织公开开标。开标时邀请所有投标人代表参加。参加开标的法定代表人或其授权代表携带有效身份证签名报到以证明其出席。</w:t>
      </w:r>
    </w:p>
    <w:p w14:paraId="2C1EFAAA">
      <w:pPr>
        <w:pStyle w:val="24"/>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开标由采购代理机构主持，邀请投标人参加。评标委员会成员不得参加开标活动。</w:t>
      </w:r>
    </w:p>
    <w:p w14:paraId="215E0431">
      <w:pPr>
        <w:pStyle w:val="24"/>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投标人不足3家的，不得开标。</w:t>
      </w:r>
    </w:p>
    <w:p w14:paraId="401BB568">
      <w:pPr>
        <w:pStyle w:val="24"/>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AA69864">
      <w:pPr>
        <w:pStyle w:val="24"/>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开标过程应当由采购人或者采购代理机构负责记录，由参加开标的各投标人代表和相关工作人员签字确认。</w:t>
      </w:r>
    </w:p>
    <w:p w14:paraId="42DA67FB">
      <w:pPr>
        <w:pStyle w:val="24"/>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4877075F">
      <w:pPr>
        <w:pStyle w:val="24"/>
        <w:widowControl/>
        <w:numPr>
          <w:ilvl w:val="0"/>
          <w:numId w:val="4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投标人未参加开标的，视同认可开标结果。</w:t>
      </w:r>
    </w:p>
    <w:p w14:paraId="107895FD">
      <w:pPr>
        <w:pStyle w:val="24"/>
        <w:widowControl/>
        <w:numPr>
          <w:ilvl w:val="3"/>
          <w:numId w:val="48"/>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评审（详见第四章）</w:t>
      </w:r>
    </w:p>
    <w:p w14:paraId="55832FF5">
      <w:pPr>
        <w:pStyle w:val="24"/>
        <w:widowControl/>
        <w:numPr>
          <w:ilvl w:val="3"/>
          <w:numId w:val="48"/>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211EEBB7">
      <w:pPr>
        <w:pStyle w:val="24"/>
        <w:widowControl/>
        <w:numPr>
          <w:ilvl w:val="0"/>
          <w:numId w:val="50"/>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中标公告：</w:t>
      </w:r>
    </w:p>
    <w:p w14:paraId="3331311B">
      <w:pPr>
        <w:pStyle w:val="24"/>
        <w:widowControl/>
        <w:numPr>
          <w:ilvl w:val="0"/>
          <w:numId w:val="51"/>
        </w:numPr>
        <w:ind w:left="709" w:hanging="709" w:firstLineChars="0"/>
        <w:jc w:val="left"/>
        <w:rPr>
          <w:rFonts w:hint="eastAsia" w:ascii="宋体" w:hAnsi="宋体" w:eastAsia="宋体" w:cs="Times New Roman"/>
          <w:kern w:val="0"/>
          <w:szCs w:val="21"/>
        </w:rPr>
      </w:pPr>
      <w:r>
        <w:rPr>
          <w:rFonts w:hint="eastAsia" w:ascii="宋体" w:hAnsi="宋体" w:eastAsia="宋体" w:cs="Times New Roman"/>
          <w:kern w:val="0"/>
          <w:szCs w:val="21"/>
        </w:rPr>
        <w:t>采购人或者采购代理机构应当自中标人确定之日起</w:t>
      </w:r>
      <w:r>
        <w:rPr>
          <w:rFonts w:ascii="宋体" w:hAnsi="宋体" w:eastAsia="宋体" w:cs="Times New Roman"/>
          <w:kern w:val="0"/>
          <w:szCs w:val="21"/>
        </w:rPr>
        <w:t>2个工作日内在</w:t>
      </w:r>
      <w:bookmarkStart w:id="16" w:name="_Hlk169881051"/>
      <w:r>
        <w:rPr>
          <w:rFonts w:ascii="宋体" w:hAnsi="宋体" w:eastAsia="宋体" w:cs="Times New Roman"/>
          <w:kern w:val="0"/>
          <w:szCs w:val="21"/>
        </w:rPr>
        <w:t>指定媒体</w:t>
      </w:r>
      <w:bookmarkEnd w:id="16"/>
      <w:r>
        <w:rPr>
          <w:rFonts w:ascii="宋体" w:hAnsi="宋体" w:eastAsia="宋体" w:cs="Times New Roman"/>
          <w:kern w:val="0"/>
          <w:szCs w:val="21"/>
        </w:rPr>
        <w:t>公告中标结果和发出中标通知书，公告期为1个工作日。</w:t>
      </w:r>
    </w:p>
    <w:p w14:paraId="4EA46831">
      <w:pPr>
        <w:pStyle w:val="24"/>
        <w:widowControl/>
        <w:numPr>
          <w:ilvl w:val="0"/>
          <w:numId w:val="50"/>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w:t>
      </w:r>
    </w:p>
    <w:p w14:paraId="09222DF8">
      <w:pPr>
        <w:pStyle w:val="24"/>
        <w:widowControl/>
        <w:numPr>
          <w:ilvl w:val="0"/>
          <w:numId w:val="52"/>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中标通知书对中标人和采购人具有同等法律效力。</w:t>
      </w:r>
    </w:p>
    <w:p w14:paraId="097ECE9D">
      <w:pPr>
        <w:pStyle w:val="24"/>
        <w:widowControl/>
        <w:numPr>
          <w:ilvl w:val="0"/>
          <w:numId w:val="52"/>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中标通知书发出后，采购人不得违法改变中标结果，中标人无正当理由不得放弃中标。</w:t>
      </w:r>
    </w:p>
    <w:p w14:paraId="1EB885EC">
      <w:pPr>
        <w:pStyle w:val="24"/>
        <w:widowControl/>
        <w:numPr>
          <w:ilvl w:val="0"/>
          <w:numId w:val="52"/>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中标通知书将作为授予合同资格的合法依据，是合同的一个组成部分。</w:t>
      </w:r>
    </w:p>
    <w:p w14:paraId="7028041E">
      <w:pPr>
        <w:pStyle w:val="24"/>
        <w:widowControl/>
        <w:numPr>
          <w:ilvl w:val="0"/>
          <w:numId w:val="25"/>
        </w:numPr>
        <w:spacing w:before="217" w:beforeLines="50"/>
        <w:ind w:left="442" w:hanging="442"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询问、质疑与投诉</w:t>
      </w:r>
    </w:p>
    <w:p w14:paraId="112E35CF">
      <w:pPr>
        <w:pStyle w:val="24"/>
        <w:widowControl/>
        <w:numPr>
          <w:ilvl w:val="3"/>
          <w:numId w:val="53"/>
        </w:numPr>
        <w:tabs>
          <w:tab w:val="left" w:pos="426"/>
          <w:tab w:val="left" w:pos="709"/>
          <w:tab w:val="left" w:pos="993"/>
          <w:tab w:val="left" w:pos="1418"/>
        </w:tabs>
        <w:ind w:hanging="1760"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询问</w:t>
      </w:r>
    </w:p>
    <w:p w14:paraId="47DBAAFE">
      <w:pPr>
        <w:pStyle w:val="24"/>
        <w:widowControl/>
        <w:numPr>
          <w:ilvl w:val="0"/>
          <w:numId w:val="5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30AE1E7">
      <w:pPr>
        <w:pStyle w:val="24"/>
        <w:widowControl/>
        <w:numPr>
          <w:ilvl w:val="3"/>
          <w:numId w:val="53"/>
        </w:numPr>
        <w:tabs>
          <w:tab w:val="left" w:pos="426"/>
          <w:tab w:val="left" w:pos="709"/>
          <w:tab w:val="left" w:pos="993"/>
          <w:tab w:val="left" w:pos="1418"/>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质疑</w:t>
      </w:r>
    </w:p>
    <w:p w14:paraId="7C3AF7B7">
      <w:pPr>
        <w:pStyle w:val="24"/>
        <w:widowControl/>
        <w:numPr>
          <w:ilvl w:val="0"/>
          <w:numId w:val="5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680301D9">
      <w:pPr>
        <w:pStyle w:val="24"/>
        <w:widowControl/>
        <w:numPr>
          <w:ilvl w:val="0"/>
          <w:numId w:val="56"/>
        </w:numPr>
        <w:tabs>
          <w:tab w:val="left" w:pos="709"/>
        </w:tabs>
        <w:ind w:firstLineChars="0"/>
        <w:jc w:val="left"/>
        <w:rPr>
          <w:rFonts w:hint="eastAsia" w:ascii="宋体" w:hAnsi="宋体" w:eastAsia="宋体" w:cs="Times New Roman"/>
          <w:kern w:val="0"/>
          <w:szCs w:val="21"/>
        </w:rPr>
      </w:pPr>
      <w:r>
        <w:rPr>
          <w:rFonts w:ascii="宋体" w:hAnsi="宋体" w:eastAsia="宋体" w:cs="Times New Roman"/>
          <w:kern w:val="0"/>
          <w:szCs w:val="21"/>
          <w:lang w:eastAsia="zh-Hans"/>
        </w:rPr>
        <w:t>对招标文件提出质疑的，为获取招标文件之日或者招标文件公告期限届满之日；</w:t>
      </w:r>
    </w:p>
    <w:p w14:paraId="5F93D80E">
      <w:pPr>
        <w:pStyle w:val="24"/>
        <w:widowControl/>
        <w:numPr>
          <w:ilvl w:val="0"/>
          <w:numId w:val="56"/>
        </w:numPr>
        <w:tabs>
          <w:tab w:val="left" w:pos="709"/>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对采购过程提出质疑的，为各采购程序环节结束之日；</w:t>
      </w:r>
    </w:p>
    <w:p w14:paraId="48F88414">
      <w:pPr>
        <w:pStyle w:val="24"/>
        <w:widowControl/>
        <w:numPr>
          <w:ilvl w:val="0"/>
          <w:numId w:val="56"/>
        </w:numPr>
        <w:tabs>
          <w:tab w:val="left" w:pos="709"/>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对中标结果提出质疑的，为中标结果公告期限届满之日。</w:t>
      </w:r>
    </w:p>
    <w:p w14:paraId="77B9B897">
      <w:pPr>
        <w:pStyle w:val="24"/>
        <w:widowControl/>
        <w:numPr>
          <w:ilvl w:val="0"/>
          <w:numId w:val="5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质疑函应当包括下列主要内容：</w:t>
      </w:r>
    </w:p>
    <w:p w14:paraId="4701235B">
      <w:pPr>
        <w:pStyle w:val="24"/>
        <w:widowControl/>
        <w:numPr>
          <w:ilvl w:val="0"/>
          <w:numId w:val="57"/>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质疑供应商和相关供应商的名称、地址、邮编、联系人及联系电话等；</w:t>
      </w:r>
    </w:p>
    <w:p w14:paraId="28609445">
      <w:pPr>
        <w:pStyle w:val="24"/>
        <w:widowControl/>
        <w:numPr>
          <w:ilvl w:val="0"/>
          <w:numId w:val="57"/>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质疑项目名称及编号、具体明确的质疑事项和与质疑事项相关的请求；</w:t>
      </w:r>
    </w:p>
    <w:p w14:paraId="425CC6C1">
      <w:pPr>
        <w:pStyle w:val="24"/>
        <w:widowControl/>
        <w:numPr>
          <w:ilvl w:val="0"/>
          <w:numId w:val="57"/>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认为采购文件、采购过程、中标和成交结果使自己的合法权益受到损害的法律依据、事实依据、相关证明材料及证据来源；</w:t>
      </w:r>
    </w:p>
    <w:p w14:paraId="5479D4BA">
      <w:pPr>
        <w:pStyle w:val="24"/>
        <w:widowControl/>
        <w:numPr>
          <w:ilvl w:val="0"/>
          <w:numId w:val="57"/>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提出质疑的日期。</w:t>
      </w:r>
    </w:p>
    <w:p w14:paraId="4D13565D">
      <w:pPr>
        <w:pStyle w:val="24"/>
        <w:widowControl/>
        <w:numPr>
          <w:ilvl w:val="0"/>
          <w:numId w:val="5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2D86B91C">
      <w:pPr>
        <w:pStyle w:val="24"/>
        <w:widowControl/>
        <w:numPr>
          <w:ilvl w:val="0"/>
          <w:numId w:val="5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以联合体形式参加采购活动的，其质疑应当由联合体成员委托主体提出。</w:t>
      </w:r>
    </w:p>
    <w:p w14:paraId="1544A4D0">
      <w:pPr>
        <w:pStyle w:val="24"/>
        <w:widowControl/>
        <w:numPr>
          <w:ilvl w:val="0"/>
          <w:numId w:val="55"/>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w:t>
      </w:r>
      <w:r>
        <w:rPr>
          <w:rFonts w:ascii="宋体" w:hAnsi="宋体" w:eastAsia="宋体" w:cs="Times New Roman"/>
          <w:color w:val="auto"/>
          <w:kern w:val="0"/>
          <w:szCs w:val="21"/>
          <w:lang w:eastAsia="zh-Hans"/>
        </w:rPr>
        <w:t>代理机构有权将质疑函转发质疑事项各关联方，请其作出解释说明。对捏造事实、滥用维权扰乱采购秩序的恶意质疑者，将上报</w:t>
      </w:r>
      <w:r>
        <w:rPr>
          <w:rFonts w:hint="eastAsia" w:ascii="宋体" w:hAnsi="宋体" w:eastAsia="宋体" w:cs="Times New Roman"/>
          <w:color w:val="auto"/>
          <w:kern w:val="0"/>
          <w:szCs w:val="21"/>
          <w:lang w:val="en-US" w:eastAsia="zh-CN"/>
        </w:rPr>
        <w:t>采购人有关</w:t>
      </w:r>
      <w:r>
        <w:rPr>
          <w:rFonts w:ascii="宋体" w:hAnsi="宋体" w:eastAsia="宋体" w:cs="Times New Roman"/>
          <w:color w:val="auto"/>
          <w:kern w:val="0"/>
          <w:szCs w:val="21"/>
          <w:lang w:eastAsia="zh-Hans"/>
        </w:rPr>
        <w:t>部门依法处理。</w:t>
      </w:r>
    </w:p>
    <w:p w14:paraId="2DFD9ECA">
      <w:pPr>
        <w:pStyle w:val="24"/>
        <w:widowControl/>
        <w:numPr>
          <w:ilvl w:val="0"/>
          <w:numId w:val="55"/>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质疑联系方式如下：</w:t>
      </w:r>
    </w:p>
    <w:p w14:paraId="24510479">
      <w:pPr>
        <w:widowControl/>
        <w:ind w:firstLine="480"/>
        <w:jc w:val="left"/>
        <w:rPr>
          <w:rFonts w:hint="default"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质疑联系人：</w:t>
      </w:r>
      <w:r>
        <w:rPr>
          <w:rFonts w:hint="eastAsia" w:ascii="宋体" w:hAnsi="宋体" w:eastAsia="宋体" w:cs="Times New Roman"/>
          <w:color w:val="auto"/>
          <w:kern w:val="0"/>
          <w:szCs w:val="21"/>
          <w:lang w:val="en-US" w:eastAsia="zh-CN"/>
        </w:rPr>
        <w:t>何舜禹</w:t>
      </w:r>
    </w:p>
    <w:p w14:paraId="297D8C7F">
      <w:pPr>
        <w:widowControl/>
        <w:ind w:firstLine="480"/>
        <w:jc w:val="left"/>
        <w:rPr>
          <w:rFonts w:hint="eastAsia" w:ascii="宋体" w:hAnsi="宋体" w:eastAsia="宋体" w:cs="Times New Roman"/>
          <w:color w:val="auto"/>
          <w:kern w:val="0"/>
          <w:szCs w:val="21"/>
          <w:lang w:eastAsia="zh-Hans"/>
        </w:rPr>
      </w:pPr>
      <w:bookmarkStart w:id="17" w:name="_Hlk170237862"/>
      <w:r>
        <w:rPr>
          <w:rFonts w:ascii="宋体" w:hAnsi="宋体" w:eastAsia="宋体" w:cs="Times New Roman"/>
          <w:color w:val="auto"/>
          <w:kern w:val="0"/>
          <w:szCs w:val="21"/>
          <w:lang w:eastAsia="zh-Hans"/>
        </w:rPr>
        <w:t>电话：（0769）22367009</w:t>
      </w:r>
    </w:p>
    <w:p w14:paraId="7A2DC0F4">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邮箱：zhcity_gd@163.com</w:t>
      </w:r>
    </w:p>
    <w:p w14:paraId="5D822C0C">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lang w:eastAsia="zh-Hans"/>
        </w:rPr>
        <w:t>东莞市南城街道雅园产业园区路5号1栋1楼</w:t>
      </w:r>
    </w:p>
    <w:p w14:paraId="5A2E5EEE">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邮编：523000</w:t>
      </w:r>
      <w:bookmarkEnd w:id="17"/>
    </w:p>
    <w:p w14:paraId="18E92EBF">
      <w:pPr>
        <w:widowControl/>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3.投诉</w:t>
      </w:r>
    </w:p>
    <w:p w14:paraId="1428A8B9">
      <w:pPr>
        <w:pStyle w:val="24"/>
        <w:widowControl/>
        <w:numPr>
          <w:ilvl w:val="0"/>
          <w:numId w:val="58"/>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质疑人对采购人或采购</w:t>
      </w:r>
      <w:r>
        <w:rPr>
          <w:rFonts w:ascii="宋体" w:hAnsi="宋体" w:eastAsia="宋体" w:cs="Times New Roman"/>
          <w:color w:val="auto"/>
          <w:kern w:val="0"/>
          <w:szCs w:val="21"/>
          <w:lang w:eastAsia="zh-Hans"/>
        </w:rPr>
        <w:t>代理机构的质疑答复不满意或在规定时间内未得到答复的，可以在答复期满后15个工作日内，向本项目</w:t>
      </w:r>
      <w:r>
        <w:rPr>
          <w:rFonts w:hint="eastAsia" w:ascii="宋体" w:hAnsi="宋体" w:eastAsia="宋体" w:cs="Times New Roman"/>
          <w:color w:val="auto"/>
          <w:kern w:val="0"/>
          <w:szCs w:val="21"/>
          <w:lang w:val="en-US" w:eastAsia="zh-CN"/>
        </w:rPr>
        <w:t>采购人有关</w:t>
      </w:r>
      <w:r>
        <w:rPr>
          <w:rFonts w:ascii="宋体" w:hAnsi="宋体" w:eastAsia="宋体" w:cs="Times New Roman"/>
          <w:color w:val="auto"/>
          <w:kern w:val="0"/>
          <w:szCs w:val="21"/>
          <w:lang w:eastAsia="zh-Hans"/>
        </w:rPr>
        <w:t>部门提起投诉。</w:t>
      </w:r>
    </w:p>
    <w:p w14:paraId="2AEC894A">
      <w:pPr>
        <w:pStyle w:val="24"/>
        <w:widowControl/>
        <w:numPr>
          <w:ilvl w:val="0"/>
          <w:numId w:val="25"/>
        </w:numPr>
        <w:spacing w:before="217" w:beforeLines="50"/>
        <w:ind w:left="442" w:hanging="442" w:firstLineChars="0"/>
        <w:jc w:val="left"/>
        <w:outlineLvl w:val="3"/>
        <w:rPr>
          <w:rFonts w:hint="eastAsia" w:ascii="宋体" w:hAnsi="宋体" w:eastAsia="宋体" w:cs="Times New Roman"/>
          <w:color w:val="auto"/>
          <w:kern w:val="0"/>
          <w:szCs w:val="21"/>
        </w:rPr>
      </w:pPr>
      <w:r>
        <w:rPr>
          <w:rFonts w:ascii="宋体" w:hAnsi="宋体" w:eastAsia="宋体" w:cs="Times New Roman"/>
          <w:b/>
          <w:color w:val="auto"/>
          <w:kern w:val="0"/>
          <w:szCs w:val="21"/>
          <w:lang w:eastAsia="zh-Hans"/>
        </w:rPr>
        <w:t>履约担保</w:t>
      </w:r>
      <w:r>
        <w:rPr>
          <w:rFonts w:hint="eastAsia" w:ascii="宋体" w:hAnsi="宋体" w:eastAsia="宋体" w:cs="Times New Roman"/>
          <w:b/>
          <w:color w:val="auto"/>
          <w:kern w:val="0"/>
          <w:szCs w:val="21"/>
          <w:lang w:eastAsia="zh-CN"/>
        </w:rPr>
        <w:t>（</w:t>
      </w:r>
      <w:r>
        <w:rPr>
          <w:rFonts w:hint="eastAsia" w:ascii="宋体" w:hAnsi="宋体" w:eastAsia="宋体" w:cs="Times New Roman"/>
          <w:b/>
          <w:color w:val="auto"/>
          <w:kern w:val="0"/>
          <w:szCs w:val="21"/>
          <w:lang w:val="en-US" w:eastAsia="zh-CN"/>
        </w:rPr>
        <w:t>本项目不收取</w:t>
      </w:r>
      <w:r>
        <w:rPr>
          <w:rFonts w:hint="eastAsia" w:ascii="宋体" w:hAnsi="宋体" w:eastAsia="宋体" w:cs="Times New Roman"/>
          <w:b/>
          <w:color w:val="auto"/>
          <w:kern w:val="0"/>
          <w:szCs w:val="21"/>
          <w:lang w:eastAsia="zh-CN"/>
        </w:rPr>
        <w:t>）</w:t>
      </w:r>
    </w:p>
    <w:p w14:paraId="5885604F">
      <w:pPr>
        <w:pStyle w:val="24"/>
        <w:widowControl/>
        <w:numPr>
          <w:ilvl w:val="0"/>
          <w:numId w:val="59"/>
        </w:numPr>
        <w:ind w:left="442" w:hanging="442"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应按须知前附表要求向采购人缴纳履约担保（如采用保函形式，格式详见招标文件第</w:t>
      </w:r>
      <w:r>
        <w:rPr>
          <w:rFonts w:hint="eastAsia" w:ascii="宋体" w:hAnsi="宋体" w:eastAsia="宋体" w:cs="Times New Roman"/>
          <w:color w:val="auto"/>
          <w:kern w:val="0"/>
          <w:szCs w:val="21"/>
        </w:rPr>
        <w:t>六章</w:t>
      </w:r>
      <w:r>
        <w:rPr>
          <w:rFonts w:ascii="宋体" w:hAnsi="宋体" w:eastAsia="宋体" w:cs="Times New Roman"/>
          <w:color w:val="auto"/>
          <w:kern w:val="0"/>
          <w:szCs w:val="21"/>
        </w:rPr>
        <w:t>投标文件格式</w:t>
      </w:r>
      <w:r>
        <w:rPr>
          <w:rFonts w:hint="eastAsia" w:ascii="宋体" w:hAnsi="宋体" w:eastAsia="宋体" w:cs="Times New Roman"/>
          <w:color w:val="auto"/>
          <w:kern w:val="0"/>
          <w:szCs w:val="21"/>
        </w:rPr>
        <w:t>-履约担保</w:t>
      </w:r>
      <w:r>
        <w:rPr>
          <w:rFonts w:ascii="宋体" w:hAnsi="宋体" w:eastAsia="宋体" w:cs="Times New Roman"/>
          <w:color w:val="auto"/>
          <w:kern w:val="0"/>
          <w:szCs w:val="21"/>
        </w:rPr>
        <w:t>）。履约担保可以采用银行转账或</w:t>
      </w:r>
      <w:r>
        <w:rPr>
          <w:rFonts w:hint="eastAsia" w:ascii="宋体" w:hAnsi="宋体" w:eastAsia="宋体" w:cs="Times New Roman"/>
          <w:color w:val="auto"/>
          <w:kern w:val="0"/>
          <w:szCs w:val="21"/>
        </w:rPr>
        <w:t>支票、汇票、本票或者金融机构、担保机构出具的保函等非现金形式提交。</w:t>
      </w:r>
    </w:p>
    <w:p w14:paraId="0835AED0">
      <w:pPr>
        <w:pStyle w:val="24"/>
        <w:widowControl/>
        <w:numPr>
          <w:ilvl w:val="0"/>
          <w:numId w:val="59"/>
        </w:numPr>
        <w:ind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在整个项目验收合格后，中标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向采购人提交退回履约保证金的申请，采购人办理履约保证金退还手续，将履约保证金退回原中标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的汇入账户。</w:t>
      </w:r>
    </w:p>
    <w:p w14:paraId="55606161">
      <w:pPr>
        <w:pStyle w:val="24"/>
        <w:widowControl/>
        <w:numPr>
          <w:ilvl w:val="0"/>
          <w:numId w:val="25"/>
        </w:numPr>
        <w:spacing w:before="217" w:beforeLines="50"/>
        <w:ind w:left="442" w:hanging="442"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合同签订和履行</w:t>
      </w:r>
    </w:p>
    <w:p w14:paraId="4749BA7B">
      <w:pPr>
        <w:pStyle w:val="24"/>
        <w:widowControl/>
        <w:numPr>
          <w:ilvl w:val="3"/>
          <w:numId w:val="60"/>
        </w:numPr>
        <w:tabs>
          <w:tab w:val="left" w:pos="426"/>
          <w:tab w:val="left" w:pos="709"/>
          <w:tab w:val="left" w:pos="1134"/>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合同签订</w:t>
      </w:r>
    </w:p>
    <w:p w14:paraId="3D3EAE1F">
      <w:pPr>
        <w:pStyle w:val="24"/>
        <w:widowControl/>
        <w:numPr>
          <w:ilvl w:val="0"/>
          <w:numId w:val="6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5237C1F8">
      <w:pPr>
        <w:pStyle w:val="24"/>
        <w:widowControl/>
        <w:numPr>
          <w:ilvl w:val="0"/>
          <w:numId w:val="6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采购人不得提出试用合格等任何不合理的要求作为签订合同的条件，且不得与中标供应商私下订立背离合同实质性内容的协议。</w:t>
      </w:r>
    </w:p>
    <w:p w14:paraId="041F70CF">
      <w:pPr>
        <w:pStyle w:val="24"/>
        <w:widowControl/>
        <w:numPr>
          <w:ilvl w:val="3"/>
          <w:numId w:val="60"/>
        </w:numPr>
        <w:tabs>
          <w:tab w:val="left" w:pos="426"/>
          <w:tab w:val="left" w:pos="709"/>
          <w:tab w:val="left" w:pos="1134"/>
        </w:tabs>
        <w:ind w:hanging="1760"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kern w:val="0"/>
          <w:szCs w:val="21"/>
          <w:lang w:eastAsia="zh-Hans"/>
        </w:rPr>
        <w:t>合同的履行</w:t>
      </w:r>
    </w:p>
    <w:p w14:paraId="4B335AF8">
      <w:pPr>
        <w:pStyle w:val="24"/>
        <w:widowControl/>
        <w:numPr>
          <w:ilvl w:val="0"/>
          <w:numId w:val="62"/>
        </w:numPr>
        <w:ind w:firstLineChars="0"/>
        <w:jc w:val="left"/>
        <w:rPr>
          <w:rFonts w:hint="eastAsia" w:ascii="宋体" w:hAnsi="宋体" w:eastAsia="宋体" w:cs="Times New Roman"/>
          <w:color w:val="auto"/>
          <w:kern w:val="0"/>
          <w:szCs w:val="21"/>
          <w:lang w:eastAsia="zh-Hans"/>
        </w:rPr>
      </w:pPr>
      <w:bookmarkStart w:id="18" w:name="_Hlk170237916"/>
      <w:r>
        <w:rPr>
          <w:rFonts w:ascii="宋体" w:hAnsi="宋体" w:eastAsia="宋体" w:cs="Times New Roman"/>
          <w:color w:val="auto"/>
          <w:kern w:val="0"/>
          <w:szCs w:val="21"/>
          <w:lang w:eastAsia="zh-Hans"/>
        </w:rPr>
        <w:t>采购合同订立后，合同各方不得擅自变更、中止或者终止合同。采购合同需要变更的，采购人应将有关合同变更内容，以书面形式报</w:t>
      </w:r>
      <w:r>
        <w:rPr>
          <w:rFonts w:hint="eastAsia" w:ascii="宋体" w:hAnsi="宋体" w:eastAsia="宋体" w:cs="Times New Roman"/>
          <w:color w:val="auto"/>
          <w:kern w:val="0"/>
          <w:szCs w:val="21"/>
          <w:lang w:val="en-US" w:eastAsia="zh-CN"/>
        </w:rPr>
        <w:t>采购人有关</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备案；因特殊情况需要中止或终止合同的，采购人应将中止或终止合同的理由以及相应措施，以书面形式报</w:t>
      </w:r>
      <w:r>
        <w:rPr>
          <w:rFonts w:hint="eastAsia" w:ascii="宋体" w:hAnsi="宋体" w:eastAsia="宋体" w:cs="Times New Roman"/>
          <w:color w:val="auto"/>
          <w:kern w:val="0"/>
          <w:szCs w:val="21"/>
          <w:lang w:val="en-US" w:eastAsia="zh-CN"/>
        </w:rPr>
        <w:t>采购人有关</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w:t>
      </w:r>
      <w:bookmarkEnd w:id="18"/>
    </w:p>
    <w:p w14:paraId="4A50E354">
      <w:pPr>
        <w:pStyle w:val="24"/>
        <w:widowControl/>
        <w:numPr>
          <w:ilvl w:val="0"/>
          <w:numId w:val="62"/>
        </w:numPr>
        <w:tabs>
          <w:tab w:val="left" w:pos="993"/>
        </w:tabs>
        <w:ind w:firstLineChars="0"/>
        <w:jc w:val="left"/>
        <w:rPr>
          <w:rFonts w:hint="eastAsia" w:ascii="宋体" w:hAnsi="宋体" w:eastAsia="宋体" w:cs="Times New Roman"/>
          <w:kern w:val="0"/>
          <w:szCs w:val="21"/>
          <w:lang w:eastAsia="zh-Hans"/>
        </w:rPr>
      </w:pPr>
      <w:r>
        <w:rPr>
          <w:rFonts w:ascii="宋体" w:hAnsi="宋体" w:eastAsia="宋体" w:cs="Times New Roman"/>
          <w:color w:val="auto"/>
          <w:kern w:val="0"/>
          <w:szCs w:val="21"/>
          <w:lang w:eastAsia="zh-Hans"/>
        </w:rPr>
        <w:t>采购合同履行中，采购人需追加与合同标的相同的货物、工程或者服务的，在不改变合同其他条款的前提下，可以与中标人签订补充合同，但所补充合同</w:t>
      </w:r>
      <w:r>
        <w:rPr>
          <w:rFonts w:ascii="宋体" w:hAnsi="宋体" w:eastAsia="宋体" w:cs="Times New Roman"/>
          <w:kern w:val="0"/>
          <w:szCs w:val="21"/>
          <w:lang w:eastAsia="zh-Hans"/>
        </w:rPr>
        <w:t>的采购金额不得超过原合同采购金额的百分之十。</w:t>
      </w:r>
      <w:bookmarkStart w:id="19" w:name="_Hlk170237986"/>
      <w:r>
        <w:rPr>
          <w:rFonts w:ascii="宋体" w:hAnsi="宋体" w:eastAsia="宋体" w:cs="Times New Roman"/>
          <w:kern w:val="0"/>
          <w:szCs w:val="21"/>
          <w:lang w:eastAsia="zh-Hans"/>
        </w:rPr>
        <w:t>签订补充合同的必须按规定备案。</w:t>
      </w:r>
    </w:p>
    <w:bookmarkEnd w:id="19"/>
    <w:p w14:paraId="2CDAF3E8">
      <w:pPr>
        <w:pageBreakBefore/>
        <w:widowControl/>
        <w:jc w:val="center"/>
        <w:outlineLvl w:val="1"/>
        <w:rPr>
          <w:rFonts w:ascii="Calibri" w:hAnsi="Calibri" w:eastAsia="宋体" w:cs="Times New Roman"/>
          <w:kern w:val="0"/>
          <w:sz w:val="20"/>
          <w:szCs w:val="20"/>
          <w:lang w:eastAsia="zh-Hans"/>
        </w:rPr>
      </w:pPr>
      <w:bookmarkStart w:id="20" w:name="_Toc169799781"/>
      <w:bookmarkStart w:id="21" w:name="_Toc169807543"/>
      <w:r>
        <w:rPr>
          <w:rFonts w:ascii="Calibri" w:hAnsi="Calibri" w:eastAsia="宋体" w:cs="Times New Roman"/>
          <w:b/>
          <w:kern w:val="0"/>
          <w:sz w:val="36"/>
          <w:szCs w:val="20"/>
          <w:lang w:eastAsia="zh-Hans"/>
        </w:rPr>
        <w:t>第四章 评标</w:t>
      </w:r>
      <w:bookmarkEnd w:id="20"/>
      <w:bookmarkEnd w:id="21"/>
    </w:p>
    <w:p w14:paraId="37A72DD4">
      <w:pPr>
        <w:pStyle w:val="24"/>
        <w:numPr>
          <w:ilvl w:val="0"/>
          <w:numId w:val="63"/>
        </w:numPr>
        <w:ind w:firstLineChars="0"/>
        <w:rPr>
          <w:rFonts w:hint="eastAsia" w:ascii="宋体" w:hAnsi="宋体" w:eastAsia="宋体"/>
          <w:b/>
          <w:bCs/>
        </w:rPr>
      </w:pPr>
      <w:r>
        <w:rPr>
          <w:rFonts w:ascii="宋体" w:hAnsi="宋体" w:eastAsia="宋体"/>
          <w:b/>
          <w:bCs/>
        </w:rPr>
        <w:t>评标要求</w:t>
      </w:r>
    </w:p>
    <w:p w14:paraId="2557D595">
      <w:pPr>
        <w:pStyle w:val="24"/>
        <w:widowControl/>
        <w:numPr>
          <w:ilvl w:val="3"/>
          <w:numId w:val="64"/>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评标方法</w:t>
      </w:r>
    </w:p>
    <w:p w14:paraId="027B3137">
      <w:pPr>
        <w:pStyle w:val="24"/>
        <w:widowControl/>
        <w:numPr>
          <w:ilvl w:val="0"/>
          <w:numId w:val="65"/>
        </w:numPr>
        <w:ind w:firstLineChars="0"/>
        <w:jc w:val="left"/>
        <w:rPr>
          <w:rFonts w:hint="eastAsia" w:ascii="宋体" w:hAnsi="宋体" w:eastAsia="宋体" w:cs="Times New Roman"/>
          <w:kern w:val="0"/>
          <w:szCs w:val="21"/>
        </w:rPr>
      </w:pPr>
      <w:r>
        <w:rPr>
          <w:rFonts w:ascii="宋体" w:hAnsi="宋体" w:eastAsia="宋体" w:cs="Times New Roman"/>
          <w:kern w:val="0"/>
          <w:szCs w:val="21"/>
        </w:rPr>
        <w:t>本项目按照</w:t>
      </w:r>
      <w:r>
        <w:rPr>
          <w:rFonts w:hint="eastAsia" w:ascii="宋体" w:hAnsi="宋体" w:eastAsia="宋体" w:cs="Times New Roman"/>
          <w:kern w:val="0"/>
          <w:szCs w:val="21"/>
        </w:rPr>
        <w:t>综合评分法</w:t>
      </w:r>
      <w:r>
        <w:rPr>
          <w:rFonts w:ascii="宋体" w:hAnsi="宋体" w:eastAsia="宋体" w:cs="Times New Roman"/>
          <w:kern w:val="0"/>
          <w:szCs w:val="21"/>
        </w:rPr>
        <w:t>的评标方法进行评审</w:t>
      </w:r>
    </w:p>
    <w:p w14:paraId="3F49A438">
      <w:pPr>
        <w:pStyle w:val="24"/>
        <w:widowControl/>
        <w:numPr>
          <w:ilvl w:val="0"/>
          <w:numId w:val="65"/>
        </w:numPr>
        <w:ind w:firstLineChars="0"/>
        <w:jc w:val="left"/>
        <w:rPr>
          <w:rFonts w:hint="eastAsia" w:ascii="宋体" w:hAnsi="宋体" w:eastAsia="宋体" w:cs="Times New Roman"/>
          <w:kern w:val="0"/>
          <w:szCs w:val="21"/>
        </w:rPr>
      </w:pPr>
      <w:r>
        <w:rPr>
          <w:rFonts w:ascii="宋体" w:hAnsi="宋体" w:eastAsia="宋体" w:cs="Times New Roman"/>
          <w:kern w:val="0"/>
          <w:szCs w:val="21"/>
          <w:lang w:eastAsia="zh-Hans"/>
        </w:rPr>
        <w:t>综合评分法</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是指投标文件满足招标文件全部实质性要求，且按照评审因素的量化指标评审得分最高的投标人为中标候选人的评标方法。（最低报价不是中标的唯一依据。）</w:t>
      </w:r>
    </w:p>
    <w:p w14:paraId="50D25C8F">
      <w:pPr>
        <w:pStyle w:val="24"/>
        <w:widowControl/>
        <w:numPr>
          <w:ilvl w:val="3"/>
          <w:numId w:val="64"/>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评标原则</w:t>
      </w:r>
    </w:p>
    <w:p w14:paraId="30E708A2">
      <w:pPr>
        <w:pStyle w:val="24"/>
        <w:widowControl/>
        <w:numPr>
          <w:ilvl w:val="0"/>
          <w:numId w:val="66"/>
        </w:numPr>
        <w:tabs>
          <w:tab w:val="left" w:pos="426"/>
          <w:tab w:val="left" w:pos="709"/>
          <w:tab w:val="left" w:pos="993"/>
        </w:tabs>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评标活动遵循公平、公正、科学和择优的原则，以招标文件和投标文件为评标的基本依据，并按照招标文件规定的评标方法和评标标准进行评标。</w:t>
      </w:r>
    </w:p>
    <w:p w14:paraId="32B7B4DD">
      <w:pPr>
        <w:pStyle w:val="24"/>
        <w:widowControl/>
        <w:numPr>
          <w:ilvl w:val="0"/>
          <w:numId w:val="66"/>
        </w:numPr>
        <w:tabs>
          <w:tab w:val="left" w:pos="426"/>
          <w:tab w:val="left" w:pos="709"/>
          <w:tab w:val="left" w:pos="993"/>
        </w:tabs>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具体评标事项由评标委员会负责，并按招标文件的规定办法进行评审。</w:t>
      </w:r>
    </w:p>
    <w:p w14:paraId="0EA9176F">
      <w:pPr>
        <w:pStyle w:val="24"/>
        <w:widowControl/>
        <w:numPr>
          <w:ilvl w:val="0"/>
          <w:numId w:val="66"/>
        </w:numPr>
        <w:tabs>
          <w:tab w:val="left" w:pos="426"/>
          <w:tab w:val="left" w:pos="709"/>
          <w:tab w:val="left" w:pos="993"/>
        </w:tabs>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合格投标人不足须知前附表中约定的有效供应商家数的，不得评标。</w:t>
      </w:r>
    </w:p>
    <w:p w14:paraId="69B49004">
      <w:pPr>
        <w:pStyle w:val="24"/>
        <w:widowControl/>
        <w:numPr>
          <w:ilvl w:val="3"/>
          <w:numId w:val="64"/>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评标委员会</w:t>
      </w:r>
    </w:p>
    <w:p w14:paraId="5FE6A532">
      <w:pPr>
        <w:pStyle w:val="24"/>
        <w:widowControl/>
        <w:numPr>
          <w:ilvl w:val="0"/>
          <w:numId w:val="67"/>
        </w:numPr>
        <w:tabs>
          <w:tab w:val="left" w:pos="284"/>
          <w:tab w:val="left" w:pos="426"/>
          <w:tab w:val="left" w:pos="851"/>
          <w:tab w:val="left" w:pos="1134"/>
          <w:tab w:val="left" w:pos="1560"/>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本次招标依法组建评标委员会。</w:t>
      </w:r>
    </w:p>
    <w:p w14:paraId="26D2B314">
      <w:pPr>
        <w:pStyle w:val="24"/>
        <w:widowControl/>
        <w:numPr>
          <w:ilvl w:val="0"/>
          <w:numId w:val="67"/>
        </w:numPr>
        <w:tabs>
          <w:tab w:val="left" w:pos="284"/>
          <w:tab w:val="left" w:pos="426"/>
          <w:tab w:val="left" w:pos="851"/>
          <w:tab w:val="left" w:pos="1134"/>
          <w:tab w:val="left" w:pos="1560"/>
        </w:tabs>
        <w:ind w:left="426" w:hanging="426" w:firstLineChars="0"/>
        <w:jc w:val="left"/>
        <w:rPr>
          <w:rFonts w:hint="eastAsia" w:ascii="宋体" w:hAnsi="宋体" w:eastAsia="宋体" w:cs="Times New Roman"/>
          <w:kern w:val="0"/>
          <w:szCs w:val="21"/>
        </w:rPr>
      </w:pPr>
      <w:r>
        <w:rPr>
          <w:rFonts w:ascii="宋体" w:hAnsi="宋体" w:eastAsia="宋体" w:cs="Times New Roman"/>
          <w:kern w:val="0"/>
          <w:szCs w:val="21"/>
        </w:rPr>
        <w:t>评标委员会成员名单在评标结果公告前应当保密。评审专家有下列情形之一的，受到邀请应主动提出回避，采购当事人也可以要求该评审专家回避：</w:t>
      </w:r>
    </w:p>
    <w:p w14:paraId="6068356E">
      <w:pPr>
        <w:pStyle w:val="24"/>
        <w:widowControl/>
        <w:numPr>
          <w:ilvl w:val="0"/>
          <w:numId w:val="68"/>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参加采购活动前3年内与供应商存在劳动关系；</w:t>
      </w:r>
    </w:p>
    <w:p w14:paraId="4DE72F9F">
      <w:pPr>
        <w:pStyle w:val="24"/>
        <w:widowControl/>
        <w:numPr>
          <w:ilvl w:val="0"/>
          <w:numId w:val="68"/>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参加采购活动前3年内担任供应商的董事、监事；</w:t>
      </w:r>
    </w:p>
    <w:p w14:paraId="5875FF17">
      <w:pPr>
        <w:pStyle w:val="24"/>
        <w:widowControl/>
        <w:numPr>
          <w:ilvl w:val="0"/>
          <w:numId w:val="68"/>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参加采购活动前3年内是供应商的控股股东或者实际控制人；</w:t>
      </w:r>
    </w:p>
    <w:p w14:paraId="50A4CFF4">
      <w:pPr>
        <w:pStyle w:val="24"/>
        <w:widowControl/>
        <w:numPr>
          <w:ilvl w:val="0"/>
          <w:numId w:val="68"/>
        </w:numPr>
        <w:tabs>
          <w:tab w:val="left" w:pos="709"/>
          <w:tab w:val="left" w:pos="851"/>
          <w:tab w:val="left" w:pos="1418"/>
        </w:tabs>
        <w:ind w:left="709" w:hanging="709" w:firstLineChars="0"/>
        <w:jc w:val="left"/>
        <w:rPr>
          <w:rFonts w:hint="eastAsia" w:ascii="宋体" w:hAnsi="宋体" w:eastAsia="宋体" w:cs="Times New Roman"/>
          <w:spacing w:val="-4"/>
          <w:kern w:val="0"/>
          <w:szCs w:val="21"/>
        </w:rPr>
      </w:pPr>
      <w:r>
        <w:rPr>
          <w:rFonts w:ascii="宋体" w:hAnsi="宋体" w:eastAsia="宋体" w:cs="Times New Roman"/>
          <w:spacing w:val="-4"/>
          <w:kern w:val="0"/>
          <w:szCs w:val="21"/>
        </w:rPr>
        <w:t>与供应商的法定代表人或者负责人有夫妻、直系血亲、三代以内旁系血亲或者近姻亲关系；</w:t>
      </w:r>
    </w:p>
    <w:p w14:paraId="7F94E2A0">
      <w:pPr>
        <w:pStyle w:val="24"/>
        <w:widowControl/>
        <w:numPr>
          <w:ilvl w:val="0"/>
          <w:numId w:val="68"/>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与供应商有其他可能影响采购活动公平、公正进行的关系。</w:t>
      </w:r>
    </w:p>
    <w:p w14:paraId="7E5D69C1">
      <w:pPr>
        <w:pStyle w:val="24"/>
        <w:widowControl/>
        <w:numPr>
          <w:ilvl w:val="0"/>
          <w:numId w:val="67"/>
        </w:numPr>
        <w:tabs>
          <w:tab w:val="left" w:pos="284"/>
          <w:tab w:val="left" w:pos="426"/>
          <w:tab w:val="left" w:pos="851"/>
          <w:tab w:val="left" w:pos="1134"/>
          <w:tab w:val="left" w:pos="1560"/>
        </w:tabs>
        <w:ind w:left="426" w:hanging="426" w:firstLineChars="0"/>
        <w:jc w:val="left"/>
        <w:rPr>
          <w:rFonts w:hint="eastAsia" w:ascii="宋体" w:hAnsi="宋体" w:eastAsia="宋体" w:cs="Times New Roman"/>
          <w:kern w:val="0"/>
          <w:szCs w:val="21"/>
        </w:rPr>
      </w:pPr>
      <w:r>
        <w:rPr>
          <w:rFonts w:ascii="宋体" w:hAnsi="宋体" w:eastAsia="宋体" w:cs="Times New Roman"/>
          <w:kern w:val="0"/>
          <w:szCs w:val="21"/>
        </w:rPr>
        <w:t>评标委员会负责具体评标事务，并独立履行下列职责：</w:t>
      </w:r>
    </w:p>
    <w:p w14:paraId="23A9E009">
      <w:pPr>
        <w:pStyle w:val="24"/>
        <w:widowControl/>
        <w:numPr>
          <w:ilvl w:val="0"/>
          <w:numId w:val="69"/>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审查、评价投标文件是否符合招标文件的商务、技术等实质性要求；</w:t>
      </w:r>
    </w:p>
    <w:p w14:paraId="5B110B7B">
      <w:pPr>
        <w:pStyle w:val="24"/>
        <w:widowControl/>
        <w:numPr>
          <w:ilvl w:val="0"/>
          <w:numId w:val="69"/>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要求投标人对投标文件有关事项作出澄清或者说明；</w:t>
      </w:r>
    </w:p>
    <w:p w14:paraId="7A1A4A4F">
      <w:pPr>
        <w:pStyle w:val="24"/>
        <w:widowControl/>
        <w:numPr>
          <w:ilvl w:val="0"/>
          <w:numId w:val="69"/>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对投标文件进行比较和评价；</w:t>
      </w:r>
    </w:p>
    <w:p w14:paraId="475EE2FD">
      <w:pPr>
        <w:pStyle w:val="24"/>
        <w:widowControl/>
        <w:numPr>
          <w:ilvl w:val="0"/>
          <w:numId w:val="69"/>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确定中标候选人名单，以及根据采购人委托直接确定中标人；</w:t>
      </w:r>
    </w:p>
    <w:p w14:paraId="01FF5784">
      <w:pPr>
        <w:pStyle w:val="24"/>
        <w:widowControl/>
        <w:numPr>
          <w:ilvl w:val="0"/>
          <w:numId w:val="69"/>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向采购人、采购代理机构或者有关部门报告评标中发现的违法行为。</w:t>
      </w:r>
    </w:p>
    <w:p w14:paraId="0F46D020">
      <w:pPr>
        <w:pStyle w:val="24"/>
        <w:widowControl/>
        <w:numPr>
          <w:ilvl w:val="0"/>
          <w:numId w:val="69"/>
        </w:numPr>
        <w:tabs>
          <w:tab w:val="left" w:pos="709"/>
          <w:tab w:val="left" w:pos="851"/>
          <w:tab w:val="left" w:pos="1134"/>
          <w:tab w:val="left" w:pos="1418"/>
          <w:tab w:val="left" w:pos="1701"/>
        </w:tabs>
        <w:ind w:left="709" w:hanging="709" w:firstLineChars="0"/>
        <w:jc w:val="left"/>
        <w:rPr>
          <w:rFonts w:hint="eastAsia" w:ascii="宋体" w:hAnsi="宋体" w:eastAsia="宋体" w:cs="Times New Roman"/>
          <w:kern w:val="0"/>
          <w:szCs w:val="21"/>
        </w:rPr>
      </w:pPr>
      <w:r>
        <w:rPr>
          <w:rFonts w:ascii="宋体" w:hAnsi="宋体" w:eastAsia="宋体" w:cs="Times New Roman"/>
          <w:kern w:val="0"/>
          <w:szCs w:val="21"/>
        </w:rPr>
        <w:t>对于投标文件中含义不明确、同类问题表述不一致或者有明显文字和计算错误的内容，评标委员会应当以书面形式要求投标人作出必要的澄清、说明或者补正。</w:t>
      </w:r>
    </w:p>
    <w:p w14:paraId="2F0CAC6B">
      <w:pPr>
        <w:pStyle w:val="24"/>
        <w:widowControl/>
        <w:numPr>
          <w:ilvl w:val="0"/>
          <w:numId w:val="69"/>
        </w:numPr>
        <w:tabs>
          <w:tab w:val="left" w:pos="709"/>
          <w:tab w:val="left" w:pos="851"/>
          <w:tab w:val="left" w:pos="1134"/>
          <w:tab w:val="left" w:pos="1418"/>
          <w:tab w:val="left" w:pos="1701"/>
        </w:tabs>
        <w:ind w:left="709" w:hanging="709" w:firstLineChars="0"/>
        <w:jc w:val="left"/>
        <w:rPr>
          <w:rFonts w:hint="eastAsia" w:ascii="宋体" w:hAnsi="宋体" w:eastAsia="宋体" w:cs="Times New Roman"/>
          <w:kern w:val="0"/>
          <w:szCs w:val="21"/>
        </w:rPr>
      </w:pPr>
      <w:r>
        <w:rPr>
          <w:rFonts w:ascii="宋体" w:hAnsi="宋体" w:eastAsia="宋体" w:cs="Times New Roman"/>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336648BF">
      <w:pPr>
        <w:pStyle w:val="24"/>
        <w:widowControl/>
        <w:numPr>
          <w:ilvl w:val="0"/>
          <w:numId w:val="69"/>
        </w:numPr>
        <w:tabs>
          <w:tab w:val="left" w:pos="567"/>
          <w:tab w:val="left" w:pos="709"/>
          <w:tab w:val="left" w:pos="1134"/>
          <w:tab w:val="left" w:pos="1418"/>
          <w:tab w:val="left" w:pos="1701"/>
        </w:tabs>
        <w:ind w:left="709" w:hanging="709" w:firstLineChars="0"/>
        <w:jc w:val="left"/>
        <w:rPr>
          <w:rFonts w:hint="eastAsia" w:ascii="宋体" w:hAnsi="宋体" w:eastAsia="宋体" w:cs="Times New Roman"/>
          <w:kern w:val="0"/>
          <w:szCs w:val="21"/>
        </w:rPr>
      </w:pPr>
      <w:r>
        <w:rPr>
          <w:rFonts w:ascii="宋体" w:hAnsi="宋体" w:eastAsia="宋体" w:cs="Times New Roman"/>
          <w:kern w:val="0"/>
          <w:szCs w:val="21"/>
        </w:rPr>
        <w:t>参与评标工作的所有人员必须</w:t>
      </w:r>
      <w:r>
        <w:rPr>
          <w:rFonts w:hint="eastAsia" w:ascii="宋体" w:hAnsi="宋体" w:eastAsia="宋体" w:cs="Times New Roman"/>
          <w:kern w:val="0"/>
          <w:szCs w:val="21"/>
          <w:lang w:val="en-US" w:eastAsia="zh-CN"/>
        </w:rPr>
        <w:t>参考</w:t>
      </w:r>
      <w:r>
        <w:rPr>
          <w:rFonts w:ascii="宋体" w:hAnsi="宋体" w:eastAsia="宋体" w:cs="Times New Roman"/>
          <w:kern w:val="0"/>
          <w:szCs w:val="21"/>
        </w:rPr>
        <w:t>《中华人民共和国政府采购法》、《中华人民共和国政府采购法实施条例》、财政部《政府采购货物和服务招标投标管理办法》及相关法律、法规的规定，以确保评标的公平、公正。</w:t>
      </w:r>
    </w:p>
    <w:p w14:paraId="610675EA">
      <w:pPr>
        <w:pStyle w:val="24"/>
        <w:widowControl/>
        <w:numPr>
          <w:ilvl w:val="3"/>
          <w:numId w:val="64"/>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有下列情形之一的，视为投标人串通投标，其投标无效</w:t>
      </w:r>
      <w:r>
        <w:rPr>
          <w:rFonts w:hint="eastAsia" w:ascii="宋体" w:hAnsi="宋体" w:eastAsia="宋体" w:cs="Times New Roman"/>
          <w:b/>
          <w:kern w:val="0"/>
          <w:szCs w:val="21"/>
          <w:lang w:eastAsia="zh-Hans"/>
        </w:rPr>
        <w:t>：</w:t>
      </w:r>
    </w:p>
    <w:p w14:paraId="7A28B4EA">
      <w:pPr>
        <w:pStyle w:val="24"/>
        <w:numPr>
          <w:ilvl w:val="0"/>
          <w:numId w:val="70"/>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不同投标人的投标文件由同一单位或者个人编制；</w:t>
      </w:r>
    </w:p>
    <w:p w14:paraId="19A6946D">
      <w:pPr>
        <w:pStyle w:val="24"/>
        <w:numPr>
          <w:ilvl w:val="0"/>
          <w:numId w:val="70"/>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不同投标人委托同一单位或者个人办理投标事宜；</w:t>
      </w:r>
    </w:p>
    <w:p w14:paraId="312B5335">
      <w:pPr>
        <w:pStyle w:val="24"/>
        <w:numPr>
          <w:ilvl w:val="0"/>
          <w:numId w:val="70"/>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不同投标人的投标文件载明的项目管理成员或者联系人员为同一人；</w:t>
      </w:r>
    </w:p>
    <w:p w14:paraId="5E680E84">
      <w:pPr>
        <w:pStyle w:val="24"/>
        <w:numPr>
          <w:ilvl w:val="0"/>
          <w:numId w:val="70"/>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不同投标人的投标文件异常一致或者投标报价呈规律性差异；</w:t>
      </w:r>
    </w:p>
    <w:p w14:paraId="1D2C6AFD">
      <w:pPr>
        <w:pStyle w:val="24"/>
        <w:numPr>
          <w:ilvl w:val="0"/>
          <w:numId w:val="70"/>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不同投标人的投标文件相互混装；</w:t>
      </w:r>
    </w:p>
    <w:p w14:paraId="3E85D869">
      <w:pPr>
        <w:pStyle w:val="24"/>
        <w:numPr>
          <w:ilvl w:val="0"/>
          <w:numId w:val="70"/>
        </w:numPr>
        <w:tabs>
          <w:tab w:val="left" w:pos="426"/>
          <w:tab w:val="left" w:pos="1276"/>
        </w:tabs>
        <w:ind w:hanging="2240" w:firstLineChars="0"/>
        <w:jc w:val="left"/>
        <w:rPr>
          <w:rFonts w:hint="eastAsia" w:ascii="宋体" w:hAnsi="宋体" w:eastAsia="宋体" w:cs="Times New Roman"/>
          <w:kern w:val="0"/>
          <w:szCs w:val="21"/>
          <w:lang w:eastAsia="zh-Hans"/>
        </w:rPr>
      </w:pPr>
      <w:r>
        <w:rPr>
          <w:rFonts w:hint="eastAsia" w:ascii="宋体" w:hAnsi="宋体" w:eastAsia="宋体"/>
          <w:color w:val="000000" w:themeColor="text1"/>
          <w:szCs w:val="21"/>
          <w14:textFill>
            <w14:solidFill>
              <w14:schemeClr w14:val="tx1"/>
            </w14:solidFill>
          </w14:textFill>
        </w:rPr>
        <w:t>不同投标人的投标保证金从同一单位或者个人的账户转出。</w:t>
      </w:r>
    </w:p>
    <w:p w14:paraId="4D262273">
      <w:pPr>
        <w:pStyle w:val="24"/>
        <w:widowControl/>
        <w:numPr>
          <w:ilvl w:val="3"/>
          <w:numId w:val="64"/>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投标无效的情形</w:t>
      </w:r>
    </w:p>
    <w:p w14:paraId="5EA4871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详见资格性审查、符合性审查和招标文件其他投标无效条款。</w:t>
      </w:r>
    </w:p>
    <w:p w14:paraId="36CDD662">
      <w:pPr>
        <w:pStyle w:val="24"/>
        <w:widowControl/>
        <w:numPr>
          <w:ilvl w:val="3"/>
          <w:numId w:val="64"/>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54EBDFFB">
      <w:pPr>
        <w:pStyle w:val="24"/>
        <w:widowControl/>
        <w:numPr>
          <w:ilvl w:val="0"/>
          <w:numId w:val="71"/>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14:paraId="3EA7A781">
      <w:pPr>
        <w:pStyle w:val="24"/>
        <w:widowControl/>
        <w:numPr>
          <w:ilvl w:val="3"/>
          <w:numId w:val="64"/>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价格修正</w:t>
      </w:r>
    </w:p>
    <w:p w14:paraId="3DC1263E">
      <w:pPr>
        <w:pStyle w:val="24"/>
        <w:widowControl/>
        <w:numPr>
          <w:ilvl w:val="0"/>
          <w:numId w:val="72"/>
        </w:numPr>
        <w:tabs>
          <w:tab w:val="left" w:pos="426"/>
          <w:tab w:val="left" w:pos="993"/>
          <w:tab w:val="left" w:pos="1276"/>
        </w:tabs>
        <w:ind w:hanging="2240"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对报价的计算错误按以下原则修正：</w:t>
      </w:r>
    </w:p>
    <w:p w14:paraId="4C777FCA">
      <w:pPr>
        <w:pStyle w:val="24"/>
        <w:widowControl/>
        <w:numPr>
          <w:ilvl w:val="0"/>
          <w:numId w:val="73"/>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投标文件中开标一览表内容与投标文件中相应内容不一致的，以开标一览表为准；</w:t>
      </w:r>
    </w:p>
    <w:p w14:paraId="63790B8D">
      <w:pPr>
        <w:pStyle w:val="24"/>
        <w:widowControl/>
        <w:numPr>
          <w:ilvl w:val="0"/>
          <w:numId w:val="73"/>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47E2B27D">
      <w:pPr>
        <w:pStyle w:val="24"/>
        <w:widowControl/>
        <w:numPr>
          <w:ilvl w:val="0"/>
          <w:numId w:val="73"/>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单价金额小数点或者百分比有明显错位的，以开标一览表的总价为准，并修改单价</w:t>
      </w:r>
      <w:r>
        <w:rPr>
          <w:rFonts w:hint="eastAsia" w:ascii="宋体" w:hAnsi="宋体" w:eastAsia="宋体" w:cs="Times New Roman"/>
          <w:kern w:val="0"/>
          <w:szCs w:val="21"/>
          <w:lang w:eastAsia="zh-Hans"/>
        </w:rPr>
        <w:t>；</w:t>
      </w:r>
    </w:p>
    <w:p w14:paraId="39F5B2D0">
      <w:pPr>
        <w:pStyle w:val="24"/>
        <w:widowControl/>
        <w:numPr>
          <w:ilvl w:val="0"/>
          <w:numId w:val="73"/>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总价金额与按单价汇总金额不一致的，以单价金额计算结果为准。但是单价金额计算结果超过预算价的，对其按无效投标处理。</w:t>
      </w:r>
    </w:p>
    <w:p w14:paraId="3AA1C227">
      <w:pPr>
        <w:widowControl/>
        <w:jc w:val="left"/>
        <w:rPr>
          <w:rFonts w:hint="eastAsia" w:ascii="宋体" w:hAnsi="宋体" w:eastAsia="宋体"/>
          <w:color w:val="auto"/>
          <w:szCs w:val="21"/>
          <w:shd w:val="clear" w:color="auto" w:fill="FFFFFF"/>
        </w:rPr>
      </w:pPr>
      <w:bookmarkStart w:id="22" w:name="_Hlk169887785"/>
      <w:r>
        <w:rPr>
          <w:rFonts w:ascii="宋体" w:hAnsi="宋体" w:eastAsia="宋体" w:cs="Times New Roman"/>
          <w:color w:val="auto"/>
          <w:kern w:val="0"/>
          <w:szCs w:val="21"/>
          <w:lang w:eastAsia="zh-Hans"/>
        </w:rPr>
        <w:t>注：</w:t>
      </w:r>
      <w:r>
        <w:rPr>
          <w:rFonts w:hint="eastAsia" w:ascii="宋体" w:hAnsi="宋体" w:eastAsia="宋体"/>
          <w:color w:val="auto"/>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14:paraId="4D1B5DC5">
      <w:pPr>
        <w:pStyle w:val="24"/>
        <w:widowControl/>
        <w:numPr>
          <w:ilvl w:val="0"/>
          <w:numId w:val="72"/>
        </w:numPr>
        <w:tabs>
          <w:tab w:val="left" w:pos="426"/>
          <w:tab w:val="left" w:pos="993"/>
          <w:tab w:val="left" w:pos="1276"/>
          <w:tab w:val="left" w:pos="1843"/>
        </w:tabs>
        <w:ind w:left="426" w:hanging="426" w:firstLineChars="0"/>
        <w:jc w:val="left"/>
        <w:rPr>
          <w:rFonts w:hint="eastAsia" w:ascii="宋体" w:hAnsi="宋体" w:eastAsia="宋体" w:cs="Times New Roman"/>
          <w:color w:val="auto"/>
          <w:kern w:val="0"/>
          <w:szCs w:val="21"/>
          <w:highlight w:val="none"/>
        </w:rPr>
      </w:pPr>
      <w:r>
        <w:rPr>
          <w:rFonts w:ascii="宋体" w:hAnsi="宋体" w:eastAsia="宋体" w:cs="Times New Roman"/>
          <w:kern w:val="0"/>
          <w:szCs w:val="21"/>
        </w:rPr>
        <w:t>投标文件中开标一览表、分项报价表内容与唱标信封中开标一览表</w:t>
      </w:r>
      <w:r>
        <w:rPr>
          <w:rFonts w:hint="eastAsia" w:ascii="宋体" w:hAnsi="宋体" w:eastAsia="宋体" w:cs="Times New Roman"/>
          <w:kern w:val="0"/>
          <w:szCs w:val="21"/>
        </w:rPr>
        <w:t>、</w:t>
      </w:r>
      <w:r>
        <w:rPr>
          <w:rFonts w:ascii="宋体" w:hAnsi="宋体" w:eastAsia="宋体" w:cs="Times New Roman"/>
          <w:kern w:val="0"/>
          <w:szCs w:val="21"/>
        </w:rPr>
        <w:t>分项报价报内容不一致的，以唱标信封中开标一览表、分项报价表内容</w:t>
      </w:r>
      <w:r>
        <w:rPr>
          <w:rFonts w:ascii="宋体" w:hAnsi="宋体" w:eastAsia="宋体" w:cs="Times New Roman"/>
          <w:color w:val="auto"/>
          <w:kern w:val="0"/>
          <w:szCs w:val="21"/>
          <w:highlight w:val="none"/>
        </w:rPr>
        <w:t>为准。</w:t>
      </w:r>
    </w:p>
    <w:p w14:paraId="1BD4A43C">
      <w:pPr>
        <w:pStyle w:val="24"/>
        <w:numPr>
          <w:ilvl w:val="0"/>
          <w:numId w:val="63"/>
        </w:numPr>
        <w:ind w:firstLineChars="0"/>
        <w:rPr>
          <w:rFonts w:hint="eastAsia" w:ascii="宋体" w:hAnsi="宋体" w:eastAsia="宋体" w:cs="Times New Roman"/>
          <w:color w:val="auto"/>
          <w:kern w:val="0"/>
          <w:szCs w:val="21"/>
          <w:highlight w:val="none"/>
          <w:lang w:eastAsia="zh-Hans"/>
        </w:rPr>
      </w:pPr>
      <w:bookmarkStart w:id="23" w:name="_Toc169799782"/>
      <w:r>
        <w:rPr>
          <w:rFonts w:ascii="宋体" w:hAnsi="宋体" w:eastAsia="宋体"/>
          <w:b/>
          <w:bCs/>
          <w:color w:val="auto"/>
          <w:highlight w:val="none"/>
        </w:rPr>
        <w:t>政府采购政策落实</w:t>
      </w:r>
      <w:bookmarkEnd w:id="23"/>
    </w:p>
    <w:p w14:paraId="0EFF19EA">
      <w:pPr>
        <w:pStyle w:val="24"/>
        <w:numPr>
          <w:ilvl w:val="1"/>
          <w:numId w:val="74"/>
        </w:numPr>
        <w:tabs>
          <w:tab w:val="left" w:pos="426"/>
          <w:tab w:val="left" w:pos="1418"/>
        </w:tabs>
        <w:ind w:left="851" w:hanging="851"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022831FB">
      <w:pPr>
        <w:pStyle w:val="24"/>
        <w:numPr>
          <w:ilvl w:val="2"/>
          <w:numId w:val="75"/>
        </w:numPr>
        <w:tabs>
          <w:tab w:val="left" w:pos="1418"/>
        </w:tabs>
        <w:ind w:left="426" w:hanging="426" w:firstLineChars="0"/>
        <w:rPr>
          <w:rFonts w:hint="eastAsia" w:ascii="宋体" w:hAnsi="宋体" w:eastAsia="宋体"/>
          <w:bCs/>
          <w:color w:val="auto"/>
          <w:szCs w:val="21"/>
          <w:highlight w:val="none"/>
        </w:rPr>
      </w:pPr>
      <w:bookmarkStart w:id="24" w:name="_Hlk90987722"/>
      <w:r>
        <w:rPr>
          <w:rFonts w:hint="eastAsia" w:ascii="宋体" w:hAnsi="宋体" w:eastAsia="宋体"/>
          <w:bCs/>
          <w:color w:val="auto"/>
          <w:szCs w:val="21"/>
          <w:highlight w:val="none"/>
        </w:rPr>
        <w:t>根据财政部、工业和信息化部制定《政府采购促进中小企业发展管理办法》（财库[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号）的规定，对小微企业报价给予</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%的扣除，用扣除后的价格参与评审。参加政府采购活动的中小企业应当提供《中小企业声明函》</w:t>
      </w:r>
      <w:r>
        <w:rPr>
          <w:rFonts w:hint="eastAsia" w:ascii="宋体" w:hAnsi="宋体" w:eastAsia="宋体"/>
          <w:b/>
          <w:color w:val="auto"/>
          <w:szCs w:val="21"/>
          <w:highlight w:val="none"/>
          <w:u w:val="single"/>
        </w:rPr>
        <w:t>（</w:t>
      </w:r>
      <w:bookmarkEnd w:id="24"/>
      <w:r>
        <w:rPr>
          <w:rFonts w:hint="eastAsia" w:ascii="宋体" w:hAnsi="宋体" w:eastAsia="宋体"/>
          <w:b/>
          <w:color w:val="auto"/>
          <w:szCs w:val="21"/>
          <w:highlight w:val="none"/>
          <w:u w:val="single"/>
        </w:rPr>
        <w:t>格式详见招标文件第六章投标文件格式）。</w:t>
      </w:r>
    </w:p>
    <w:p w14:paraId="756AC6F8">
      <w:pPr>
        <w:pStyle w:val="24"/>
        <w:numPr>
          <w:ilvl w:val="1"/>
          <w:numId w:val="74"/>
        </w:numPr>
        <w:tabs>
          <w:tab w:val="left" w:pos="426"/>
          <w:tab w:val="left" w:pos="1418"/>
        </w:tabs>
        <w:ind w:left="851" w:hanging="851"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2BA09826">
      <w:pPr>
        <w:pStyle w:val="24"/>
        <w:numPr>
          <w:ilvl w:val="2"/>
          <w:numId w:val="76"/>
        </w:numPr>
        <w:ind w:firstLineChars="0"/>
        <w:rPr>
          <w:rFonts w:hint="eastAsia"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为发挥政府采购支持监狱企业发展的作用，根据《关于政府采购支持监狱企业发展有关问题的通知》（财库</w:t>
      </w:r>
      <w:r>
        <w:rPr>
          <w:rFonts w:ascii="宋体" w:hAnsi="宋体" w:eastAsia="宋体"/>
          <w:bCs/>
          <w:color w:val="000000" w:themeColor="text1"/>
          <w:szCs w:val="21"/>
          <w14:textFill>
            <w14:solidFill>
              <w14:schemeClr w14:val="tx1"/>
            </w14:solidFill>
          </w14:textFill>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ascii="宋体" w:hAnsi="宋体" w:eastAsia="宋体"/>
          <w:b/>
          <w:color w:val="000000" w:themeColor="text1"/>
          <w:szCs w:val="21"/>
          <w:u w:val="single"/>
          <w14:textFill>
            <w14:solidFill>
              <w14:schemeClr w14:val="tx1"/>
            </w14:solidFill>
          </w14:textFill>
        </w:rPr>
        <w:t>（格式详见招标文件第</w:t>
      </w:r>
      <w:r>
        <w:rPr>
          <w:rFonts w:hint="eastAsia" w:ascii="宋体" w:hAnsi="宋体" w:eastAsia="宋体"/>
          <w:b/>
          <w:color w:val="000000" w:themeColor="text1"/>
          <w:szCs w:val="21"/>
          <w:u w:val="single"/>
          <w14:textFill>
            <w14:solidFill>
              <w14:schemeClr w14:val="tx1"/>
            </w14:solidFill>
          </w14:textFill>
        </w:rPr>
        <w:t>六章</w:t>
      </w:r>
      <w:r>
        <w:rPr>
          <w:rFonts w:ascii="宋体" w:hAnsi="宋体" w:eastAsia="宋体"/>
          <w:b/>
          <w:color w:val="000000" w:themeColor="text1"/>
          <w:szCs w:val="21"/>
          <w:u w:val="single"/>
          <w14:textFill>
            <w14:solidFill>
              <w14:schemeClr w14:val="tx1"/>
            </w14:solidFill>
          </w14:textFill>
        </w:rPr>
        <w:t>投标文件格式）</w:t>
      </w:r>
    </w:p>
    <w:p w14:paraId="3FA9C696">
      <w:pPr>
        <w:pStyle w:val="24"/>
        <w:numPr>
          <w:ilvl w:val="1"/>
          <w:numId w:val="74"/>
        </w:numPr>
        <w:tabs>
          <w:tab w:val="left" w:pos="426"/>
          <w:tab w:val="left" w:pos="1418"/>
        </w:tabs>
        <w:ind w:left="851" w:hanging="851" w:firstLineChars="0"/>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对残疾人福利性单位投标的扶持</w:t>
      </w:r>
    </w:p>
    <w:p w14:paraId="331E6397">
      <w:pPr>
        <w:pStyle w:val="24"/>
        <w:numPr>
          <w:ilvl w:val="2"/>
          <w:numId w:val="77"/>
        </w:numPr>
        <w:ind w:left="424" w:hanging="424" w:hangingChars="202"/>
        <w:rPr>
          <w:rFonts w:hint="eastAsia"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为了发挥政府采购促进残疾人就业的作用，根据财政部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民政部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中国残疾人联合会《关于促进残疾人就业政府采购政策的通知》（财库</w:t>
      </w:r>
      <w:r>
        <w:rPr>
          <w:rFonts w:ascii="宋体" w:hAnsi="宋体" w:eastAsia="宋体"/>
          <w:bCs/>
          <w:color w:val="000000" w:themeColor="text1"/>
          <w:szCs w:val="21"/>
          <w14:textFill>
            <w14:solidFill>
              <w14:schemeClr w14:val="tx1"/>
            </w14:solidFill>
          </w14:textFill>
        </w:rPr>
        <w:t>[2017]</w:t>
      </w:r>
      <w:r>
        <w:rPr>
          <w:rFonts w:hint="eastAsia" w:ascii="宋体" w:hAnsi="宋体" w:eastAsia="宋体"/>
          <w:bCs/>
          <w:color w:val="000000" w:themeColor="text1"/>
          <w:szCs w:val="21"/>
          <w14:textFill>
            <w14:solidFill>
              <w14:schemeClr w14:val="tx1"/>
            </w14:solidFill>
          </w14:textFill>
        </w:rPr>
        <w:t>1</w:t>
      </w:r>
      <w:r>
        <w:rPr>
          <w:rFonts w:ascii="宋体" w:hAnsi="宋体" w:eastAsia="宋体"/>
          <w:bCs/>
          <w:color w:val="000000" w:themeColor="text1"/>
          <w:szCs w:val="21"/>
          <w14:textFill>
            <w14:solidFill>
              <w14:schemeClr w14:val="tx1"/>
            </w14:solidFill>
          </w14:textFill>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b/>
          <w:color w:val="000000" w:themeColor="text1"/>
          <w:szCs w:val="21"/>
          <w:u w:val="single"/>
          <w14:textFill>
            <w14:solidFill>
              <w14:schemeClr w14:val="tx1"/>
            </w14:solidFill>
          </w14:textFill>
        </w:rPr>
        <w:t>（格式详见招标文件第六章投标文件格式）。</w:t>
      </w:r>
    </w:p>
    <w:p w14:paraId="52C13210">
      <w:pPr>
        <w:pStyle w:val="24"/>
        <w:numPr>
          <w:ilvl w:val="1"/>
          <w:numId w:val="74"/>
        </w:numPr>
        <w:ind w:left="426" w:hanging="426" w:firstLineChars="0"/>
        <w:jc w:val="left"/>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szCs w:val="21"/>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szCs w:val="21"/>
        </w:rPr>
        <w:t>4</w:t>
      </w:r>
      <w:r>
        <w:rPr>
          <w:rFonts w:hint="eastAsia" w:ascii="宋体" w:hAnsi="宋体" w:eastAsia="宋体"/>
          <w:b/>
          <w:szCs w:val="21"/>
        </w:rPr>
        <w:t>%的扣除</w:t>
      </w:r>
      <w:r>
        <w:rPr>
          <w:rFonts w:ascii="宋体" w:hAnsi="宋体" w:eastAsia="宋体"/>
          <w:b/>
          <w:szCs w:val="21"/>
        </w:rPr>
        <w:t>。</w:t>
      </w:r>
    </w:p>
    <w:p w14:paraId="1D26A50A">
      <w:pPr>
        <w:pStyle w:val="24"/>
        <w:numPr>
          <w:ilvl w:val="1"/>
          <w:numId w:val="74"/>
        </w:numPr>
        <w:tabs>
          <w:tab w:val="left" w:pos="426"/>
          <w:tab w:val="left" w:pos="1418"/>
        </w:tabs>
        <w:ind w:left="851" w:hanging="851" w:firstLineChars="0"/>
        <w:rPr>
          <w:rFonts w:hint="eastAsia" w:ascii="宋体" w:hAnsi="宋体" w:eastAsia="宋体"/>
          <w:b/>
          <w:color w:val="385724" w:themeColor="accent6" w:themeShade="80"/>
          <w:szCs w:val="21"/>
        </w:rPr>
      </w:pPr>
      <w:bookmarkStart w:id="25" w:name="_Hlk86745708"/>
      <w:bookmarkStart w:id="26" w:name="_Hlk90987823"/>
      <w:r>
        <w:rPr>
          <w:rFonts w:hint="eastAsia" w:ascii="宋体" w:hAnsi="宋体" w:eastAsia="宋体"/>
          <w:b/>
          <w:bCs/>
          <w:color w:val="000000" w:themeColor="text1"/>
          <w:szCs w:val="21"/>
          <w14:textFill>
            <w14:solidFill>
              <w14:schemeClr w14:val="tx1"/>
            </w14:solidFill>
          </w14:textFill>
        </w:rPr>
        <w:t>监狱企业产品、残疾人福利性单位产品价格扣除</w:t>
      </w:r>
    </w:p>
    <w:p w14:paraId="5BB12B31">
      <w:pPr>
        <w:pStyle w:val="24"/>
        <w:ind w:left="-141" w:leftChars="-67" w:firstLine="567" w:firstLineChars="270"/>
        <w:rPr>
          <w:rFonts w:hint="eastAsia" w:ascii="宋体" w:hAnsi="宋体" w:eastAsia="宋体"/>
          <w:bCs/>
          <w:color w:val="385724" w:themeColor="accent6" w:themeShade="80"/>
          <w:szCs w:val="21"/>
        </w:rPr>
      </w:pPr>
      <w:r>
        <w:rPr>
          <w:rFonts w:hint="eastAsia" w:ascii="宋体" w:hAnsi="宋体" w:eastAsia="宋体"/>
          <w:bCs/>
          <w:szCs w:val="21"/>
        </w:rPr>
        <w:t>监狱企业、</w:t>
      </w:r>
      <w:r>
        <w:rPr>
          <w:rFonts w:ascii="宋体" w:hAnsi="宋体" w:eastAsia="宋体"/>
          <w:bCs/>
          <w:szCs w:val="21"/>
        </w:rPr>
        <w:t>残疾人福利性单位视同小微企业</w:t>
      </w:r>
      <w:r>
        <w:rPr>
          <w:rFonts w:hint="eastAsia" w:ascii="宋体" w:hAnsi="宋体" w:eastAsia="宋体"/>
          <w:bCs/>
          <w:szCs w:val="21"/>
        </w:rPr>
        <w:t>，按上述第</w:t>
      </w:r>
      <w:r>
        <w:rPr>
          <w:rFonts w:ascii="宋体" w:hAnsi="宋体" w:eastAsia="宋体"/>
          <w:bCs/>
          <w:szCs w:val="21"/>
        </w:rPr>
        <w:t>1</w:t>
      </w:r>
      <w:r>
        <w:rPr>
          <w:rFonts w:hint="eastAsia" w:ascii="宋体" w:hAnsi="宋体" w:eastAsia="宋体"/>
          <w:bCs/>
          <w:szCs w:val="21"/>
        </w:rPr>
        <w:t>条款和第</w:t>
      </w:r>
      <w:r>
        <w:rPr>
          <w:rFonts w:ascii="宋体" w:hAnsi="宋体" w:eastAsia="宋体"/>
          <w:bCs/>
          <w:szCs w:val="21"/>
        </w:rPr>
        <w:t>4</w:t>
      </w:r>
      <w:r>
        <w:rPr>
          <w:rFonts w:hint="eastAsia" w:ascii="宋体" w:hAnsi="宋体" w:eastAsia="宋体"/>
          <w:bCs/>
          <w:szCs w:val="21"/>
        </w:rPr>
        <w:t>条款享受评审中价格扣除。</w:t>
      </w:r>
    </w:p>
    <w:bookmarkEnd w:id="25"/>
    <w:p w14:paraId="34924A51">
      <w:pP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注：投标人同时为小型、微型企业、监狱企业、残疾人福利性单位任两种或以上情况的，评审中只享受一次价格扣除，不重复进行价格扣除。</w:t>
      </w:r>
    </w:p>
    <w:bookmarkEnd w:id="26"/>
    <w:p w14:paraId="16C358FF">
      <w:pPr>
        <w:pStyle w:val="24"/>
        <w:numPr>
          <w:ilvl w:val="1"/>
          <w:numId w:val="74"/>
        </w:numPr>
        <w:ind w:left="426" w:hanging="426" w:firstLineChars="0"/>
        <w:rPr>
          <w:rFonts w:hint="eastAsia" w:ascii="宋体" w:hAnsi="宋体" w:eastAsia="宋体"/>
          <w:b/>
          <w:szCs w:val="21"/>
        </w:rPr>
      </w:pPr>
      <w:r>
        <w:rPr>
          <w:rFonts w:hint="eastAsia" w:ascii="宋体" w:hAnsi="宋体" w:eastAsia="宋体"/>
          <w:b/>
          <w:szCs w:val="21"/>
        </w:rPr>
        <w:t>节能产品、环境标志产品价格扣除：</w:t>
      </w:r>
    </w:p>
    <w:p w14:paraId="63227663">
      <w:pPr>
        <w:pStyle w:val="24"/>
        <w:numPr>
          <w:ilvl w:val="0"/>
          <w:numId w:val="78"/>
        </w:numPr>
        <w:ind w:left="426" w:hanging="426" w:firstLineChars="0"/>
        <w:rPr>
          <w:rFonts w:hint="eastAsia" w:ascii="宋体" w:hAnsi="宋体" w:eastAsia="宋体"/>
          <w:color w:val="auto"/>
          <w:szCs w:val="21"/>
          <w:highlight w:val="none"/>
        </w:rPr>
      </w:pPr>
      <w:r>
        <w:rPr>
          <w:rFonts w:hint="eastAsia" w:ascii="宋体" w:hAnsi="宋体" w:eastAsia="宋体"/>
          <w:szCs w:val="21"/>
        </w:rPr>
        <w:t>投标产品(针对非政府强制采购产品)纳入财政部、发展改革委颁发最新节能产品政府采购品目清单的，</w:t>
      </w:r>
      <w:r>
        <w:rPr>
          <w:rFonts w:hint="eastAsia" w:ascii="宋体" w:hAnsi="宋体" w:eastAsia="宋体"/>
          <w:bCs/>
          <w:szCs w:val="21"/>
        </w:rPr>
        <w:t>对</w:t>
      </w:r>
      <w:r>
        <w:rPr>
          <w:rFonts w:hint="eastAsia" w:ascii="宋体" w:hAnsi="宋体" w:eastAsia="宋体"/>
          <w:szCs w:val="21"/>
        </w:rPr>
        <w:t>节能</w:t>
      </w:r>
      <w:r>
        <w:rPr>
          <w:rFonts w:hint="eastAsia" w:ascii="宋体" w:hAnsi="宋体" w:eastAsia="宋体"/>
          <w:bCs/>
          <w:szCs w:val="21"/>
        </w:rPr>
        <w:t>产品的价格给予1%的扣除，用扣除后的价格参与评审。（</w:t>
      </w:r>
      <w:r>
        <w:rPr>
          <w:rFonts w:hint="eastAsia" w:ascii="宋体" w:hAnsi="宋体" w:eastAsia="宋体"/>
          <w:szCs w:val="21"/>
        </w:rPr>
        <w:t>提供投标产品有效期</w:t>
      </w:r>
      <w:r>
        <w:rPr>
          <w:rFonts w:hint="eastAsia" w:ascii="宋体" w:hAnsi="宋体" w:eastAsia="宋体"/>
          <w:color w:val="auto"/>
          <w:szCs w:val="21"/>
          <w:highlight w:val="none"/>
        </w:rPr>
        <w:t>内的节能产品认证证书复印件加盖投标人公章）。</w:t>
      </w:r>
    </w:p>
    <w:p w14:paraId="13CCA001">
      <w:pPr>
        <w:pStyle w:val="24"/>
        <w:numPr>
          <w:ilvl w:val="0"/>
          <w:numId w:val="78"/>
        </w:numPr>
        <w:ind w:left="426" w:hanging="426" w:firstLineChars="0"/>
        <w:rPr>
          <w:rFonts w:hint="eastAsia"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4E560F76">
      <w:pPr>
        <w:pStyle w:val="24"/>
        <w:numPr>
          <w:ilvl w:val="1"/>
          <w:numId w:val="74"/>
        </w:numPr>
        <w:ind w:left="426" w:hanging="426"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r>
        <w:rPr>
          <w:rFonts w:ascii="宋体" w:hAnsi="宋体" w:eastAsia="宋体"/>
          <w:bCs/>
          <w:color w:val="auto"/>
          <w:szCs w:val="21"/>
          <w:highlight w:val="none"/>
        </w:rPr>
        <w:t>（四舍五入后保留小数点后两位）</w:t>
      </w: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5B967E43">
      <w:pPr>
        <w:ind w:firstLine="404" w:firstLineChars="200"/>
        <w:jc w:val="left"/>
        <w:rPr>
          <w:rFonts w:hint="eastAsia" w:ascii="宋体" w:hAnsi="宋体" w:eastAsia="宋体"/>
          <w:bCs/>
          <w:spacing w:val="-4"/>
          <w:szCs w:val="21"/>
        </w:rPr>
      </w:pPr>
      <w:r>
        <w:rPr>
          <w:rFonts w:hint="eastAsia" w:ascii="宋体" w:hAnsi="宋体" w:eastAsia="宋体"/>
          <w:bCs/>
          <w:color w:val="auto"/>
          <w:spacing w:val="-4"/>
          <w:szCs w:val="21"/>
          <w:highlight w:val="none"/>
        </w:rPr>
        <w:t>注：因落实政府采购政策进行价格调整的，以调整后的价</w:t>
      </w:r>
      <w:r>
        <w:rPr>
          <w:rFonts w:hint="eastAsia" w:ascii="宋体" w:hAnsi="宋体" w:eastAsia="宋体"/>
          <w:bCs/>
          <w:color w:val="000000" w:themeColor="text1"/>
          <w:spacing w:val="-4"/>
          <w:szCs w:val="21"/>
          <w14:textFill>
            <w14:solidFill>
              <w14:schemeClr w14:val="tx1"/>
            </w14:solidFill>
          </w14:textFill>
        </w:rPr>
        <w:t>格计算评标基准价和投标报价。</w:t>
      </w:r>
    </w:p>
    <w:p w14:paraId="0C9474F0">
      <w:pPr>
        <w:pStyle w:val="24"/>
        <w:numPr>
          <w:ilvl w:val="1"/>
          <w:numId w:val="74"/>
        </w:numPr>
        <w:ind w:left="426" w:hanging="426" w:firstLineChars="0"/>
        <w:rPr>
          <w:rFonts w:hint="eastAsia" w:ascii="宋体" w:hAnsi="宋体" w:eastAsia="宋体"/>
          <w:b/>
          <w:bCs/>
          <w:szCs w:val="21"/>
        </w:rPr>
      </w:pPr>
      <w:r>
        <w:rPr>
          <w:rFonts w:hint="eastAsia" w:ascii="宋体" w:hAnsi="宋体" w:eastAsia="宋体"/>
          <w:b/>
          <w:bCs/>
          <w:szCs w:val="21"/>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05BCA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1FE7D85F">
            <w:pPr>
              <w:jc w:val="center"/>
              <w:rPr>
                <w:rFonts w:hint="eastAsia" w:ascii="宋体" w:hAnsi="宋体" w:eastAsia="宋体"/>
                <w:szCs w:val="21"/>
              </w:rPr>
            </w:pPr>
            <w:r>
              <w:rPr>
                <w:rFonts w:hint="eastAsia" w:ascii="宋体" w:hAnsi="宋体" w:eastAsia="宋体"/>
                <w:szCs w:val="21"/>
              </w:rPr>
              <w:t>评分项目</w:t>
            </w:r>
          </w:p>
        </w:tc>
        <w:tc>
          <w:tcPr>
            <w:tcW w:w="1082" w:type="pct"/>
            <w:vAlign w:val="center"/>
          </w:tcPr>
          <w:p w14:paraId="17388F4D">
            <w:pPr>
              <w:jc w:val="center"/>
              <w:rPr>
                <w:rFonts w:hint="eastAsia" w:ascii="宋体" w:hAnsi="宋体" w:eastAsia="宋体"/>
                <w:szCs w:val="21"/>
              </w:rPr>
            </w:pPr>
            <w:r>
              <w:rPr>
                <w:rFonts w:hint="eastAsia" w:ascii="宋体" w:hAnsi="宋体" w:eastAsia="宋体"/>
                <w:szCs w:val="21"/>
              </w:rPr>
              <w:t>价格部分</w:t>
            </w:r>
          </w:p>
        </w:tc>
        <w:tc>
          <w:tcPr>
            <w:tcW w:w="1081" w:type="pct"/>
            <w:vAlign w:val="center"/>
          </w:tcPr>
          <w:p w14:paraId="465A9755">
            <w:pPr>
              <w:jc w:val="center"/>
              <w:rPr>
                <w:rFonts w:hint="eastAsia" w:ascii="宋体" w:hAnsi="宋体" w:eastAsia="宋体"/>
                <w:szCs w:val="21"/>
              </w:rPr>
            </w:pPr>
            <w:r>
              <w:rPr>
                <w:rFonts w:hint="eastAsia" w:ascii="宋体" w:hAnsi="宋体" w:eastAsia="宋体"/>
                <w:szCs w:val="21"/>
              </w:rPr>
              <w:t>商务部分</w:t>
            </w:r>
          </w:p>
        </w:tc>
        <w:tc>
          <w:tcPr>
            <w:tcW w:w="1081" w:type="pct"/>
            <w:vAlign w:val="center"/>
          </w:tcPr>
          <w:p w14:paraId="5C4151D5">
            <w:pPr>
              <w:jc w:val="center"/>
              <w:rPr>
                <w:rFonts w:hint="eastAsia" w:ascii="宋体" w:hAnsi="宋体" w:eastAsia="宋体"/>
                <w:szCs w:val="21"/>
              </w:rPr>
            </w:pPr>
            <w:r>
              <w:rPr>
                <w:rFonts w:hint="eastAsia" w:ascii="宋体" w:hAnsi="宋体" w:eastAsia="宋体"/>
                <w:szCs w:val="21"/>
              </w:rPr>
              <w:t>技术部分</w:t>
            </w:r>
          </w:p>
        </w:tc>
        <w:tc>
          <w:tcPr>
            <w:tcW w:w="780" w:type="pct"/>
            <w:vAlign w:val="center"/>
          </w:tcPr>
          <w:p w14:paraId="46A6E9F9">
            <w:pPr>
              <w:jc w:val="center"/>
              <w:rPr>
                <w:rFonts w:hint="eastAsia" w:ascii="宋体" w:hAnsi="宋体" w:eastAsia="宋体"/>
                <w:szCs w:val="21"/>
              </w:rPr>
            </w:pPr>
            <w:r>
              <w:rPr>
                <w:rFonts w:hint="eastAsia" w:ascii="宋体" w:hAnsi="宋体" w:eastAsia="宋体"/>
                <w:szCs w:val="21"/>
              </w:rPr>
              <w:t>合计</w:t>
            </w:r>
          </w:p>
        </w:tc>
      </w:tr>
      <w:tr w14:paraId="532D7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107FDBC">
            <w:pPr>
              <w:jc w:val="center"/>
              <w:rPr>
                <w:rFonts w:hint="eastAsia" w:ascii="宋体" w:hAnsi="宋体" w:eastAsia="宋体"/>
                <w:szCs w:val="21"/>
              </w:rPr>
            </w:pPr>
            <w:r>
              <w:rPr>
                <w:rFonts w:hint="eastAsia" w:ascii="宋体" w:hAnsi="宋体" w:eastAsia="宋体"/>
                <w:szCs w:val="21"/>
              </w:rPr>
              <w:t>权值</w:t>
            </w:r>
          </w:p>
        </w:tc>
        <w:tc>
          <w:tcPr>
            <w:tcW w:w="1082" w:type="pct"/>
            <w:vAlign w:val="center"/>
          </w:tcPr>
          <w:p w14:paraId="5428E080">
            <w:pPr>
              <w:jc w:val="center"/>
              <w:rPr>
                <w:rFonts w:hint="eastAsia" w:ascii="宋体" w:hAnsi="宋体" w:eastAsia="宋体"/>
                <w:szCs w:val="21"/>
              </w:rPr>
            </w:pPr>
            <w:r>
              <w:rPr>
                <w:rFonts w:hint="eastAsia" w:ascii="宋体" w:hAnsi="宋体" w:eastAsia="宋体"/>
                <w:szCs w:val="21"/>
                <w:lang w:val="en-US" w:eastAsia="zh-CN"/>
              </w:rPr>
              <w:t>30</w:t>
            </w:r>
            <w:r>
              <w:rPr>
                <w:rFonts w:hint="eastAsia" w:ascii="宋体" w:hAnsi="宋体" w:eastAsia="宋体"/>
                <w:szCs w:val="21"/>
              </w:rPr>
              <w:t>%</w:t>
            </w:r>
          </w:p>
        </w:tc>
        <w:tc>
          <w:tcPr>
            <w:tcW w:w="1081" w:type="pct"/>
            <w:vAlign w:val="center"/>
          </w:tcPr>
          <w:p w14:paraId="5658168D">
            <w:pPr>
              <w:jc w:val="center"/>
              <w:rPr>
                <w:rFonts w:hint="eastAsia" w:ascii="宋体" w:hAnsi="宋体" w:eastAsia="宋体"/>
                <w:szCs w:val="21"/>
                <w:highlight w:val="red"/>
              </w:rPr>
            </w:pPr>
            <w:r>
              <w:rPr>
                <w:rFonts w:hint="eastAsia" w:ascii="宋体" w:hAnsi="宋体" w:eastAsia="宋体"/>
                <w:szCs w:val="21"/>
                <w:lang w:val="en-US" w:eastAsia="zh-CN"/>
              </w:rPr>
              <w:t>25</w:t>
            </w:r>
            <w:r>
              <w:rPr>
                <w:rFonts w:hint="eastAsia" w:ascii="宋体" w:hAnsi="宋体" w:eastAsia="宋体"/>
                <w:szCs w:val="21"/>
              </w:rPr>
              <w:t>%</w:t>
            </w:r>
          </w:p>
        </w:tc>
        <w:tc>
          <w:tcPr>
            <w:tcW w:w="1081" w:type="pct"/>
            <w:vAlign w:val="center"/>
          </w:tcPr>
          <w:p w14:paraId="07A549A1">
            <w:pPr>
              <w:jc w:val="center"/>
              <w:rPr>
                <w:rFonts w:hint="eastAsia" w:ascii="宋体" w:hAnsi="宋体" w:eastAsia="宋体"/>
                <w:i/>
                <w:szCs w:val="21"/>
                <w:highlight w:val="red"/>
              </w:rPr>
            </w:pPr>
            <w:r>
              <w:rPr>
                <w:rFonts w:hint="eastAsia" w:ascii="宋体" w:hAnsi="宋体" w:eastAsia="宋体"/>
                <w:szCs w:val="21"/>
                <w:lang w:val="en-US" w:eastAsia="zh-CN"/>
              </w:rPr>
              <w:t>45</w:t>
            </w:r>
            <w:r>
              <w:rPr>
                <w:rFonts w:hint="eastAsia" w:ascii="宋体" w:hAnsi="宋体" w:eastAsia="宋体"/>
                <w:szCs w:val="21"/>
              </w:rPr>
              <w:t>%</w:t>
            </w:r>
          </w:p>
        </w:tc>
        <w:tc>
          <w:tcPr>
            <w:tcW w:w="780" w:type="pct"/>
          </w:tcPr>
          <w:p w14:paraId="42D1B6E3">
            <w:pPr>
              <w:jc w:val="center"/>
              <w:rPr>
                <w:rFonts w:hint="eastAsia" w:ascii="宋体" w:hAnsi="宋体" w:eastAsia="宋体"/>
                <w:szCs w:val="21"/>
                <w:highlight w:val="red"/>
              </w:rPr>
            </w:pPr>
            <w:r>
              <w:rPr>
                <w:rFonts w:hint="eastAsia" w:ascii="宋体" w:hAnsi="宋体" w:eastAsia="宋体"/>
                <w:szCs w:val="21"/>
                <w:lang w:val="en-US" w:eastAsia="zh-CN"/>
              </w:rPr>
              <w:t>100</w:t>
            </w:r>
            <w:r>
              <w:rPr>
                <w:rFonts w:hint="eastAsia" w:ascii="宋体" w:hAnsi="宋体" w:eastAsia="宋体"/>
                <w:szCs w:val="21"/>
              </w:rPr>
              <w:t>%</w:t>
            </w:r>
          </w:p>
        </w:tc>
      </w:tr>
    </w:tbl>
    <w:p w14:paraId="0490E8C8">
      <w:pPr>
        <w:pStyle w:val="24"/>
        <w:numPr>
          <w:ilvl w:val="0"/>
          <w:numId w:val="79"/>
        </w:numPr>
        <w:ind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综合得分＝商务得分＋技术得分＋价格得分</w:t>
      </w:r>
    </w:p>
    <w:p w14:paraId="6FA45642">
      <w:pPr>
        <w:pStyle w:val="24"/>
        <w:numPr>
          <w:ilvl w:val="0"/>
          <w:numId w:val="63"/>
        </w:numPr>
        <w:spacing w:before="217" w:beforeLines="50"/>
        <w:ind w:left="442" w:hanging="442" w:firstLineChars="0"/>
        <w:rPr>
          <w:rFonts w:hint="eastAsia" w:ascii="宋体" w:hAnsi="宋体" w:eastAsia="宋体" w:cs="Times New Roman"/>
          <w:kern w:val="0"/>
          <w:szCs w:val="21"/>
          <w:lang w:eastAsia="zh-Hans"/>
        </w:rPr>
      </w:pPr>
      <w:r>
        <w:rPr>
          <w:rFonts w:ascii="宋体" w:hAnsi="宋体" w:eastAsia="宋体"/>
          <w:b/>
          <w:bCs/>
        </w:rPr>
        <w:t>评审程序</w:t>
      </w:r>
    </w:p>
    <w:p w14:paraId="1A6CA7B1">
      <w:pPr>
        <w:pStyle w:val="24"/>
        <w:widowControl/>
        <w:numPr>
          <w:ilvl w:val="3"/>
          <w:numId w:val="80"/>
        </w:numPr>
        <w:ind w:left="426" w:hanging="426"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资格性审查和符合性审查</w:t>
      </w:r>
    </w:p>
    <w:p w14:paraId="0E19CCA5">
      <w:pPr>
        <w:pStyle w:val="24"/>
        <w:widowControl/>
        <w:numPr>
          <w:ilvl w:val="0"/>
          <w:numId w:val="81"/>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kern w:val="0"/>
          <w:szCs w:val="21"/>
          <w:u w:val="single"/>
          <w:lang w:eastAsia="zh-Hans"/>
        </w:rPr>
        <w:t>（详见后附表一资格性审查表）</w:t>
      </w:r>
    </w:p>
    <w:p w14:paraId="5D3F1D85">
      <w:pPr>
        <w:pStyle w:val="24"/>
        <w:widowControl/>
        <w:numPr>
          <w:ilvl w:val="0"/>
          <w:numId w:val="81"/>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kern w:val="0"/>
          <w:szCs w:val="21"/>
          <w:u w:val="single"/>
          <w:lang w:eastAsia="zh-Hans"/>
        </w:rPr>
        <w:t>（详见后附表二符合性审查表）</w:t>
      </w:r>
    </w:p>
    <w:p w14:paraId="2A09C7B8">
      <w:pPr>
        <w:pStyle w:val="24"/>
        <w:widowControl/>
        <w:numPr>
          <w:ilvl w:val="0"/>
          <w:numId w:val="81"/>
        </w:numPr>
        <w:ind w:left="426" w:hanging="426" w:firstLineChars="0"/>
        <w:jc w:val="left"/>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资格性审查和符合性审查中凡有其中任意一项未通过的，评审结果为未通过，未通过资格性审查、符合性审查的投标人按无效投标处理。</w:t>
      </w:r>
    </w:p>
    <w:p w14:paraId="26CF37C6">
      <w:pPr>
        <w:pStyle w:val="24"/>
        <w:widowControl/>
        <w:numPr>
          <w:ilvl w:val="0"/>
          <w:numId w:val="81"/>
        </w:numPr>
        <w:ind w:left="426" w:hanging="426" w:firstLineChars="0"/>
        <w:jc w:val="left"/>
        <w:rPr>
          <w:rFonts w:hint="eastAsia" w:ascii="宋体" w:hAnsi="宋体" w:eastAsia="宋体" w:cs="Times New Roman"/>
          <w:b/>
          <w:bCs/>
          <w:kern w:val="0"/>
          <w:szCs w:val="21"/>
          <w:lang w:eastAsia="zh-Hans"/>
        </w:rPr>
      </w:pPr>
      <w:r>
        <w:rPr>
          <w:rFonts w:ascii="宋体" w:hAnsi="宋体" w:eastAsia="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4FAF383">
      <w:pPr>
        <w:pStyle w:val="24"/>
        <w:widowControl/>
        <w:numPr>
          <w:ilvl w:val="0"/>
          <w:numId w:val="81"/>
        </w:numPr>
        <w:ind w:left="426" w:hanging="426" w:firstLineChars="0"/>
        <w:jc w:val="left"/>
        <w:rPr>
          <w:rFonts w:hint="eastAsia" w:ascii="宋体" w:hAnsi="宋体" w:eastAsia="宋体" w:cs="Times New Roman"/>
          <w:b/>
          <w:bCs/>
          <w:kern w:val="0"/>
          <w:szCs w:val="21"/>
          <w:lang w:eastAsia="zh-Hans"/>
        </w:rPr>
      </w:pPr>
      <w:r>
        <w:rPr>
          <w:rFonts w:ascii="宋体" w:hAnsi="宋体" w:eastAsia="宋体" w:cs="Times New Roman"/>
          <w:kern w:val="0"/>
          <w:szCs w:val="21"/>
          <w:lang w:eastAsia="zh-Hans"/>
        </w:rPr>
        <w:t>合格投标人不足3家的，不得评标。</w:t>
      </w:r>
    </w:p>
    <w:p w14:paraId="79BE0526">
      <w:pPr>
        <w:widowControl/>
        <w:jc w:val="left"/>
        <w:rPr>
          <w:rFonts w:hint="eastAsia" w:ascii="宋体" w:hAnsi="宋体" w:eastAsia="宋体" w:cs="Times New Roman"/>
          <w:b/>
          <w:bCs/>
          <w:kern w:val="0"/>
          <w:szCs w:val="21"/>
        </w:rPr>
      </w:pPr>
      <w:r>
        <w:rPr>
          <w:rFonts w:ascii="宋体" w:hAnsi="宋体" w:eastAsia="宋体" w:cs="Times New Roman"/>
          <w:b/>
          <w:bCs/>
          <w:kern w:val="0"/>
          <w:szCs w:val="21"/>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6CC5E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45C1FFFC">
            <w:pPr>
              <w:widowControl/>
              <w:jc w:val="center"/>
              <w:rPr>
                <w:rFonts w:hint="eastAsia" w:ascii="宋体" w:hAnsi="宋体" w:eastAsia="宋体" w:cs="Times New Roman"/>
                <w:b/>
                <w:bCs/>
                <w:kern w:val="0"/>
                <w:szCs w:val="21"/>
                <w:lang w:eastAsia="zh-Hans"/>
              </w:rPr>
            </w:pPr>
            <w:bookmarkStart w:id="27" w:name="_Hlk169888879"/>
            <w:r>
              <w:rPr>
                <w:rFonts w:ascii="宋体" w:hAnsi="宋体" w:eastAsia="宋体" w:cs="Times New Roman"/>
                <w:b/>
                <w:bCs/>
                <w:kern w:val="0"/>
                <w:szCs w:val="21"/>
                <w:lang w:eastAsia="zh-Hans"/>
              </w:rPr>
              <w:t>序号</w:t>
            </w:r>
          </w:p>
        </w:tc>
        <w:tc>
          <w:tcPr>
            <w:tcW w:w="4540" w:type="pct"/>
            <w:gridSpan w:val="2"/>
            <w:vAlign w:val="center"/>
          </w:tcPr>
          <w:p w14:paraId="4C06FA41">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资格审查内容</w:t>
            </w:r>
          </w:p>
        </w:tc>
      </w:tr>
      <w:tr w14:paraId="73FE8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057C384E">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w:t>
            </w:r>
          </w:p>
        </w:tc>
        <w:tc>
          <w:tcPr>
            <w:tcW w:w="4540" w:type="pct"/>
            <w:gridSpan w:val="2"/>
            <w:vAlign w:val="center"/>
          </w:tcPr>
          <w:p w14:paraId="3103D83E">
            <w:pPr>
              <w:widowControl/>
              <w:rPr>
                <w:rFonts w:hint="eastAsia" w:ascii="宋体" w:hAnsi="宋体" w:eastAsia="宋体" w:cs="Times New Roman"/>
                <w:kern w:val="0"/>
                <w:szCs w:val="21"/>
              </w:rPr>
            </w:pPr>
            <w:r>
              <w:rPr>
                <w:rFonts w:hint="eastAsia" w:ascii="宋体" w:hAnsi="宋体" w:eastAsia="宋体" w:cs="Times New Roman"/>
                <w:kern w:val="0"/>
                <w:szCs w:val="21"/>
              </w:rPr>
              <w:t>满足《中华人民共和国政府采购法》第二十二条规定：</w:t>
            </w:r>
          </w:p>
        </w:tc>
      </w:tr>
      <w:tr w14:paraId="5091A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827AB0E">
            <w:pPr>
              <w:widowControl/>
              <w:jc w:val="center"/>
              <w:rPr>
                <w:rFonts w:hint="eastAsia"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rPr>
              <w:t>.1</w:t>
            </w:r>
          </w:p>
        </w:tc>
        <w:tc>
          <w:tcPr>
            <w:tcW w:w="1381" w:type="pct"/>
            <w:vAlign w:val="center"/>
          </w:tcPr>
          <w:p w14:paraId="707D54BD">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具有独立承担民事责任的能力</w:t>
            </w:r>
          </w:p>
        </w:tc>
        <w:tc>
          <w:tcPr>
            <w:tcW w:w="3159" w:type="pct"/>
            <w:vAlign w:val="center"/>
          </w:tcPr>
          <w:p w14:paraId="5E3D41D5">
            <w:pPr>
              <w:widowControl/>
              <w:rPr>
                <w:rFonts w:hint="eastAsia" w:ascii="宋体" w:hAnsi="宋体" w:eastAsia="宋体" w:cs="Times New Roman"/>
                <w:color w:val="auto"/>
                <w:kern w:val="0"/>
                <w:szCs w:val="21"/>
                <w:lang w:eastAsia="zh-Hans"/>
              </w:rPr>
            </w:pPr>
            <w:r>
              <w:rPr>
                <w:rFonts w:ascii="Calibri" w:hAnsi="Calibri" w:eastAsia="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w:t>
            </w:r>
            <w:r>
              <w:rPr>
                <w:rFonts w:ascii="Calibri" w:hAnsi="Calibri" w:eastAsia="宋体" w:cs="Times New Roman"/>
                <w:bCs/>
                <w:color w:val="auto"/>
                <w:kern w:val="0"/>
                <w:szCs w:val="21"/>
              </w:rPr>
              <w:t>总所）取得的相关资质证书对分支机构有效，法律法规或者行业另有规定的除外。）</w:t>
            </w:r>
          </w:p>
        </w:tc>
      </w:tr>
      <w:tr w14:paraId="288FF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E0F125C">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1.2</w:t>
            </w:r>
          </w:p>
        </w:tc>
        <w:tc>
          <w:tcPr>
            <w:tcW w:w="1381" w:type="pct"/>
            <w:vAlign w:val="center"/>
          </w:tcPr>
          <w:p w14:paraId="11AE422A">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具有良好的商业信誉和健全的财务会计制度</w:t>
            </w:r>
          </w:p>
        </w:tc>
        <w:tc>
          <w:tcPr>
            <w:tcW w:w="3159" w:type="pct"/>
            <w:vAlign w:val="center"/>
          </w:tcPr>
          <w:p w14:paraId="2D0B8B31">
            <w:pPr>
              <w:widowControl/>
              <w:rPr>
                <w:rFonts w:hint="eastAsia" w:ascii="宋体" w:hAnsi="宋体" w:eastAsia="宋体" w:cs="Times New Roman"/>
                <w:color w:val="auto"/>
                <w:kern w:val="0"/>
                <w:szCs w:val="21"/>
                <w:lang w:eastAsia="zh-Hans"/>
              </w:rPr>
            </w:pPr>
            <w:r>
              <w:rPr>
                <w:rFonts w:hint="eastAsia" w:ascii="Calibri" w:hAnsi="Calibri" w:eastAsia="宋体" w:cs="Times New Roman"/>
                <w:bCs/>
                <w:color w:val="auto"/>
                <w:kern w:val="0"/>
                <w:szCs w:val="21"/>
              </w:rPr>
              <w:t>提供</w:t>
            </w:r>
            <w:r>
              <w:rPr>
                <w:rFonts w:hint="eastAsia" w:ascii="宋体" w:hAnsi="宋体" w:eastAsia="宋体" w:cs="Times New Roman"/>
                <w:bCs/>
                <w:color w:val="auto"/>
                <w:kern w:val="0"/>
                <w:szCs w:val="21"/>
              </w:rPr>
              <w:t>2024</w:t>
            </w:r>
            <w:r>
              <w:rPr>
                <w:rFonts w:ascii="Calibri" w:hAnsi="Calibri" w:eastAsia="宋体" w:cs="Times New Roman"/>
                <w:bCs/>
                <w:color w:val="auto"/>
                <w:kern w:val="0"/>
                <w:szCs w:val="21"/>
              </w:rPr>
              <w:t>年财务状况报告或者基本户开户银行出具的资信证明或提供资格条件承诺函（详见投标文件格式</w:t>
            </w:r>
            <w:r>
              <w:rPr>
                <w:rFonts w:ascii="Calibri" w:hAnsi="Calibri" w:eastAsia="宋体" w:cs="Times New Roman"/>
                <w:bCs/>
                <w:kern w:val="0"/>
                <w:szCs w:val="21"/>
              </w:rPr>
              <w:t>）。</w:t>
            </w:r>
          </w:p>
        </w:tc>
      </w:tr>
      <w:tr w14:paraId="30694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F7999FB">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1.3</w:t>
            </w:r>
          </w:p>
        </w:tc>
        <w:tc>
          <w:tcPr>
            <w:tcW w:w="1381" w:type="pct"/>
            <w:vAlign w:val="center"/>
          </w:tcPr>
          <w:p w14:paraId="3179D457">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履行合同所必需的设备和专业技术能力</w:t>
            </w:r>
          </w:p>
        </w:tc>
        <w:tc>
          <w:tcPr>
            <w:tcW w:w="3159" w:type="pct"/>
            <w:vAlign w:val="center"/>
          </w:tcPr>
          <w:p w14:paraId="724132F0">
            <w:pPr>
              <w:widowControl/>
              <w:rPr>
                <w:rFonts w:hint="eastAsia" w:ascii="宋体" w:hAnsi="宋体" w:eastAsia="宋体" w:cs="Times New Roman"/>
                <w:kern w:val="0"/>
                <w:szCs w:val="21"/>
                <w:lang w:eastAsia="zh-Hans"/>
              </w:rPr>
            </w:pPr>
            <w:r>
              <w:rPr>
                <w:rFonts w:hint="eastAsia" w:ascii="Calibri" w:hAnsi="Calibri" w:eastAsia="宋体" w:cs="Times New Roman"/>
                <w:bCs/>
                <w:kern w:val="0"/>
                <w:szCs w:val="21"/>
              </w:rPr>
              <w:t>在投标文件中填报设备及专业技术能力情况或提供资格条件承诺函（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tc>
      </w:tr>
      <w:tr w14:paraId="2BF3E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823E798">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1381" w:type="pct"/>
            <w:vAlign w:val="center"/>
          </w:tcPr>
          <w:p w14:paraId="68A79AEE">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有依法缴纳税收和社会保障资金的良好记录</w:t>
            </w:r>
          </w:p>
        </w:tc>
        <w:tc>
          <w:tcPr>
            <w:tcW w:w="3159" w:type="pct"/>
            <w:vAlign w:val="center"/>
          </w:tcPr>
          <w:p w14:paraId="68552CB0">
            <w:pPr>
              <w:widowControl/>
              <w:rPr>
                <w:rFonts w:hint="eastAsia" w:ascii="宋体" w:hAnsi="宋体" w:eastAsia="宋体" w:cs="Times New Roman"/>
                <w:kern w:val="0"/>
                <w:szCs w:val="21"/>
                <w:lang w:eastAsia="zh-Hans"/>
              </w:rPr>
            </w:pPr>
            <w:r>
              <w:rPr>
                <w:rFonts w:hint="eastAsia" w:ascii="Calibri" w:hAnsi="Calibri" w:eastAsia="宋体" w:cs="Times New Roman"/>
                <w:bCs/>
                <w:kern w:val="0"/>
                <w:szCs w:val="21"/>
              </w:rPr>
              <w:t>提供投标截止日前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个月依法缴纳税收和社会保障资金的相关材料；如依法免税或不需要缴纳社会保障资金的，提供相应证明材料。或提供资格条件承诺函（详见投标文件格式）。</w:t>
            </w:r>
          </w:p>
        </w:tc>
      </w:tr>
      <w:tr w14:paraId="0412A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A31003">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1.5</w:t>
            </w:r>
          </w:p>
        </w:tc>
        <w:tc>
          <w:tcPr>
            <w:tcW w:w="1381" w:type="pct"/>
            <w:vAlign w:val="center"/>
          </w:tcPr>
          <w:p w14:paraId="6451A33A">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参加采购活动前3年内，在经营活动中没有重大违法记录</w:t>
            </w:r>
          </w:p>
        </w:tc>
        <w:tc>
          <w:tcPr>
            <w:tcW w:w="3159" w:type="pct"/>
            <w:vAlign w:val="center"/>
          </w:tcPr>
          <w:p w14:paraId="72075F1F">
            <w:pPr>
              <w:widowControl/>
              <w:rPr>
                <w:rFonts w:hint="eastAsia" w:ascii="宋体" w:hAnsi="宋体" w:eastAsia="宋体" w:cs="Times New Roman"/>
                <w:kern w:val="0"/>
                <w:szCs w:val="21"/>
                <w:lang w:eastAsia="zh-Hans"/>
              </w:rPr>
            </w:pP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tc>
      </w:tr>
      <w:tr w14:paraId="116B5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AED9E6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1381" w:type="pct"/>
            <w:vAlign w:val="center"/>
          </w:tcPr>
          <w:p w14:paraId="042DC733">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落实政府采购政策需满足的资格要求</w:t>
            </w:r>
          </w:p>
        </w:tc>
        <w:tc>
          <w:tcPr>
            <w:tcW w:w="3159" w:type="pct"/>
            <w:vAlign w:val="center"/>
          </w:tcPr>
          <w:p w14:paraId="0517DAE3">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无</w:t>
            </w:r>
          </w:p>
        </w:tc>
      </w:tr>
      <w:tr w14:paraId="28A28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6E344E4F">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w:t>
            </w:r>
          </w:p>
        </w:tc>
        <w:tc>
          <w:tcPr>
            <w:tcW w:w="1381" w:type="pct"/>
            <w:vAlign w:val="center"/>
          </w:tcPr>
          <w:p w14:paraId="1B2EFA39">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本项目的特定资格要求：</w:t>
            </w:r>
          </w:p>
        </w:tc>
        <w:tc>
          <w:tcPr>
            <w:tcW w:w="3159" w:type="pct"/>
            <w:vAlign w:val="center"/>
          </w:tcPr>
          <w:p w14:paraId="78D9903C">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具体规定见第一章《投标邀请》</w:t>
            </w:r>
          </w:p>
        </w:tc>
      </w:tr>
      <w:tr w14:paraId="6942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C52480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3.1</w:t>
            </w:r>
          </w:p>
        </w:tc>
        <w:tc>
          <w:tcPr>
            <w:tcW w:w="1381" w:type="pct"/>
            <w:vAlign w:val="center"/>
          </w:tcPr>
          <w:p w14:paraId="45ECA6F4">
            <w:pPr>
              <w:widowControl/>
              <w:rPr>
                <w:rFonts w:hint="eastAsia" w:ascii="宋体" w:hAnsi="宋体" w:eastAsia="宋体" w:cs="Times New Roman"/>
                <w:kern w:val="0"/>
                <w:szCs w:val="21"/>
              </w:rPr>
            </w:pPr>
            <w:r>
              <w:rPr>
                <w:rFonts w:hint="eastAsia" w:ascii="宋体" w:hAnsi="宋体" w:eastAsia="宋体" w:cs="Times New Roman"/>
                <w:kern w:val="0"/>
                <w:szCs w:val="21"/>
                <w:lang w:eastAsia="zh-Hans"/>
              </w:rPr>
              <w:t>投标人信用记录</w:t>
            </w:r>
          </w:p>
        </w:tc>
        <w:tc>
          <w:tcPr>
            <w:tcW w:w="3159" w:type="pct"/>
            <w:vAlign w:val="center"/>
          </w:tcPr>
          <w:p w14:paraId="72570896">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2D9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D8AE7BF">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3.2</w:t>
            </w:r>
          </w:p>
        </w:tc>
        <w:tc>
          <w:tcPr>
            <w:tcW w:w="1381" w:type="pct"/>
            <w:vAlign w:val="center"/>
          </w:tcPr>
          <w:p w14:paraId="4FB8C178">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供应商必须符合法律、行政法规规定的其他条件</w:t>
            </w:r>
          </w:p>
        </w:tc>
        <w:tc>
          <w:tcPr>
            <w:tcW w:w="3159" w:type="pct"/>
            <w:vAlign w:val="center"/>
          </w:tcPr>
          <w:p w14:paraId="0DCF0DDC">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w:t>
            </w:r>
            <w:r>
              <w:rPr>
                <w:rFonts w:ascii="宋体" w:hAnsi="宋体" w:eastAsia="宋体" w:cs="Times New Roman"/>
                <w:color w:val="auto"/>
                <w:kern w:val="0"/>
                <w:szCs w:val="21"/>
                <w:highlight w:val="none"/>
                <w:lang w:eastAsia="zh-Hans"/>
              </w:rPr>
              <w:t>应）。投标（报价）函相关承诺要求内容。</w:t>
            </w:r>
            <w:bookmarkStart w:id="60" w:name="_GoBack"/>
            <w:bookmarkEnd w:id="60"/>
          </w:p>
        </w:tc>
      </w:tr>
      <w:tr w14:paraId="0DA22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C3C0A34">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3.3</w:t>
            </w:r>
          </w:p>
        </w:tc>
        <w:tc>
          <w:tcPr>
            <w:tcW w:w="1381" w:type="pct"/>
            <w:vAlign w:val="center"/>
          </w:tcPr>
          <w:p w14:paraId="7953EC61">
            <w:pPr>
              <w:widowControl/>
              <w:rPr>
                <w:rFonts w:hint="eastAsia" w:ascii="宋体" w:hAnsi="宋体" w:eastAsia="宋体" w:cs="Times New Roman"/>
                <w:kern w:val="0"/>
                <w:szCs w:val="21"/>
                <w:highlight w:val="none"/>
              </w:rPr>
            </w:pPr>
            <w:r>
              <w:rPr>
                <w:rFonts w:hint="eastAsia" w:ascii="宋体" w:hAnsi="宋体" w:eastAsia="宋体" w:cs="Times New Roman"/>
                <w:kern w:val="0"/>
                <w:szCs w:val="21"/>
                <w:highlight w:val="none"/>
                <w:lang w:eastAsia="zh-Hans"/>
              </w:rPr>
              <w:t>其他特定资格要求：</w:t>
            </w:r>
          </w:p>
        </w:tc>
        <w:tc>
          <w:tcPr>
            <w:tcW w:w="3159" w:type="pct"/>
            <w:vAlign w:val="center"/>
          </w:tcPr>
          <w:p w14:paraId="4E5C2B29">
            <w:pPr>
              <w:widowControl/>
              <w:rPr>
                <w:rFonts w:hint="eastAsia" w:ascii="宋体" w:hAnsi="宋体" w:eastAsia="宋体" w:cs="Times New Roman"/>
                <w:b/>
                <w:bCs/>
                <w:kern w:val="0"/>
                <w:szCs w:val="21"/>
                <w:highlight w:val="none"/>
                <w:lang w:eastAsia="zh-Hans"/>
              </w:rPr>
            </w:pPr>
            <w:r>
              <w:rPr>
                <w:rFonts w:hint="eastAsia" w:ascii="宋体" w:hAnsi="宋体" w:eastAsia="宋体" w:cs="Times New Roman"/>
                <w:b/>
                <w:bCs/>
                <w:kern w:val="0"/>
                <w:szCs w:val="21"/>
                <w:highlight w:val="none"/>
                <w:lang w:eastAsia="zh-CN"/>
              </w:rPr>
              <w:t>（1）投标人须</w:t>
            </w:r>
            <w:r>
              <w:rPr>
                <w:rFonts w:hint="eastAsia" w:ascii="宋体" w:hAnsi="宋体" w:eastAsia="宋体" w:cs="Times New Roman"/>
                <w:b/>
                <w:bCs/>
                <w:kern w:val="0"/>
                <w:szCs w:val="21"/>
                <w:highlight w:val="none"/>
                <w:lang w:val="en-US" w:eastAsia="zh-CN"/>
              </w:rPr>
              <w:t>提供</w:t>
            </w:r>
            <w:r>
              <w:rPr>
                <w:rFonts w:hint="eastAsia" w:ascii="宋体" w:hAnsi="宋体" w:eastAsia="宋体" w:cs="Times New Roman"/>
                <w:b/>
                <w:bCs/>
                <w:kern w:val="0"/>
                <w:szCs w:val="21"/>
                <w:highlight w:val="none"/>
                <w:lang w:eastAsia="zh-Hans"/>
              </w:rPr>
              <w:t>有效期内</w:t>
            </w:r>
            <w:r>
              <w:rPr>
                <w:rFonts w:hint="eastAsia" w:ascii="宋体" w:hAnsi="宋体" w:eastAsia="宋体" w:cs="Times New Roman"/>
                <w:b/>
                <w:bCs/>
                <w:kern w:val="0"/>
                <w:szCs w:val="21"/>
                <w:highlight w:val="none"/>
                <w:lang w:val="en-US" w:eastAsia="zh-CN"/>
              </w:rPr>
              <w:t>的</w:t>
            </w:r>
            <w:r>
              <w:rPr>
                <w:rFonts w:hint="eastAsia" w:ascii="宋体" w:hAnsi="宋体" w:eastAsia="宋体" w:cs="Times New Roman"/>
                <w:b/>
                <w:bCs/>
                <w:kern w:val="0"/>
                <w:szCs w:val="21"/>
                <w:highlight w:val="none"/>
                <w:lang w:eastAsia="zh-CN"/>
              </w:rPr>
              <w:t>《危险废物经营许可证》（</w:t>
            </w:r>
            <w:r>
              <w:rPr>
                <w:rFonts w:hint="eastAsia" w:ascii="宋体" w:hAnsi="宋体" w:eastAsia="宋体" w:cs="Times New Roman"/>
                <w:b/>
                <w:bCs/>
                <w:kern w:val="0"/>
                <w:szCs w:val="21"/>
                <w:highlight w:val="none"/>
                <w:lang w:val="en-US" w:eastAsia="zh-CN"/>
              </w:rPr>
              <w:t>核准经营危险</w:t>
            </w:r>
            <w:r>
              <w:rPr>
                <w:rFonts w:hint="eastAsia" w:ascii="宋体" w:hAnsi="宋体" w:eastAsia="宋体" w:cs="Times New Roman"/>
                <w:b/>
                <w:bCs/>
                <w:kern w:val="0"/>
                <w:szCs w:val="21"/>
                <w:highlight w:val="none"/>
                <w:lang w:eastAsia="zh-CN"/>
              </w:rPr>
              <w:t>废物类别：HW</w:t>
            </w:r>
            <w:r>
              <w:rPr>
                <w:rFonts w:hint="eastAsia" w:ascii="宋体" w:hAnsi="宋体" w:eastAsia="宋体" w:cs="Times New Roman"/>
                <w:b/>
                <w:bCs/>
                <w:kern w:val="0"/>
                <w:szCs w:val="21"/>
                <w:highlight w:val="none"/>
                <w:lang w:val="en-US" w:eastAsia="zh-CN"/>
              </w:rPr>
              <w:t>04</w:t>
            </w:r>
            <w:r>
              <w:rPr>
                <w:rFonts w:hint="eastAsia" w:ascii="宋体" w:hAnsi="宋体" w:eastAsia="宋体" w:cs="Times New Roman"/>
                <w:b/>
                <w:bCs/>
                <w:kern w:val="0"/>
                <w:szCs w:val="21"/>
                <w:highlight w:val="none"/>
                <w:lang w:eastAsia="zh-CN"/>
              </w:rPr>
              <w:t>）</w:t>
            </w:r>
            <w:r>
              <w:rPr>
                <w:rFonts w:hint="eastAsia" w:ascii="宋体" w:hAnsi="宋体" w:eastAsia="宋体" w:cs="Times New Roman"/>
                <w:b/>
                <w:bCs/>
                <w:kern w:val="0"/>
                <w:szCs w:val="21"/>
                <w:highlight w:val="none"/>
                <w:lang w:eastAsia="zh-Hans"/>
              </w:rPr>
              <w:t>证件复印件</w:t>
            </w:r>
            <w:r>
              <w:rPr>
                <w:rFonts w:hint="eastAsia" w:ascii="宋体" w:hAnsi="宋体" w:eastAsia="宋体" w:cs="Times New Roman"/>
                <w:b/>
                <w:bCs/>
                <w:kern w:val="0"/>
                <w:szCs w:val="21"/>
                <w:highlight w:val="none"/>
                <w:lang w:val="en-US" w:eastAsia="zh-CN"/>
              </w:rPr>
              <w:t>并加盖投标人公章</w:t>
            </w:r>
            <w:r>
              <w:rPr>
                <w:rFonts w:hint="eastAsia" w:ascii="宋体" w:hAnsi="宋体" w:eastAsia="宋体" w:cs="Times New Roman"/>
                <w:b/>
                <w:bCs/>
                <w:kern w:val="0"/>
                <w:szCs w:val="21"/>
                <w:highlight w:val="none"/>
                <w:lang w:eastAsia="zh-CN"/>
              </w:rPr>
              <w:t>；</w:t>
            </w:r>
          </w:p>
          <w:p w14:paraId="2DF4635B">
            <w:pPr>
              <w:widowControl/>
              <w:rPr>
                <w:rFonts w:hint="eastAsia" w:ascii="宋体" w:hAnsi="宋体" w:eastAsia="宋体" w:cs="Times New Roman"/>
                <w:kern w:val="0"/>
                <w:szCs w:val="21"/>
                <w:highlight w:val="none"/>
                <w:lang w:eastAsia="zh-Hans"/>
              </w:rPr>
            </w:pPr>
            <w:r>
              <w:rPr>
                <w:rFonts w:hint="eastAsia" w:ascii="宋体" w:hAnsi="宋体" w:eastAsia="宋体" w:cs="Times New Roman"/>
                <w:b/>
                <w:bCs/>
                <w:kern w:val="0"/>
                <w:szCs w:val="21"/>
                <w:highlight w:val="none"/>
                <w:lang w:eastAsia="zh-Hans"/>
              </w:rPr>
              <w:t>（2）投标人</w:t>
            </w:r>
            <w:r>
              <w:rPr>
                <w:rFonts w:hint="eastAsia" w:ascii="宋体" w:hAnsi="宋体" w:eastAsia="宋体" w:cs="Times New Roman"/>
                <w:b/>
                <w:bCs/>
                <w:kern w:val="0"/>
                <w:szCs w:val="21"/>
                <w:highlight w:val="none"/>
                <w:lang w:val="en-US" w:eastAsia="zh-CN"/>
              </w:rPr>
              <w:t>须提供</w:t>
            </w:r>
            <w:r>
              <w:rPr>
                <w:rFonts w:hint="eastAsia" w:ascii="宋体" w:hAnsi="宋体" w:eastAsia="宋体" w:cs="Times New Roman"/>
                <w:b/>
                <w:bCs/>
                <w:kern w:val="0"/>
                <w:szCs w:val="21"/>
                <w:highlight w:val="none"/>
                <w:lang w:eastAsia="zh-Hans"/>
              </w:rPr>
              <w:t>有效期内</w:t>
            </w:r>
            <w:r>
              <w:rPr>
                <w:rFonts w:hint="eastAsia" w:ascii="宋体" w:hAnsi="宋体" w:eastAsia="宋体" w:cs="Times New Roman"/>
                <w:b/>
                <w:bCs/>
                <w:kern w:val="0"/>
                <w:szCs w:val="21"/>
                <w:highlight w:val="none"/>
                <w:lang w:val="en-US" w:eastAsia="zh-CN"/>
              </w:rPr>
              <w:t>的</w:t>
            </w:r>
            <w:r>
              <w:rPr>
                <w:rFonts w:hint="eastAsia" w:ascii="宋体" w:hAnsi="宋体" w:eastAsia="宋体" w:cs="Times New Roman"/>
                <w:b/>
                <w:bCs/>
                <w:kern w:val="0"/>
                <w:szCs w:val="21"/>
                <w:highlight w:val="none"/>
                <w:lang w:eastAsia="zh-CN"/>
              </w:rPr>
              <w:t>《</w:t>
            </w:r>
            <w:r>
              <w:rPr>
                <w:rFonts w:hint="eastAsia" w:ascii="宋体" w:hAnsi="宋体" w:eastAsia="宋体" w:cs="Times New Roman"/>
                <w:b/>
                <w:bCs/>
                <w:kern w:val="0"/>
                <w:szCs w:val="21"/>
                <w:highlight w:val="none"/>
                <w:lang w:eastAsia="zh-Hans"/>
              </w:rPr>
              <w:t>道路运输</w:t>
            </w:r>
            <w:r>
              <w:rPr>
                <w:rFonts w:hint="eastAsia" w:ascii="宋体" w:hAnsi="宋体" w:eastAsia="宋体" w:cs="Times New Roman"/>
                <w:b/>
                <w:bCs/>
                <w:kern w:val="0"/>
                <w:szCs w:val="21"/>
                <w:highlight w:val="none"/>
                <w:lang w:val="en-US" w:eastAsia="zh-CN"/>
              </w:rPr>
              <w:t>经营</w:t>
            </w:r>
            <w:r>
              <w:rPr>
                <w:rFonts w:hint="eastAsia" w:ascii="宋体" w:hAnsi="宋体" w:eastAsia="宋体" w:cs="Times New Roman"/>
                <w:b/>
                <w:bCs/>
                <w:kern w:val="0"/>
                <w:szCs w:val="21"/>
                <w:highlight w:val="none"/>
                <w:lang w:eastAsia="zh-Hans"/>
              </w:rPr>
              <w:t>许可证</w:t>
            </w:r>
            <w:r>
              <w:rPr>
                <w:rFonts w:hint="eastAsia" w:ascii="宋体" w:hAnsi="宋体" w:eastAsia="宋体" w:cs="Times New Roman"/>
                <w:b/>
                <w:bCs/>
                <w:kern w:val="0"/>
                <w:szCs w:val="21"/>
                <w:highlight w:val="none"/>
                <w:lang w:eastAsia="zh-CN"/>
              </w:rPr>
              <w:t>》（</w:t>
            </w:r>
            <w:r>
              <w:rPr>
                <w:rFonts w:hint="eastAsia" w:ascii="宋体" w:hAnsi="宋体" w:eastAsia="宋体" w:cs="Times New Roman"/>
                <w:b/>
                <w:bCs/>
                <w:kern w:val="0"/>
                <w:szCs w:val="21"/>
                <w:highlight w:val="none"/>
                <w:lang w:eastAsia="zh-Hans"/>
              </w:rPr>
              <w:t>经营范围包含危险货物运输</w:t>
            </w:r>
            <w:r>
              <w:rPr>
                <w:rFonts w:hint="eastAsia" w:ascii="宋体" w:hAnsi="宋体" w:eastAsia="宋体" w:cs="Times New Roman"/>
                <w:b/>
                <w:bCs/>
                <w:kern w:val="0"/>
                <w:szCs w:val="21"/>
                <w:highlight w:val="none"/>
                <w:lang w:eastAsia="zh-CN"/>
              </w:rPr>
              <w:t>）</w:t>
            </w:r>
            <w:r>
              <w:rPr>
                <w:rFonts w:hint="eastAsia" w:ascii="宋体" w:hAnsi="宋体" w:eastAsia="宋体" w:cs="Times New Roman"/>
                <w:b/>
                <w:bCs/>
                <w:kern w:val="0"/>
                <w:szCs w:val="21"/>
                <w:highlight w:val="none"/>
                <w:lang w:eastAsia="zh-Hans"/>
              </w:rPr>
              <w:t>证件复印件</w:t>
            </w:r>
            <w:r>
              <w:rPr>
                <w:rFonts w:hint="eastAsia" w:ascii="宋体" w:hAnsi="宋体" w:eastAsia="宋体" w:cs="Times New Roman"/>
                <w:b/>
                <w:bCs/>
                <w:kern w:val="0"/>
                <w:szCs w:val="21"/>
                <w:highlight w:val="none"/>
                <w:lang w:val="en-US" w:eastAsia="zh-CN"/>
              </w:rPr>
              <w:t>并加盖投标人公章。</w:t>
            </w:r>
          </w:p>
        </w:tc>
      </w:tr>
      <w:bookmarkEnd w:id="27"/>
    </w:tbl>
    <w:p w14:paraId="6DEE0A7C">
      <w:pPr>
        <w:pageBreakBefore/>
        <w:jc w:val="left"/>
        <w:rPr>
          <w:rFonts w:hint="eastAsia" w:ascii="宋体" w:hAnsi="宋体" w:eastAsia="宋体" w:cs="Times New Roman"/>
          <w:b/>
          <w:bCs/>
          <w:kern w:val="0"/>
          <w:szCs w:val="21"/>
          <w:lang w:eastAsia="zh-Hans"/>
        </w:rPr>
      </w:pPr>
      <w:bookmarkStart w:id="28" w:name="_Hlk169888893"/>
      <w:r>
        <w:rPr>
          <w:rFonts w:ascii="宋体" w:hAnsi="宋体" w:eastAsia="宋体" w:cs="Times New Roman"/>
          <w:b/>
          <w:bCs/>
          <w:kern w:val="0"/>
          <w:szCs w:val="21"/>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693E0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7A7C14A">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4621" w:type="pct"/>
          </w:tcPr>
          <w:p w14:paraId="7FA9E027">
            <w:pPr>
              <w:widowControl/>
              <w:jc w:val="left"/>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审查内容</w:t>
            </w:r>
          </w:p>
        </w:tc>
      </w:tr>
      <w:tr w14:paraId="4362E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44B109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621" w:type="pct"/>
          </w:tcPr>
          <w:p w14:paraId="5D5A16E5">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报价符合本项目报价要求。</w:t>
            </w:r>
          </w:p>
        </w:tc>
      </w:tr>
      <w:tr w14:paraId="7B056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DB8EE73">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621" w:type="pct"/>
          </w:tcPr>
          <w:p w14:paraId="30EE2120">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法人授权委托证明。(投标人代表为法定代表人的除外)</w:t>
            </w:r>
          </w:p>
        </w:tc>
      </w:tr>
      <w:tr w14:paraId="5E3FC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9BE402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621" w:type="pct"/>
          </w:tcPr>
          <w:p w14:paraId="477ACC51">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投标函已提交并符合招标文件要求的，且投标有效期不少于招标文件中载明的投标有效期。</w:t>
            </w:r>
          </w:p>
        </w:tc>
      </w:tr>
      <w:tr w14:paraId="650BF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821F6AB">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621" w:type="pct"/>
          </w:tcPr>
          <w:p w14:paraId="0DB5F1C2">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投标文件的签署、盖章符合招标文件要求。</w:t>
            </w:r>
          </w:p>
        </w:tc>
      </w:tr>
      <w:tr w14:paraId="51AE2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20D11EC">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621" w:type="pct"/>
          </w:tcPr>
          <w:p w14:paraId="62DC37D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采购需求当中的</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条款满足要求。(若本项目无</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条款，此项通过)</w:t>
            </w:r>
          </w:p>
        </w:tc>
      </w:tr>
      <w:tr w14:paraId="08DD7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5D2BFE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621" w:type="pct"/>
          </w:tcPr>
          <w:p w14:paraId="28F0EC6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投标文件未出现选择性报价或有附加条件报价的情形。</w:t>
            </w:r>
          </w:p>
        </w:tc>
      </w:tr>
      <w:tr w14:paraId="20B5D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A3B225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4621" w:type="pct"/>
          </w:tcPr>
          <w:p w14:paraId="4F037DF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投标文件没有招标文件中规定的其它无效投标条款的。</w:t>
            </w:r>
          </w:p>
        </w:tc>
      </w:tr>
      <w:bookmarkEnd w:id="28"/>
    </w:tbl>
    <w:p w14:paraId="1730AD49">
      <w:pPr>
        <w:pStyle w:val="24"/>
        <w:numPr>
          <w:ilvl w:val="3"/>
          <w:numId w:val="80"/>
        </w:numPr>
        <w:spacing w:before="217" w:beforeLines="50"/>
        <w:ind w:left="284" w:hanging="284" w:firstLineChars="0"/>
        <w:jc w:val="left"/>
        <w:outlineLvl w:val="3"/>
        <w:rPr>
          <w:rFonts w:hint="eastAsia" w:ascii="宋体" w:hAnsi="宋体" w:eastAsia="宋体" w:cs="Times New Roman"/>
          <w:kern w:val="0"/>
          <w:szCs w:val="21"/>
          <w:lang w:eastAsia="zh-Hans"/>
        </w:rPr>
      </w:pPr>
      <w:bookmarkStart w:id="29" w:name="_Hlk169889470"/>
      <w:r>
        <w:rPr>
          <w:rFonts w:ascii="宋体" w:hAnsi="宋体" w:eastAsia="宋体" w:cs="Times New Roman"/>
          <w:b/>
          <w:kern w:val="0"/>
          <w:szCs w:val="21"/>
          <w:lang w:eastAsia="zh-Hans"/>
        </w:rPr>
        <w:t>详细评审</w:t>
      </w:r>
      <w:bookmarkEnd w:id="29"/>
    </w:p>
    <w:tbl>
      <w:tblPr>
        <w:tblStyle w:val="12"/>
        <w:tblW w:w="49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719"/>
      </w:tblGrid>
      <w:tr w14:paraId="6013A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87" w:type="pct"/>
            <w:vAlign w:val="center"/>
          </w:tcPr>
          <w:p w14:paraId="2DF91CD6">
            <w:pPr>
              <w:pStyle w:val="27"/>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bookmarkStart w:id="30" w:name="_Hlk169889554"/>
            <w:r>
              <w:rPr>
                <w:rFonts w:hint="eastAsia" w:ascii="宋体" w:eastAsia="宋体"/>
                <w:b/>
                <w:color w:val="000000" w:themeColor="text1"/>
                <w:sz w:val="21"/>
                <w:szCs w:val="21"/>
                <w14:textFill>
                  <w14:solidFill>
                    <w14:schemeClr w14:val="tx1"/>
                  </w14:solidFill>
                </w14:textFill>
              </w:rPr>
              <w:t>序号</w:t>
            </w:r>
          </w:p>
        </w:tc>
        <w:tc>
          <w:tcPr>
            <w:tcW w:w="844" w:type="pct"/>
            <w:gridSpan w:val="2"/>
            <w:vAlign w:val="center"/>
          </w:tcPr>
          <w:p w14:paraId="4A65DB05">
            <w:pPr>
              <w:pStyle w:val="27"/>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评分内容</w:t>
            </w:r>
          </w:p>
        </w:tc>
        <w:tc>
          <w:tcPr>
            <w:tcW w:w="538" w:type="pct"/>
            <w:vAlign w:val="center"/>
          </w:tcPr>
          <w:p w14:paraId="3B09CFAC">
            <w:pPr>
              <w:pStyle w:val="27"/>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分值</w:t>
            </w:r>
          </w:p>
        </w:tc>
        <w:tc>
          <w:tcPr>
            <w:tcW w:w="3130" w:type="pct"/>
            <w:vAlign w:val="center"/>
          </w:tcPr>
          <w:p w14:paraId="3B86A7E9">
            <w:pPr>
              <w:pStyle w:val="27"/>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评审标准</w:t>
            </w:r>
          </w:p>
        </w:tc>
      </w:tr>
      <w:tr w14:paraId="0C22B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11A4A04B">
            <w:pPr>
              <w:pStyle w:val="27"/>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商务评审细则（</w:t>
            </w:r>
            <w:r>
              <w:rPr>
                <w:rFonts w:hint="eastAsia" w:ascii="宋体" w:eastAsia="宋体"/>
                <w:b/>
                <w:color w:val="000000" w:themeColor="text1"/>
                <w:sz w:val="21"/>
                <w:szCs w:val="21"/>
                <w:lang w:val="en-US" w:eastAsia="zh-CN"/>
                <w14:textFill>
                  <w14:solidFill>
                    <w14:schemeClr w14:val="tx1"/>
                  </w14:solidFill>
                </w14:textFill>
              </w:rPr>
              <w:t>25</w:t>
            </w:r>
            <w:r>
              <w:rPr>
                <w:rFonts w:hint="eastAsia" w:ascii="宋体" w:eastAsia="宋体"/>
                <w:b/>
                <w:color w:val="000000" w:themeColor="text1"/>
                <w:sz w:val="21"/>
                <w:szCs w:val="21"/>
                <w14:textFill>
                  <w14:solidFill>
                    <w14:schemeClr w14:val="tx1"/>
                  </w14:solidFill>
                </w14:textFill>
              </w:rPr>
              <w:t>分）</w:t>
            </w:r>
          </w:p>
        </w:tc>
      </w:tr>
      <w:tr w14:paraId="31B68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87" w:type="pct"/>
            <w:vAlign w:val="center"/>
          </w:tcPr>
          <w:p w14:paraId="594AB556">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835" w:type="pct"/>
            <w:vAlign w:val="center"/>
          </w:tcPr>
          <w:p w14:paraId="4F4B0F3A">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项目业绩</w:t>
            </w:r>
          </w:p>
        </w:tc>
        <w:tc>
          <w:tcPr>
            <w:tcW w:w="546" w:type="pct"/>
            <w:gridSpan w:val="2"/>
            <w:vAlign w:val="center"/>
          </w:tcPr>
          <w:p w14:paraId="4E3A2DE5">
            <w:pPr>
              <w:widowControl/>
              <w:spacing w:line="400" w:lineRule="exact"/>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9</w:t>
            </w:r>
            <w:r>
              <w:rPr>
                <w:rFonts w:hint="eastAsia" w:ascii="宋体" w:hAnsi="宋体" w:eastAsia="宋体"/>
                <w:bCs/>
                <w:color w:val="000000" w:themeColor="text1"/>
                <w:szCs w:val="21"/>
                <w14:textFill>
                  <w14:solidFill>
                    <w14:schemeClr w14:val="tx1"/>
                  </w14:solidFill>
                </w14:textFill>
              </w:rPr>
              <w:t>分</w:t>
            </w:r>
          </w:p>
        </w:tc>
        <w:tc>
          <w:tcPr>
            <w:tcW w:w="3130" w:type="pct"/>
            <w:vAlign w:val="center"/>
          </w:tcPr>
          <w:p w14:paraId="3E8D5273">
            <w:pPr>
              <w:spacing w:line="400" w:lineRule="exact"/>
              <w:rPr>
                <w:rFonts w:hint="eastAsia" w:ascii="宋体" w:hAnsi="宋体" w:eastAsia="宋体"/>
                <w:b w:val="0"/>
                <w:bCs/>
                <w:color w:val="000000" w:themeColor="text1"/>
                <w:szCs w:val="21"/>
                <w:u w:val="none"/>
                <w:lang w:val="en-US" w:eastAsia="zh-CN"/>
                <w14:textFill>
                  <w14:solidFill>
                    <w14:schemeClr w14:val="tx1"/>
                  </w14:solidFill>
                </w14:textFill>
              </w:rPr>
            </w:pPr>
            <w:r>
              <w:rPr>
                <w:rFonts w:hint="eastAsia" w:ascii="宋体" w:hAnsi="宋体" w:eastAsia="宋体"/>
                <w:b w:val="0"/>
                <w:bCs/>
                <w:color w:val="000000" w:themeColor="text1"/>
                <w:szCs w:val="21"/>
                <w:u w:val="none"/>
                <w:lang w:val="en-US" w:eastAsia="zh-CN"/>
                <w14:textFill>
                  <w14:solidFill>
                    <w14:schemeClr w14:val="tx1"/>
                  </w14:solidFill>
                </w14:textFill>
              </w:rPr>
              <w:t>根据投标人提供的</w:t>
            </w:r>
            <w:r>
              <w:rPr>
                <w:rFonts w:hint="eastAsia" w:ascii="宋体" w:hAnsi="宋体" w:eastAsia="宋体" w:cstheme="minorBidi"/>
                <w:bCs/>
                <w:color w:val="000000" w:themeColor="text1"/>
                <w:sz w:val="21"/>
                <w:szCs w:val="21"/>
                <w:highlight w:val="none"/>
                <w:u w:val="none"/>
                <w:lang w:val="en-US" w:eastAsia="zh-CN"/>
                <w14:textFill>
                  <w14:solidFill>
                    <w14:schemeClr w14:val="tx1"/>
                  </w14:solidFill>
                </w14:textFill>
              </w:rPr>
              <w:t>农药包装废弃物</w:t>
            </w:r>
            <w:r>
              <w:rPr>
                <w:rFonts w:hint="eastAsia" w:ascii="宋体" w:hAnsi="宋体" w:eastAsia="宋体"/>
                <w:b w:val="0"/>
                <w:bCs/>
                <w:color w:val="000000" w:themeColor="text1"/>
                <w:szCs w:val="21"/>
                <w:u w:val="none"/>
                <w:lang w:val="en-US" w:eastAsia="zh-CN"/>
                <w14:textFill>
                  <w14:solidFill>
                    <w14:schemeClr w14:val="tx1"/>
                  </w14:solidFill>
                </w14:textFill>
              </w:rPr>
              <w:t>或废旧农膜或</w:t>
            </w:r>
            <w:r>
              <w:rPr>
                <w:rFonts w:hint="eastAsia" w:ascii="宋体" w:hAnsi="宋体" w:eastAsia="宋体" w:cstheme="minorBidi"/>
                <w:bCs/>
                <w:color w:val="000000" w:themeColor="text1"/>
                <w:sz w:val="21"/>
                <w:szCs w:val="21"/>
                <w:highlight w:val="none"/>
                <w:u w:val="none"/>
                <w:lang w:val="en-US" w:eastAsia="zh-CN"/>
                <w14:textFill>
                  <w14:solidFill>
                    <w14:schemeClr w14:val="tx1"/>
                  </w14:solidFill>
                </w14:textFill>
              </w:rPr>
              <w:t>假农药（劣质农药、过期农药或罚没农药）</w:t>
            </w:r>
            <w:r>
              <w:rPr>
                <w:rFonts w:hint="eastAsia" w:ascii="宋体" w:hAnsi="宋体" w:eastAsia="宋体" w:cstheme="minorBidi"/>
                <w:bCs/>
                <w:color w:val="000000" w:themeColor="text1"/>
                <w:sz w:val="21"/>
                <w:szCs w:val="21"/>
                <w:u w:val="none"/>
                <w:lang w:val="en-US" w:eastAsia="zh-CN"/>
                <w14:textFill>
                  <w14:solidFill>
                    <w14:schemeClr w14:val="tx1"/>
                  </w14:solidFill>
                </w14:textFill>
              </w:rPr>
              <w:t>的</w:t>
            </w:r>
            <w:r>
              <w:rPr>
                <w:rFonts w:hint="eastAsia" w:ascii="宋体" w:hAnsi="宋体" w:eastAsia="宋体"/>
                <w:b w:val="0"/>
                <w:bCs/>
                <w:color w:val="000000" w:themeColor="text1"/>
                <w:szCs w:val="21"/>
                <w:u w:val="none"/>
                <w:lang w:val="en-US" w:eastAsia="zh-CN"/>
                <w14:textFill>
                  <w14:solidFill>
                    <w14:schemeClr w14:val="tx1"/>
                  </w14:solidFill>
                </w14:textFill>
              </w:rPr>
              <w:t>回收处理类项目业绩进行评审，每提供一个得3分，最高得9分。</w:t>
            </w:r>
          </w:p>
          <w:p w14:paraId="0D6F3D0A">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bCs w:val="0"/>
                <w:color w:val="000000" w:themeColor="text1"/>
                <w:szCs w:val="21"/>
                <w:u w:val="single"/>
                <w:lang w:val="en-US" w:eastAsia="zh-CN"/>
                <w14:textFill>
                  <w14:solidFill>
                    <w14:schemeClr w14:val="tx1"/>
                  </w14:solidFill>
                </w14:textFill>
              </w:rPr>
              <w:t>注：须提供合同复印件加盖投标人公章作证明材料，项目业绩认定时间为2021年1月1日起至投标截止之日。</w:t>
            </w:r>
          </w:p>
        </w:tc>
      </w:tr>
      <w:tr w14:paraId="1C492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87" w:type="pct"/>
            <w:vMerge w:val="restart"/>
            <w:vAlign w:val="center"/>
          </w:tcPr>
          <w:p w14:paraId="057D2C48">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835" w:type="pct"/>
            <w:vMerge w:val="restart"/>
            <w:vAlign w:val="center"/>
          </w:tcPr>
          <w:p w14:paraId="318039C5">
            <w:pPr>
              <w:spacing w:line="400" w:lineRule="exact"/>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仓储情况</w:t>
            </w:r>
          </w:p>
        </w:tc>
        <w:tc>
          <w:tcPr>
            <w:tcW w:w="546" w:type="pct"/>
            <w:gridSpan w:val="2"/>
            <w:vAlign w:val="center"/>
          </w:tcPr>
          <w:p w14:paraId="43585E15">
            <w:pPr>
              <w:widowControl/>
              <w:spacing w:line="400" w:lineRule="exact"/>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4</w:t>
            </w:r>
            <w:r>
              <w:rPr>
                <w:rFonts w:hint="eastAsia" w:ascii="宋体" w:hAnsi="宋体" w:eastAsia="宋体"/>
                <w:bCs/>
                <w:color w:val="000000" w:themeColor="text1"/>
                <w:szCs w:val="21"/>
                <w14:textFill>
                  <w14:solidFill>
                    <w14:schemeClr w14:val="tx1"/>
                  </w14:solidFill>
                </w14:textFill>
              </w:rPr>
              <w:t>分</w:t>
            </w:r>
          </w:p>
        </w:tc>
        <w:tc>
          <w:tcPr>
            <w:tcW w:w="3130" w:type="pct"/>
            <w:vAlign w:val="top"/>
          </w:tcPr>
          <w:p w14:paraId="776AEE2D">
            <w:pPr>
              <w:spacing w:line="400" w:lineRule="exact"/>
              <w:rPr>
                <w:rFonts w:hint="default" w:ascii="宋体" w:hAnsi="宋体" w:eastAsia="宋体"/>
                <w:b w:val="0"/>
                <w:bCs/>
                <w:color w:val="000000" w:themeColor="text1"/>
                <w:szCs w:val="21"/>
                <w:u w:val="none"/>
                <w:lang w:val="en-US" w:eastAsia="zh-CN"/>
                <w14:textFill>
                  <w14:solidFill>
                    <w14:schemeClr w14:val="tx1"/>
                  </w14:solidFill>
                </w14:textFill>
              </w:rPr>
            </w:pPr>
            <w:r>
              <w:rPr>
                <w:rFonts w:hint="default" w:ascii="宋体" w:hAnsi="宋体" w:eastAsia="宋体"/>
                <w:b w:val="0"/>
                <w:bCs/>
                <w:color w:val="000000" w:themeColor="text1"/>
                <w:szCs w:val="21"/>
                <w:u w:val="none"/>
                <w:lang w:val="en-US" w:eastAsia="zh-CN"/>
                <w14:textFill>
                  <w14:solidFill>
                    <w14:schemeClr w14:val="tx1"/>
                  </w14:solidFill>
                </w14:textFill>
              </w:rPr>
              <w:t>投标</w:t>
            </w:r>
            <w:r>
              <w:rPr>
                <w:rFonts w:hint="eastAsia" w:ascii="宋体" w:hAnsi="宋体" w:eastAsia="宋体"/>
                <w:b w:val="0"/>
                <w:bCs/>
                <w:color w:val="000000" w:themeColor="text1"/>
                <w:szCs w:val="21"/>
                <w:u w:val="none"/>
                <w:lang w:val="en-US" w:eastAsia="zh-CN"/>
                <w14:textFill>
                  <w14:solidFill>
                    <w14:schemeClr w14:val="tx1"/>
                  </w14:solidFill>
                </w14:textFill>
              </w:rPr>
              <w:t>人具有（自有或租赁）</w:t>
            </w:r>
            <w:r>
              <w:rPr>
                <w:rFonts w:hint="default" w:ascii="宋体" w:hAnsi="宋体" w:eastAsia="宋体"/>
                <w:b w:val="0"/>
                <w:bCs/>
                <w:color w:val="000000" w:themeColor="text1"/>
                <w:szCs w:val="21"/>
                <w:u w:val="none"/>
                <w:lang w:val="en-US" w:eastAsia="zh-CN"/>
                <w14:textFill>
                  <w14:solidFill>
                    <w14:schemeClr w14:val="tx1"/>
                  </w14:solidFill>
                </w14:textFill>
              </w:rPr>
              <w:t>面积1</w:t>
            </w:r>
            <w:r>
              <w:rPr>
                <w:rFonts w:hint="eastAsia" w:ascii="宋体" w:hAnsi="宋体" w:eastAsia="宋体"/>
                <w:b w:val="0"/>
                <w:bCs/>
                <w:color w:val="000000" w:themeColor="text1"/>
                <w:szCs w:val="21"/>
                <w:u w:val="none"/>
                <w:lang w:val="en-US" w:eastAsia="zh-CN"/>
                <w14:textFill>
                  <w14:solidFill>
                    <w14:schemeClr w14:val="tx1"/>
                  </w14:solidFill>
                </w14:textFill>
              </w:rPr>
              <w:t>00</w:t>
            </w:r>
            <w:r>
              <w:rPr>
                <w:rFonts w:hint="default" w:ascii="宋体" w:hAnsi="宋体" w:eastAsia="宋体"/>
                <w:b w:val="0"/>
                <w:bCs/>
                <w:color w:val="000000" w:themeColor="text1"/>
                <w:szCs w:val="21"/>
                <w:u w:val="none"/>
                <w:lang w:val="en-US" w:eastAsia="zh-CN"/>
                <w14:textFill>
                  <w14:solidFill>
                    <w14:schemeClr w14:val="tx1"/>
                  </w14:solidFill>
                </w14:textFill>
              </w:rPr>
              <w:t>平方米</w:t>
            </w:r>
            <w:r>
              <w:rPr>
                <w:rFonts w:hint="eastAsia" w:ascii="宋体" w:hAnsi="宋体" w:eastAsia="宋体"/>
                <w:b w:val="0"/>
                <w:bCs/>
                <w:color w:val="000000" w:themeColor="text1"/>
                <w:szCs w:val="21"/>
                <w:u w:val="none"/>
                <w:lang w:val="en-US" w:eastAsia="zh-CN"/>
                <w14:textFill>
                  <w14:solidFill>
                    <w14:schemeClr w14:val="tx1"/>
                  </w14:solidFill>
                </w14:textFill>
              </w:rPr>
              <w:t>（含）</w:t>
            </w:r>
            <w:r>
              <w:rPr>
                <w:rFonts w:hint="default" w:ascii="宋体" w:hAnsi="宋体" w:eastAsia="宋体"/>
                <w:b w:val="0"/>
                <w:bCs/>
                <w:color w:val="000000" w:themeColor="text1"/>
                <w:szCs w:val="21"/>
                <w:u w:val="none"/>
                <w:lang w:val="en-US" w:eastAsia="zh-CN"/>
                <w14:textFill>
                  <w14:solidFill>
                    <w14:schemeClr w14:val="tx1"/>
                  </w14:solidFill>
                </w14:textFill>
              </w:rPr>
              <w:t>以上的</w:t>
            </w:r>
            <w:r>
              <w:rPr>
                <w:rFonts w:hint="eastAsia" w:ascii="宋体" w:hAnsi="宋体" w:eastAsia="宋体"/>
                <w:b w:val="0"/>
                <w:bCs/>
                <w:color w:val="000000" w:themeColor="text1"/>
                <w:szCs w:val="21"/>
                <w:u w:val="none"/>
                <w:lang w:val="en-US" w:eastAsia="zh-CN"/>
                <w14:textFill>
                  <w14:solidFill>
                    <w14:schemeClr w14:val="tx1"/>
                  </w14:solidFill>
                </w14:textFill>
              </w:rPr>
              <w:t>农药包装废弃物及废旧农膜</w:t>
            </w:r>
            <w:r>
              <w:rPr>
                <w:rFonts w:hint="default" w:ascii="宋体" w:hAnsi="宋体" w:eastAsia="宋体"/>
                <w:b w:val="0"/>
                <w:bCs/>
                <w:color w:val="000000" w:themeColor="text1"/>
                <w:szCs w:val="21"/>
                <w:u w:val="none"/>
                <w:lang w:val="en-US" w:eastAsia="zh-CN"/>
                <w14:textFill>
                  <w14:solidFill>
                    <w14:schemeClr w14:val="tx1"/>
                  </w14:solidFill>
                </w14:textFill>
              </w:rPr>
              <w:t>中转</w:t>
            </w:r>
            <w:r>
              <w:rPr>
                <w:rFonts w:hint="eastAsia" w:ascii="宋体" w:hAnsi="宋体" w:eastAsia="宋体"/>
                <w:b w:val="0"/>
                <w:bCs/>
                <w:color w:val="000000" w:themeColor="text1"/>
                <w:szCs w:val="21"/>
                <w:u w:val="none"/>
                <w:lang w:val="en-US" w:eastAsia="zh-CN"/>
                <w14:textFill>
                  <w14:solidFill>
                    <w14:schemeClr w14:val="tx1"/>
                  </w14:solidFill>
                </w14:textFill>
              </w:rPr>
              <w:t>（暂存）</w:t>
            </w:r>
            <w:r>
              <w:rPr>
                <w:rFonts w:hint="default" w:ascii="宋体" w:hAnsi="宋体" w:eastAsia="宋体"/>
                <w:b w:val="0"/>
                <w:bCs/>
                <w:color w:val="000000" w:themeColor="text1"/>
                <w:szCs w:val="21"/>
                <w:u w:val="none"/>
                <w:lang w:val="en-US" w:eastAsia="zh-CN"/>
                <w14:textFill>
                  <w14:solidFill>
                    <w14:schemeClr w14:val="tx1"/>
                  </w14:solidFill>
                </w14:textFill>
              </w:rPr>
              <w:t>仓储</w:t>
            </w:r>
            <w:r>
              <w:rPr>
                <w:rFonts w:hint="eastAsia" w:ascii="宋体" w:hAnsi="宋体" w:eastAsia="宋体"/>
                <w:b w:val="0"/>
                <w:bCs/>
                <w:color w:val="000000" w:themeColor="text1"/>
                <w:szCs w:val="21"/>
                <w:u w:val="none"/>
                <w:lang w:val="en-US" w:eastAsia="zh-CN"/>
                <w14:textFill>
                  <w14:solidFill>
                    <w14:schemeClr w14:val="tx1"/>
                  </w14:solidFill>
                </w14:textFill>
              </w:rPr>
              <w:t>场地的，</w:t>
            </w:r>
            <w:r>
              <w:rPr>
                <w:rFonts w:hint="default" w:ascii="宋体" w:hAnsi="宋体" w:eastAsia="宋体"/>
                <w:b w:val="0"/>
                <w:bCs/>
                <w:color w:val="000000" w:themeColor="text1"/>
                <w:szCs w:val="21"/>
                <w:u w:val="none"/>
                <w:lang w:val="en-US" w:eastAsia="zh-CN"/>
                <w14:textFill>
                  <w14:solidFill>
                    <w14:schemeClr w14:val="tx1"/>
                  </w14:solidFill>
                </w14:textFill>
              </w:rPr>
              <w:t>得</w:t>
            </w:r>
            <w:r>
              <w:rPr>
                <w:rFonts w:hint="eastAsia" w:ascii="宋体" w:hAnsi="宋体" w:eastAsia="宋体"/>
                <w:b w:val="0"/>
                <w:bCs/>
                <w:color w:val="000000" w:themeColor="text1"/>
                <w:szCs w:val="21"/>
                <w:u w:val="none"/>
                <w:lang w:val="en-US" w:eastAsia="zh-CN"/>
                <w14:textFill>
                  <w14:solidFill>
                    <w14:schemeClr w14:val="tx1"/>
                  </w14:solidFill>
                </w14:textFill>
              </w:rPr>
              <w:t>4</w:t>
            </w:r>
            <w:r>
              <w:rPr>
                <w:rFonts w:hint="default" w:ascii="宋体" w:hAnsi="宋体" w:eastAsia="宋体"/>
                <w:b w:val="0"/>
                <w:bCs/>
                <w:color w:val="000000" w:themeColor="text1"/>
                <w:szCs w:val="21"/>
                <w:u w:val="none"/>
                <w:lang w:val="en-US" w:eastAsia="zh-CN"/>
                <w14:textFill>
                  <w14:solidFill>
                    <w14:schemeClr w14:val="tx1"/>
                  </w14:solidFill>
                </w14:textFill>
              </w:rPr>
              <w:t>分</w:t>
            </w:r>
            <w:r>
              <w:rPr>
                <w:rFonts w:hint="eastAsia" w:ascii="宋体" w:hAnsi="宋体" w:eastAsia="宋体"/>
                <w:b w:val="0"/>
                <w:bCs/>
                <w:color w:val="000000" w:themeColor="text1"/>
                <w:szCs w:val="21"/>
                <w:u w:val="none"/>
                <w:lang w:val="en-US" w:eastAsia="zh-CN"/>
                <w14:textFill>
                  <w14:solidFill>
                    <w14:schemeClr w14:val="tx1"/>
                  </w14:solidFill>
                </w14:textFill>
              </w:rPr>
              <w:t>。</w:t>
            </w:r>
          </w:p>
          <w:p w14:paraId="7B9C9E8F">
            <w:pPr>
              <w:spacing w:line="400" w:lineRule="exact"/>
              <w:rPr>
                <w:rFonts w:hint="eastAsia" w:ascii="宋体" w:hAnsi="宋体" w:eastAsia="宋体" w:cs="宋体"/>
                <w:b/>
                <w:bCs w:val="0"/>
                <w:color w:val="000000" w:themeColor="text1"/>
                <w:szCs w:val="21"/>
                <w:u w:val="single"/>
                <w:lang w:val="en-US" w:eastAsia="zh-CN"/>
                <w14:textFill>
                  <w14:solidFill>
                    <w14:schemeClr w14:val="tx1"/>
                  </w14:solidFill>
                </w14:textFill>
              </w:rPr>
            </w:pPr>
            <w:r>
              <w:rPr>
                <w:rFonts w:hint="default" w:ascii="宋体" w:hAnsi="宋体" w:eastAsia="宋体"/>
                <w:b/>
                <w:bCs w:val="0"/>
                <w:color w:val="000000" w:themeColor="text1"/>
                <w:szCs w:val="21"/>
                <w:u w:val="single"/>
                <w:lang w:val="en-US" w:eastAsia="zh-CN"/>
                <w14:textFill>
                  <w14:solidFill>
                    <w14:schemeClr w14:val="tx1"/>
                  </w14:solidFill>
                </w14:textFill>
              </w:rPr>
              <w:t>注：</w:t>
            </w:r>
            <w:r>
              <w:rPr>
                <w:rFonts w:hint="eastAsia" w:ascii="宋体" w:hAnsi="宋体" w:eastAsia="宋体" w:cs="宋体"/>
                <w:b/>
                <w:bCs w:val="0"/>
                <w:color w:val="000000" w:themeColor="text1"/>
                <w:szCs w:val="21"/>
                <w:u w:val="single"/>
                <w:lang w:val="en-US" w:eastAsia="zh-CN"/>
                <w14:textFill>
                  <w14:solidFill>
                    <w14:schemeClr w14:val="tx1"/>
                  </w14:solidFill>
                </w14:textFill>
              </w:rPr>
              <w:t>①仓库场所为投标人自有的，须提供产权证明复印件、面积证明材料及场地现场照片并加盖投标人公章；</w:t>
            </w:r>
          </w:p>
          <w:p w14:paraId="442AEADB">
            <w:pPr>
              <w:spacing w:line="400" w:lineRule="exact"/>
              <w:rPr>
                <w:rFonts w:hint="eastAsia" w:ascii="宋体" w:hAnsi="宋体" w:eastAsia="宋体" w:cs="宋体"/>
                <w:b/>
                <w:bCs w:val="0"/>
                <w:color w:val="000000" w:themeColor="text1"/>
                <w:szCs w:val="21"/>
                <w:u w:val="single"/>
                <w:lang w:val="en-US" w:eastAsia="zh-CN"/>
                <w14:textFill>
                  <w14:solidFill>
                    <w14:schemeClr w14:val="tx1"/>
                  </w14:solidFill>
                </w14:textFill>
              </w:rPr>
            </w:pPr>
            <w:r>
              <w:rPr>
                <w:rFonts w:hint="eastAsia" w:ascii="宋体" w:hAnsi="宋体" w:eastAsia="宋体" w:cs="宋体"/>
                <w:b/>
                <w:bCs w:val="0"/>
                <w:color w:val="000000" w:themeColor="text1"/>
                <w:szCs w:val="21"/>
                <w:u w:val="single"/>
                <w:lang w:val="en-US" w:eastAsia="zh-CN"/>
                <w14:textFill>
                  <w14:solidFill>
                    <w14:schemeClr w14:val="tx1"/>
                  </w14:solidFill>
                </w14:textFill>
              </w:rPr>
              <w:t>②若仓库场所为投标人租赁的，须提供在有效期内的租赁合同复印件、面积证明材料及场地现场照片并加盖投标人公章（如租赁期未涵盖本项目服务期的，还需提供承诺函续租至本项目服务期结束）；</w:t>
            </w:r>
          </w:p>
          <w:p w14:paraId="4EEC9A82">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cs="宋体"/>
                <w:b/>
                <w:bCs w:val="0"/>
                <w:color w:val="000000" w:themeColor="text1"/>
                <w:szCs w:val="21"/>
                <w:u w:val="single"/>
                <w:lang w:val="en-US" w:eastAsia="zh-CN"/>
                <w14:textFill>
                  <w14:solidFill>
                    <w14:schemeClr w14:val="tx1"/>
                  </w14:solidFill>
                </w14:textFill>
              </w:rPr>
              <w:t>③不提供资料或资料不齐全或资料不能完全体现评审要求的不得分。</w:t>
            </w:r>
          </w:p>
        </w:tc>
      </w:tr>
      <w:tr w14:paraId="41965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87" w:type="pct"/>
            <w:vMerge w:val="continue"/>
            <w:vAlign w:val="center"/>
          </w:tcPr>
          <w:p w14:paraId="56C461CE">
            <w:pPr>
              <w:spacing w:line="400" w:lineRule="exact"/>
              <w:jc w:val="center"/>
              <w:rPr>
                <w:rFonts w:hint="eastAsia" w:ascii="宋体" w:hAnsi="宋体" w:eastAsia="宋体"/>
                <w:color w:val="000000" w:themeColor="text1"/>
                <w:szCs w:val="21"/>
                <w14:textFill>
                  <w14:solidFill>
                    <w14:schemeClr w14:val="tx1"/>
                  </w14:solidFill>
                </w14:textFill>
              </w:rPr>
            </w:pPr>
          </w:p>
        </w:tc>
        <w:tc>
          <w:tcPr>
            <w:tcW w:w="835" w:type="pct"/>
            <w:vMerge w:val="continue"/>
            <w:vAlign w:val="center"/>
          </w:tcPr>
          <w:p w14:paraId="46C181A6">
            <w:pPr>
              <w:spacing w:line="400" w:lineRule="exact"/>
              <w:jc w:val="center"/>
              <w:rPr>
                <w:rFonts w:hint="eastAsia" w:ascii="宋体" w:hAnsi="宋体" w:eastAsia="宋体"/>
                <w:color w:val="000000" w:themeColor="text1"/>
                <w:szCs w:val="21"/>
                <w14:textFill>
                  <w14:solidFill>
                    <w14:schemeClr w14:val="tx1"/>
                  </w14:solidFill>
                </w14:textFill>
              </w:rPr>
            </w:pPr>
          </w:p>
        </w:tc>
        <w:tc>
          <w:tcPr>
            <w:tcW w:w="546" w:type="pct"/>
            <w:gridSpan w:val="2"/>
            <w:vAlign w:val="center"/>
          </w:tcPr>
          <w:p w14:paraId="13CBF332">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分</w:t>
            </w:r>
          </w:p>
        </w:tc>
        <w:tc>
          <w:tcPr>
            <w:tcW w:w="3130" w:type="pct"/>
            <w:vAlign w:val="top"/>
          </w:tcPr>
          <w:p w14:paraId="20E79234">
            <w:pPr>
              <w:spacing w:line="400" w:lineRule="exact"/>
              <w:rPr>
                <w:rFonts w:hint="default" w:ascii="宋体" w:hAnsi="宋体" w:eastAsia="宋体"/>
                <w:b w:val="0"/>
                <w:bCs/>
                <w:color w:val="000000" w:themeColor="text1"/>
                <w:szCs w:val="21"/>
                <w:u w:val="none"/>
                <w:lang w:val="en-US" w:eastAsia="zh-CN"/>
                <w14:textFill>
                  <w14:solidFill>
                    <w14:schemeClr w14:val="tx1"/>
                  </w14:solidFill>
                </w14:textFill>
              </w:rPr>
            </w:pPr>
            <w:r>
              <w:rPr>
                <w:rFonts w:hint="default" w:ascii="宋体" w:hAnsi="宋体" w:eastAsia="宋体"/>
                <w:b w:val="0"/>
                <w:bCs/>
                <w:color w:val="000000" w:themeColor="text1"/>
                <w:szCs w:val="21"/>
                <w:u w:val="none"/>
                <w:lang w:val="en-US" w:eastAsia="zh-CN"/>
                <w14:textFill>
                  <w14:solidFill>
                    <w14:schemeClr w14:val="tx1"/>
                  </w14:solidFill>
                </w14:textFill>
              </w:rPr>
              <w:t>投标</w:t>
            </w:r>
            <w:r>
              <w:rPr>
                <w:rFonts w:hint="eastAsia" w:ascii="宋体" w:hAnsi="宋体" w:eastAsia="宋体"/>
                <w:b w:val="0"/>
                <w:bCs/>
                <w:color w:val="000000" w:themeColor="text1"/>
                <w:szCs w:val="21"/>
                <w:u w:val="none"/>
                <w:lang w:val="en-US" w:eastAsia="zh-CN"/>
                <w14:textFill>
                  <w14:solidFill>
                    <w14:schemeClr w14:val="tx1"/>
                  </w14:solidFill>
                </w14:textFill>
              </w:rPr>
              <w:t>人</w:t>
            </w:r>
            <w:r>
              <w:rPr>
                <w:rFonts w:hint="default" w:ascii="宋体" w:hAnsi="宋体" w:eastAsia="宋体"/>
                <w:b w:val="0"/>
                <w:bCs/>
                <w:color w:val="000000" w:themeColor="text1"/>
                <w:szCs w:val="21"/>
                <w:u w:val="none"/>
                <w:lang w:val="en-US" w:eastAsia="zh-CN"/>
                <w14:textFill>
                  <w14:solidFill>
                    <w14:schemeClr w14:val="tx1"/>
                  </w14:solidFill>
                </w14:textFill>
              </w:rPr>
              <w:t>具有</w:t>
            </w:r>
            <w:r>
              <w:rPr>
                <w:rFonts w:hint="eastAsia" w:ascii="宋体" w:hAnsi="宋体" w:eastAsia="宋体"/>
                <w:b w:val="0"/>
                <w:bCs/>
                <w:color w:val="000000" w:themeColor="text1"/>
                <w:szCs w:val="21"/>
                <w:u w:val="none"/>
                <w:lang w:val="en-US" w:eastAsia="zh-CN"/>
                <w14:textFill>
                  <w14:solidFill>
                    <w14:schemeClr w14:val="tx1"/>
                  </w14:solidFill>
                </w14:textFill>
              </w:rPr>
              <w:t>（自有或租赁）</w:t>
            </w:r>
            <w:r>
              <w:rPr>
                <w:rFonts w:hint="default" w:ascii="宋体" w:hAnsi="宋体" w:eastAsia="宋体"/>
                <w:b w:val="0"/>
                <w:bCs/>
                <w:color w:val="000000" w:themeColor="text1"/>
                <w:szCs w:val="21"/>
                <w:u w:val="none"/>
                <w:lang w:val="en-US" w:eastAsia="zh-CN"/>
                <w14:textFill>
                  <w14:solidFill>
                    <w14:schemeClr w14:val="tx1"/>
                  </w14:solidFill>
                </w14:textFill>
              </w:rPr>
              <w:t>符合危险</w:t>
            </w:r>
            <w:r>
              <w:rPr>
                <w:rFonts w:hint="eastAsia" w:ascii="宋体" w:hAnsi="宋体" w:eastAsia="宋体"/>
                <w:b w:val="0"/>
                <w:bCs/>
                <w:color w:val="000000" w:themeColor="text1"/>
                <w:szCs w:val="21"/>
                <w:u w:val="none"/>
                <w:lang w:val="en-US" w:eastAsia="zh-CN"/>
                <w14:textFill>
                  <w14:solidFill>
                    <w14:schemeClr w14:val="tx1"/>
                  </w14:solidFill>
                </w14:textFill>
              </w:rPr>
              <w:t>废物储存</w:t>
            </w:r>
            <w:r>
              <w:rPr>
                <w:rFonts w:hint="default" w:ascii="宋体" w:hAnsi="宋体" w:eastAsia="宋体"/>
                <w:b w:val="0"/>
                <w:bCs/>
                <w:color w:val="000000" w:themeColor="text1"/>
                <w:szCs w:val="21"/>
                <w:u w:val="none"/>
                <w:lang w:val="en-US" w:eastAsia="zh-CN"/>
                <w14:textFill>
                  <w14:solidFill>
                    <w14:schemeClr w14:val="tx1"/>
                  </w14:solidFill>
                </w14:textFill>
              </w:rPr>
              <w:t>要求</w:t>
            </w:r>
            <w:r>
              <w:rPr>
                <w:rFonts w:hint="eastAsia" w:ascii="宋体" w:hAnsi="宋体" w:eastAsia="宋体"/>
                <w:b w:val="0"/>
                <w:bCs/>
                <w:color w:val="000000" w:themeColor="text1"/>
                <w:szCs w:val="21"/>
                <w:u w:val="none"/>
                <w:lang w:val="en-US" w:eastAsia="zh-CN"/>
                <w14:textFill>
                  <w14:solidFill>
                    <w14:schemeClr w14:val="tx1"/>
                  </w14:solidFill>
                </w14:textFill>
              </w:rPr>
              <w:t>的暂存</w:t>
            </w:r>
            <w:r>
              <w:rPr>
                <w:rFonts w:hint="default" w:ascii="宋体" w:hAnsi="宋体" w:eastAsia="宋体"/>
                <w:b w:val="0"/>
                <w:bCs/>
                <w:color w:val="000000" w:themeColor="text1"/>
                <w:szCs w:val="21"/>
                <w:u w:val="none"/>
                <w:lang w:val="en-US" w:eastAsia="zh-CN"/>
                <w14:textFill>
                  <w14:solidFill>
                    <w14:schemeClr w14:val="tx1"/>
                  </w14:solidFill>
                </w14:textFill>
              </w:rPr>
              <w:t>仓库</w:t>
            </w:r>
            <w:r>
              <w:rPr>
                <w:rFonts w:hint="eastAsia" w:ascii="宋体" w:hAnsi="宋体" w:eastAsia="宋体"/>
                <w:b w:val="0"/>
                <w:bCs/>
                <w:color w:val="000000" w:themeColor="text1"/>
                <w:szCs w:val="21"/>
                <w:u w:val="none"/>
                <w:lang w:val="en-US" w:eastAsia="zh-CN"/>
                <w14:textFill>
                  <w14:solidFill>
                    <w14:schemeClr w14:val="tx1"/>
                  </w14:solidFill>
                </w14:textFill>
              </w:rPr>
              <w:t>（场地）的，</w:t>
            </w:r>
            <w:r>
              <w:rPr>
                <w:rFonts w:hint="default" w:ascii="宋体" w:hAnsi="宋体" w:eastAsia="宋体"/>
                <w:b w:val="0"/>
                <w:bCs/>
                <w:color w:val="000000" w:themeColor="text1"/>
                <w:szCs w:val="21"/>
                <w:u w:val="none"/>
                <w:lang w:val="en-US" w:eastAsia="zh-CN"/>
                <w14:textFill>
                  <w14:solidFill>
                    <w14:schemeClr w14:val="tx1"/>
                  </w14:solidFill>
                </w14:textFill>
              </w:rPr>
              <w:t>得</w:t>
            </w:r>
            <w:r>
              <w:rPr>
                <w:rFonts w:hint="eastAsia" w:ascii="宋体" w:hAnsi="宋体" w:eastAsia="宋体"/>
                <w:b w:val="0"/>
                <w:bCs/>
                <w:color w:val="000000" w:themeColor="text1"/>
                <w:szCs w:val="21"/>
                <w:u w:val="none"/>
                <w:lang w:val="en-US" w:eastAsia="zh-CN"/>
                <w14:textFill>
                  <w14:solidFill>
                    <w14:schemeClr w14:val="tx1"/>
                  </w14:solidFill>
                </w14:textFill>
              </w:rPr>
              <w:t>4</w:t>
            </w:r>
            <w:r>
              <w:rPr>
                <w:rFonts w:hint="default" w:ascii="宋体" w:hAnsi="宋体" w:eastAsia="宋体"/>
                <w:b w:val="0"/>
                <w:bCs/>
                <w:color w:val="000000" w:themeColor="text1"/>
                <w:szCs w:val="21"/>
                <w:u w:val="none"/>
                <w:lang w:val="en-US" w:eastAsia="zh-CN"/>
                <w14:textFill>
                  <w14:solidFill>
                    <w14:schemeClr w14:val="tx1"/>
                  </w14:solidFill>
                </w14:textFill>
              </w:rPr>
              <w:t>分。</w:t>
            </w:r>
          </w:p>
          <w:p w14:paraId="289E177B">
            <w:pPr>
              <w:spacing w:line="400" w:lineRule="exact"/>
              <w:rPr>
                <w:rFonts w:hint="eastAsia" w:ascii="宋体" w:hAnsi="宋体" w:eastAsia="宋体" w:cs="宋体"/>
                <w:b/>
                <w:bCs w:val="0"/>
                <w:color w:val="000000" w:themeColor="text1"/>
                <w:szCs w:val="21"/>
                <w:u w:val="single"/>
                <w:lang w:val="en-US" w:eastAsia="zh-CN"/>
                <w14:textFill>
                  <w14:solidFill>
                    <w14:schemeClr w14:val="tx1"/>
                  </w14:solidFill>
                </w14:textFill>
              </w:rPr>
            </w:pPr>
            <w:r>
              <w:rPr>
                <w:rFonts w:hint="default" w:ascii="宋体" w:hAnsi="宋体" w:eastAsia="宋体"/>
                <w:b/>
                <w:bCs w:val="0"/>
                <w:color w:val="000000" w:themeColor="text1"/>
                <w:szCs w:val="21"/>
                <w:u w:val="single"/>
                <w:lang w:val="en-US" w:eastAsia="zh-CN"/>
                <w14:textFill>
                  <w14:solidFill>
                    <w14:schemeClr w14:val="tx1"/>
                  </w14:solidFill>
                </w14:textFill>
              </w:rPr>
              <w:t>注：</w:t>
            </w:r>
            <w:r>
              <w:rPr>
                <w:rFonts w:hint="eastAsia" w:ascii="宋体" w:hAnsi="宋体" w:eastAsia="宋体" w:cs="宋体"/>
                <w:b/>
                <w:bCs w:val="0"/>
                <w:color w:val="000000" w:themeColor="text1"/>
                <w:szCs w:val="21"/>
                <w:u w:val="single"/>
                <w:lang w:val="en-US" w:eastAsia="zh-CN"/>
                <w14:textFill>
                  <w14:solidFill>
                    <w14:schemeClr w14:val="tx1"/>
                  </w14:solidFill>
                </w14:textFill>
              </w:rPr>
              <w:t>①暂存仓库场所为投标人自有的，须提供产权证明复印件及场地现场照片并加盖投标人公章；</w:t>
            </w:r>
          </w:p>
          <w:p w14:paraId="3B82D5A9">
            <w:pPr>
              <w:spacing w:line="400" w:lineRule="exact"/>
              <w:rPr>
                <w:rFonts w:hint="eastAsia" w:ascii="宋体" w:hAnsi="宋体" w:eastAsia="宋体" w:cs="宋体"/>
                <w:b/>
                <w:bCs w:val="0"/>
                <w:color w:val="000000" w:themeColor="text1"/>
                <w:szCs w:val="21"/>
                <w:u w:val="single"/>
                <w:lang w:val="en-US" w:eastAsia="zh-CN"/>
                <w14:textFill>
                  <w14:solidFill>
                    <w14:schemeClr w14:val="tx1"/>
                  </w14:solidFill>
                </w14:textFill>
              </w:rPr>
            </w:pPr>
            <w:r>
              <w:rPr>
                <w:rFonts w:hint="eastAsia" w:ascii="宋体" w:hAnsi="宋体" w:eastAsia="宋体" w:cs="宋体"/>
                <w:b/>
                <w:bCs w:val="0"/>
                <w:color w:val="000000" w:themeColor="text1"/>
                <w:szCs w:val="21"/>
                <w:u w:val="single"/>
                <w:lang w:val="en-US" w:eastAsia="zh-CN"/>
                <w14:textFill>
                  <w14:solidFill>
                    <w14:schemeClr w14:val="tx1"/>
                  </w14:solidFill>
                </w14:textFill>
              </w:rPr>
              <w:t>②若仓库场所为投标人租赁的，须提供在有效期内的租赁合同复印件及场地现场照片并加盖投标人公章（如租赁期未涵盖本项目服务期的，还需提供承诺函续租至本项目服务期结束）；</w:t>
            </w:r>
          </w:p>
          <w:p w14:paraId="59D6D862">
            <w:pPr>
              <w:spacing w:line="400" w:lineRule="exact"/>
              <w:rPr>
                <w:rFonts w:hint="default" w:ascii="宋体" w:hAnsi="宋体" w:eastAsia="宋体" w:cs="宋体"/>
                <w:b/>
                <w:bCs w:val="0"/>
                <w:color w:val="000000" w:themeColor="text1"/>
                <w:szCs w:val="21"/>
                <w:u w:val="single"/>
                <w:lang w:val="en-US" w:eastAsia="zh-CN"/>
                <w14:textFill>
                  <w14:solidFill>
                    <w14:schemeClr w14:val="tx1"/>
                  </w14:solidFill>
                </w14:textFill>
              </w:rPr>
            </w:pPr>
            <w:r>
              <w:rPr>
                <w:rFonts w:hint="eastAsia" w:ascii="宋体" w:hAnsi="宋体" w:eastAsia="宋体" w:cs="宋体"/>
                <w:b/>
                <w:bCs w:val="0"/>
                <w:color w:val="000000" w:themeColor="text1"/>
                <w:szCs w:val="21"/>
                <w:u w:val="single"/>
                <w:lang w:val="en-US" w:eastAsia="zh-CN"/>
                <w14:textFill>
                  <w14:solidFill>
                    <w14:schemeClr w14:val="tx1"/>
                  </w14:solidFill>
                </w14:textFill>
              </w:rPr>
              <w:t>③须提供仓库具备</w:t>
            </w:r>
            <w:r>
              <w:rPr>
                <w:rFonts w:hint="default" w:ascii="宋体" w:hAnsi="宋体" w:eastAsia="宋体"/>
                <w:b/>
                <w:bCs w:val="0"/>
                <w:color w:val="000000" w:themeColor="text1"/>
                <w:szCs w:val="21"/>
                <w:u w:val="single"/>
                <w:lang w:val="en-US" w:eastAsia="zh-CN"/>
                <w14:textFill>
                  <w14:solidFill>
                    <w14:schemeClr w14:val="tx1"/>
                  </w14:solidFill>
                </w14:textFill>
              </w:rPr>
              <w:t>危险</w:t>
            </w:r>
            <w:r>
              <w:rPr>
                <w:rFonts w:hint="eastAsia" w:ascii="宋体" w:hAnsi="宋体" w:eastAsia="宋体"/>
                <w:b/>
                <w:bCs w:val="0"/>
                <w:color w:val="000000" w:themeColor="text1"/>
                <w:szCs w:val="21"/>
                <w:u w:val="single"/>
                <w:lang w:val="en-US" w:eastAsia="zh-CN"/>
                <w14:textFill>
                  <w14:solidFill>
                    <w14:schemeClr w14:val="tx1"/>
                  </w14:solidFill>
                </w14:textFill>
              </w:rPr>
              <w:t>废物储存资质证明材料；</w:t>
            </w:r>
          </w:p>
          <w:p w14:paraId="338D84D1">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cs="宋体"/>
                <w:b/>
                <w:bCs w:val="0"/>
                <w:color w:val="000000" w:themeColor="text1"/>
                <w:szCs w:val="21"/>
                <w:u w:val="single"/>
                <w:lang w:val="en-US" w:eastAsia="zh-CN"/>
                <w14:textFill>
                  <w14:solidFill>
                    <w14:schemeClr w14:val="tx1"/>
                  </w14:solidFill>
                </w14:textFill>
              </w:rPr>
              <w:t>④不提供资料或资料不齐全或资料不能完全体现评审要求的不得分。</w:t>
            </w:r>
          </w:p>
        </w:tc>
      </w:tr>
      <w:tr w14:paraId="0C1A0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5" w:hRule="atLeast"/>
          <w:jc w:val="center"/>
        </w:trPr>
        <w:tc>
          <w:tcPr>
            <w:tcW w:w="487" w:type="pct"/>
            <w:vAlign w:val="center"/>
          </w:tcPr>
          <w:p w14:paraId="2E0FA477">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835" w:type="pct"/>
            <w:vAlign w:val="center"/>
          </w:tcPr>
          <w:p w14:paraId="002FECB2">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运输车辆</w:t>
            </w:r>
          </w:p>
          <w:p w14:paraId="2558E3D5">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情况</w:t>
            </w:r>
          </w:p>
        </w:tc>
        <w:tc>
          <w:tcPr>
            <w:tcW w:w="546" w:type="pct"/>
            <w:gridSpan w:val="2"/>
            <w:vAlign w:val="center"/>
          </w:tcPr>
          <w:p w14:paraId="7C1E312D">
            <w:pPr>
              <w:widowControl/>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8分</w:t>
            </w:r>
          </w:p>
        </w:tc>
        <w:tc>
          <w:tcPr>
            <w:tcW w:w="3130" w:type="pct"/>
            <w:vAlign w:val="center"/>
          </w:tcPr>
          <w:p w14:paraId="234FF987">
            <w:pPr>
              <w:spacing w:line="400" w:lineRule="exact"/>
              <w:rPr>
                <w:rFonts w:hint="default" w:ascii="宋体" w:hAnsi="宋体" w:eastAsia="宋体"/>
                <w:b w:val="0"/>
                <w:bCs/>
                <w:color w:val="000000" w:themeColor="text1"/>
                <w:szCs w:val="21"/>
                <w:u w:val="none"/>
                <w:lang w:val="en-US" w:eastAsia="zh-CN"/>
                <w14:textFill>
                  <w14:solidFill>
                    <w14:schemeClr w14:val="tx1"/>
                  </w14:solidFill>
                </w14:textFill>
              </w:rPr>
            </w:pPr>
            <w:r>
              <w:rPr>
                <w:rFonts w:hint="default" w:ascii="宋体" w:hAnsi="宋体" w:eastAsia="宋体"/>
                <w:b w:val="0"/>
                <w:bCs/>
                <w:color w:val="000000" w:themeColor="text1"/>
                <w:szCs w:val="21"/>
                <w:u w:val="none"/>
                <w:lang w:val="en-US" w:eastAsia="zh-CN"/>
                <w14:textFill>
                  <w14:solidFill>
                    <w14:schemeClr w14:val="tx1"/>
                  </w14:solidFill>
                </w14:textFill>
              </w:rPr>
              <w:t>1.投标</w:t>
            </w:r>
            <w:r>
              <w:rPr>
                <w:rFonts w:hint="eastAsia" w:ascii="宋体" w:hAnsi="宋体" w:eastAsia="宋体"/>
                <w:b w:val="0"/>
                <w:bCs/>
                <w:color w:val="000000" w:themeColor="text1"/>
                <w:szCs w:val="21"/>
                <w:u w:val="none"/>
                <w:lang w:val="en-US" w:eastAsia="zh-CN"/>
                <w14:textFill>
                  <w14:solidFill>
                    <w14:schemeClr w14:val="tx1"/>
                  </w14:solidFill>
                </w14:textFill>
              </w:rPr>
              <w:t>人具有（自有或租赁）农药包装废弃物及废旧农膜</w:t>
            </w:r>
            <w:r>
              <w:rPr>
                <w:rFonts w:hint="default" w:ascii="宋体" w:hAnsi="宋体" w:eastAsia="宋体"/>
                <w:b w:val="0"/>
                <w:bCs/>
                <w:color w:val="000000" w:themeColor="text1"/>
                <w:szCs w:val="21"/>
                <w:u w:val="none"/>
                <w:lang w:val="en-US" w:eastAsia="zh-CN"/>
                <w14:textFill>
                  <w14:solidFill>
                    <w14:schemeClr w14:val="tx1"/>
                  </w14:solidFill>
                </w14:textFill>
              </w:rPr>
              <w:t>运输</w:t>
            </w:r>
            <w:r>
              <w:rPr>
                <w:rFonts w:hint="eastAsia" w:ascii="宋体" w:hAnsi="宋体" w:eastAsia="宋体"/>
                <w:b w:val="0"/>
                <w:bCs/>
                <w:color w:val="000000" w:themeColor="text1"/>
                <w:szCs w:val="21"/>
                <w:u w:val="none"/>
                <w:lang w:val="en-US" w:eastAsia="zh-CN"/>
                <w14:textFill>
                  <w14:solidFill>
                    <w14:schemeClr w14:val="tx1"/>
                  </w14:solidFill>
                </w14:textFill>
              </w:rPr>
              <w:t>厢式</w:t>
            </w:r>
            <w:r>
              <w:rPr>
                <w:rFonts w:hint="default" w:ascii="宋体" w:hAnsi="宋体" w:eastAsia="宋体"/>
                <w:b w:val="0"/>
                <w:bCs/>
                <w:color w:val="000000" w:themeColor="text1"/>
                <w:szCs w:val="21"/>
                <w:u w:val="none"/>
                <w:lang w:val="en-US" w:eastAsia="zh-CN"/>
                <w14:textFill>
                  <w14:solidFill>
                    <w14:schemeClr w14:val="tx1"/>
                  </w14:solidFill>
                </w14:textFill>
              </w:rPr>
              <w:t>车辆</w:t>
            </w:r>
            <w:r>
              <w:rPr>
                <w:rFonts w:hint="eastAsia" w:ascii="宋体" w:hAnsi="宋体" w:eastAsia="宋体"/>
                <w:b w:val="0"/>
                <w:bCs/>
                <w:color w:val="000000" w:themeColor="text1"/>
                <w:szCs w:val="21"/>
                <w:u w:val="none"/>
                <w:lang w:val="en-US" w:eastAsia="zh-CN"/>
                <w14:textFill>
                  <w14:solidFill>
                    <w14:schemeClr w14:val="tx1"/>
                  </w14:solidFill>
                </w14:textFill>
              </w:rPr>
              <w:t>的</w:t>
            </w:r>
            <w:r>
              <w:rPr>
                <w:rFonts w:hint="default" w:ascii="宋体" w:hAnsi="宋体" w:eastAsia="宋体"/>
                <w:b w:val="0"/>
                <w:bCs/>
                <w:color w:val="000000" w:themeColor="text1"/>
                <w:szCs w:val="21"/>
                <w:u w:val="none"/>
                <w:lang w:val="en-US" w:eastAsia="zh-CN"/>
                <w14:textFill>
                  <w14:solidFill>
                    <w14:schemeClr w14:val="tx1"/>
                  </w14:solidFill>
                </w14:textFill>
              </w:rPr>
              <w:t>，</w:t>
            </w:r>
            <w:r>
              <w:rPr>
                <w:rFonts w:hint="eastAsia" w:ascii="宋体" w:hAnsi="宋体" w:eastAsia="宋体"/>
                <w:b w:val="0"/>
                <w:bCs/>
                <w:color w:val="000000" w:themeColor="text1"/>
                <w:szCs w:val="21"/>
                <w:u w:val="none"/>
                <w:lang w:val="en-US" w:eastAsia="zh-CN"/>
                <w14:textFill>
                  <w14:solidFill>
                    <w14:schemeClr w14:val="tx1"/>
                  </w14:solidFill>
                </w14:textFill>
              </w:rPr>
              <w:t>每提供1台得2</w:t>
            </w:r>
            <w:r>
              <w:rPr>
                <w:rFonts w:hint="default" w:ascii="宋体" w:hAnsi="宋体" w:eastAsia="宋体"/>
                <w:b w:val="0"/>
                <w:bCs/>
                <w:color w:val="000000" w:themeColor="text1"/>
                <w:szCs w:val="21"/>
                <w:u w:val="none"/>
                <w:lang w:val="en-US" w:eastAsia="zh-CN"/>
                <w14:textFill>
                  <w14:solidFill>
                    <w14:schemeClr w14:val="tx1"/>
                  </w14:solidFill>
                </w14:textFill>
              </w:rPr>
              <w:t>分，本项最多得</w:t>
            </w:r>
            <w:r>
              <w:rPr>
                <w:rFonts w:hint="eastAsia" w:ascii="宋体" w:hAnsi="宋体" w:eastAsia="宋体"/>
                <w:b w:val="0"/>
                <w:bCs/>
                <w:color w:val="000000" w:themeColor="text1"/>
                <w:szCs w:val="21"/>
                <w:u w:val="none"/>
                <w:lang w:val="en-US" w:eastAsia="zh-CN"/>
                <w14:textFill>
                  <w14:solidFill>
                    <w14:schemeClr w14:val="tx1"/>
                  </w14:solidFill>
                </w14:textFill>
              </w:rPr>
              <w:t>6</w:t>
            </w:r>
            <w:r>
              <w:rPr>
                <w:rFonts w:hint="default" w:ascii="宋体" w:hAnsi="宋体" w:eastAsia="宋体"/>
                <w:b w:val="0"/>
                <w:bCs/>
                <w:color w:val="000000" w:themeColor="text1"/>
                <w:szCs w:val="21"/>
                <w:u w:val="none"/>
                <w:lang w:val="en-US" w:eastAsia="zh-CN"/>
                <w14:textFill>
                  <w14:solidFill>
                    <w14:schemeClr w14:val="tx1"/>
                  </w14:solidFill>
                </w14:textFill>
              </w:rPr>
              <w:t>分。</w:t>
            </w:r>
          </w:p>
          <w:p w14:paraId="54E14C4B">
            <w:pPr>
              <w:spacing w:line="400" w:lineRule="exact"/>
              <w:rPr>
                <w:rFonts w:hint="default" w:ascii="宋体" w:hAnsi="宋体" w:eastAsia="宋体"/>
                <w:b w:val="0"/>
                <w:bCs/>
                <w:color w:val="000000" w:themeColor="text1"/>
                <w:szCs w:val="21"/>
                <w:u w:val="none"/>
                <w:lang w:val="en-US" w:eastAsia="zh-CN"/>
                <w14:textFill>
                  <w14:solidFill>
                    <w14:schemeClr w14:val="tx1"/>
                  </w14:solidFill>
                </w14:textFill>
              </w:rPr>
            </w:pPr>
            <w:r>
              <w:rPr>
                <w:rFonts w:hint="default" w:ascii="宋体" w:hAnsi="宋体" w:eastAsia="宋体"/>
                <w:b w:val="0"/>
                <w:bCs/>
                <w:color w:val="000000" w:themeColor="text1"/>
                <w:szCs w:val="21"/>
                <w:u w:val="none"/>
                <w:lang w:val="en-US" w:eastAsia="zh-CN"/>
                <w14:textFill>
                  <w14:solidFill>
                    <w14:schemeClr w14:val="tx1"/>
                  </w14:solidFill>
                </w14:textFill>
              </w:rPr>
              <w:t>2.投标</w:t>
            </w:r>
            <w:r>
              <w:rPr>
                <w:rFonts w:hint="eastAsia" w:ascii="宋体" w:hAnsi="宋体" w:eastAsia="宋体"/>
                <w:b w:val="0"/>
                <w:bCs/>
                <w:color w:val="000000" w:themeColor="text1"/>
                <w:szCs w:val="21"/>
                <w:u w:val="none"/>
                <w:lang w:val="en-US" w:eastAsia="zh-CN"/>
                <w14:textFill>
                  <w14:solidFill>
                    <w14:schemeClr w14:val="tx1"/>
                  </w14:solidFill>
                </w14:textFill>
              </w:rPr>
              <w:t>人具有（自有或租赁）</w:t>
            </w:r>
            <w:r>
              <w:rPr>
                <w:rFonts w:hint="default" w:ascii="宋体" w:hAnsi="宋体" w:eastAsia="宋体"/>
                <w:b w:val="0"/>
                <w:bCs/>
                <w:color w:val="000000" w:themeColor="text1"/>
                <w:szCs w:val="21"/>
                <w:u w:val="none"/>
                <w:lang w:val="en-US" w:eastAsia="zh-CN"/>
                <w14:textFill>
                  <w14:solidFill>
                    <w14:schemeClr w14:val="tx1"/>
                  </w14:solidFill>
                </w14:textFill>
              </w:rPr>
              <w:t>危险货物运输车辆</w:t>
            </w:r>
            <w:r>
              <w:rPr>
                <w:rFonts w:hint="eastAsia" w:ascii="宋体" w:hAnsi="宋体" w:eastAsia="宋体"/>
                <w:b w:val="0"/>
                <w:bCs/>
                <w:color w:val="000000" w:themeColor="text1"/>
                <w:szCs w:val="21"/>
                <w:u w:val="none"/>
                <w:lang w:val="en-US" w:eastAsia="zh-CN"/>
                <w14:textFill>
                  <w14:solidFill>
                    <w14:schemeClr w14:val="tx1"/>
                  </w14:solidFill>
                </w14:textFill>
              </w:rPr>
              <w:t>的，</w:t>
            </w:r>
            <w:r>
              <w:rPr>
                <w:rFonts w:hint="default" w:ascii="宋体" w:hAnsi="宋体" w:eastAsia="宋体"/>
                <w:b w:val="0"/>
                <w:bCs/>
                <w:color w:val="000000" w:themeColor="text1"/>
                <w:szCs w:val="21"/>
                <w:u w:val="none"/>
                <w:lang w:val="en-US" w:eastAsia="zh-CN"/>
                <w14:textFill>
                  <w14:solidFill>
                    <w14:schemeClr w14:val="tx1"/>
                  </w14:solidFill>
                </w14:textFill>
              </w:rPr>
              <w:t>得</w:t>
            </w:r>
            <w:r>
              <w:rPr>
                <w:rFonts w:hint="eastAsia" w:ascii="宋体" w:hAnsi="宋体" w:eastAsia="宋体"/>
                <w:b w:val="0"/>
                <w:bCs/>
                <w:color w:val="000000" w:themeColor="text1"/>
                <w:szCs w:val="21"/>
                <w:u w:val="none"/>
                <w:lang w:val="en-US" w:eastAsia="zh-CN"/>
                <w14:textFill>
                  <w14:solidFill>
                    <w14:schemeClr w14:val="tx1"/>
                  </w14:solidFill>
                </w14:textFill>
              </w:rPr>
              <w:t>2</w:t>
            </w:r>
            <w:r>
              <w:rPr>
                <w:rFonts w:hint="default" w:ascii="宋体" w:hAnsi="宋体" w:eastAsia="宋体"/>
                <w:b w:val="0"/>
                <w:bCs/>
                <w:color w:val="000000" w:themeColor="text1"/>
                <w:szCs w:val="21"/>
                <w:u w:val="none"/>
                <w:lang w:val="en-US" w:eastAsia="zh-CN"/>
                <w14:textFill>
                  <w14:solidFill>
                    <w14:schemeClr w14:val="tx1"/>
                  </w14:solidFill>
                </w14:textFill>
              </w:rPr>
              <w:t>分，本项最多得</w:t>
            </w:r>
            <w:r>
              <w:rPr>
                <w:rFonts w:hint="eastAsia" w:ascii="宋体" w:hAnsi="宋体" w:eastAsia="宋体"/>
                <w:b w:val="0"/>
                <w:bCs/>
                <w:color w:val="000000" w:themeColor="text1"/>
                <w:szCs w:val="21"/>
                <w:u w:val="none"/>
                <w:lang w:val="en-US" w:eastAsia="zh-CN"/>
                <w14:textFill>
                  <w14:solidFill>
                    <w14:schemeClr w14:val="tx1"/>
                  </w14:solidFill>
                </w14:textFill>
              </w:rPr>
              <w:t>2</w:t>
            </w:r>
            <w:r>
              <w:rPr>
                <w:rFonts w:hint="default" w:ascii="宋体" w:hAnsi="宋体" w:eastAsia="宋体"/>
                <w:b w:val="0"/>
                <w:bCs/>
                <w:color w:val="000000" w:themeColor="text1"/>
                <w:szCs w:val="21"/>
                <w:u w:val="none"/>
                <w:lang w:val="en-US" w:eastAsia="zh-CN"/>
                <w14:textFill>
                  <w14:solidFill>
                    <w14:schemeClr w14:val="tx1"/>
                  </w14:solidFill>
                </w14:textFill>
              </w:rPr>
              <w:t>分。</w:t>
            </w:r>
          </w:p>
          <w:p w14:paraId="4B0397B3">
            <w:pPr>
              <w:spacing w:line="400" w:lineRule="exact"/>
              <w:rPr>
                <w:rFonts w:hint="eastAsia" w:ascii="宋体" w:hAnsi="宋体" w:eastAsia="宋体"/>
                <w:b/>
                <w:bCs w:val="0"/>
                <w:color w:val="000000" w:themeColor="text1"/>
                <w:szCs w:val="21"/>
                <w:u w:val="single"/>
                <w:lang w:val="en-US" w:eastAsia="zh-CN"/>
                <w14:textFill>
                  <w14:solidFill>
                    <w14:schemeClr w14:val="tx1"/>
                  </w14:solidFill>
                </w14:textFill>
              </w:rPr>
            </w:pPr>
            <w:r>
              <w:rPr>
                <w:rFonts w:hint="eastAsia" w:ascii="宋体" w:hAnsi="宋体" w:eastAsia="宋体"/>
                <w:b/>
                <w:bCs w:val="0"/>
                <w:color w:val="000000" w:themeColor="text1"/>
                <w:szCs w:val="21"/>
                <w:u w:val="single"/>
                <w:lang w:val="en-US" w:eastAsia="zh-CN"/>
                <w14:textFill>
                  <w14:solidFill>
                    <w14:schemeClr w14:val="tx1"/>
                  </w14:solidFill>
                </w14:textFill>
              </w:rPr>
              <w:t>注：</w:t>
            </w:r>
            <w:r>
              <w:rPr>
                <w:rFonts w:hint="eastAsia" w:ascii="宋体" w:hAnsi="宋体" w:eastAsia="宋体" w:cs="宋体"/>
                <w:b/>
                <w:bCs w:val="0"/>
                <w:color w:val="000000" w:themeColor="text1"/>
                <w:szCs w:val="21"/>
                <w:u w:val="single"/>
                <w:lang w:val="en-US" w:eastAsia="zh-CN"/>
                <w14:textFill>
                  <w14:solidFill>
                    <w14:schemeClr w14:val="tx1"/>
                  </w14:solidFill>
                </w14:textFill>
              </w:rPr>
              <w:t>（1）</w:t>
            </w:r>
            <w:r>
              <w:rPr>
                <w:rFonts w:hint="eastAsia" w:ascii="宋体" w:hAnsi="宋体" w:eastAsia="宋体"/>
                <w:b/>
                <w:bCs w:val="0"/>
                <w:color w:val="000000" w:themeColor="text1"/>
                <w:szCs w:val="21"/>
                <w:u w:val="single"/>
                <w:lang w:val="en-US" w:eastAsia="zh-CN"/>
                <w14:textFill>
                  <w14:solidFill>
                    <w14:schemeClr w14:val="tx1"/>
                  </w14:solidFill>
                </w14:textFill>
              </w:rPr>
              <w:t>自有车辆须提供车辆行驶证复印件（①车辆所有人须为投标人；②行驶证对应车辆须在年检有效期内）和车辆原貌照片（须体现相关功能）并加盖投标人公章。</w:t>
            </w:r>
          </w:p>
          <w:p w14:paraId="48D4FA6E">
            <w:pPr>
              <w:spacing w:line="400" w:lineRule="exact"/>
              <w:rPr>
                <w:rFonts w:hint="eastAsia" w:ascii="宋体" w:hAnsi="宋体" w:eastAsia="宋体"/>
                <w:b/>
                <w:bCs w:val="0"/>
                <w:color w:val="000000" w:themeColor="text1"/>
                <w:szCs w:val="21"/>
                <w:u w:val="single"/>
                <w:lang w:val="en-US" w:eastAsia="zh-CN"/>
                <w14:textFill>
                  <w14:solidFill>
                    <w14:schemeClr w14:val="tx1"/>
                  </w14:solidFill>
                </w14:textFill>
              </w:rPr>
            </w:pPr>
            <w:r>
              <w:rPr>
                <w:rFonts w:hint="eastAsia" w:ascii="宋体" w:hAnsi="宋体" w:eastAsia="宋体" w:cs="宋体"/>
                <w:b/>
                <w:bCs w:val="0"/>
                <w:color w:val="000000" w:themeColor="text1"/>
                <w:szCs w:val="21"/>
                <w:u w:val="single"/>
                <w:lang w:val="en-US" w:eastAsia="zh-CN"/>
                <w14:textFill>
                  <w14:solidFill>
                    <w14:schemeClr w14:val="tx1"/>
                  </w14:solidFill>
                </w14:textFill>
              </w:rPr>
              <w:t>（2）</w:t>
            </w:r>
            <w:r>
              <w:rPr>
                <w:rFonts w:hint="eastAsia" w:ascii="宋体" w:hAnsi="宋体" w:eastAsia="宋体"/>
                <w:b/>
                <w:bCs w:val="0"/>
                <w:color w:val="000000" w:themeColor="text1"/>
                <w:szCs w:val="21"/>
                <w:u w:val="single"/>
                <w:lang w:val="en-US" w:eastAsia="zh-CN"/>
                <w14:textFill>
                  <w14:solidFill>
                    <w14:schemeClr w14:val="tx1"/>
                  </w14:solidFill>
                </w14:textFill>
              </w:rPr>
              <w:t>租赁车辆须提供车辆租赁合同、任意一张租金发票、车辆行驶证复印件（能体现年检在有效期内的页面复印件）和车辆原貌照片（须体现相关功能）并加盖投标人公章</w:t>
            </w:r>
            <w:r>
              <w:rPr>
                <w:rFonts w:hint="eastAsia" w:ascii="宋体" w:hAnsi="宋体" w:eastAsia="宋体" w:cs="宋体"/>
                <w:b/>
                <w:bCs w:val="0"/>
                <w:color w:val="000000" w:themeColor="text1"/>
                <w:szCs w:val="21"/>
                <w:u w:val="single"/>
                <w:lang w:val="en-US" w:eastAsia="zh-CN"/>
                <w14:textFill>
                  <w14:solidFill>
                    <w14:schemeClr w14:val="tx1"/>
                  </w14:solidFill>
                </w14:textFill>
              </w:rPr>
              <w:t>（如租赁期未涵盖本项目服务期的，还需提供承诺函续租至本项目服务期结束）</w:t>
            </w:r>
            <w:r>
              <w:rPr>
                <w:rFonts w:hint="eastAsia" w:ascii="宋体" w:hAnsi="宋体" w:eastAsia="宋体"/>
                <w:b/>
                <w:bCs w:val="0"/>
                <w:color w:val="000000" w:themeColor="text1"/>
                <w:szCs w:val="21"/>
                <w:u w:val="single"/>
                <w:lang w:val="en-US" w:eastAsia="zh-CN"/>
                <w14:textFill>
                  <w14:solidFill>
                    <w14:schemeClr w14:val="tx1"/>
                  </w14:solidFill>
                </w14:textFill>
              </w:rPr>
              <w:t>。</w:t>
            </w:r>
          </w:p>
          <w:p w14:paraId="494F9E09">
            <w:pPr>
              <w:spacing w:line="400" w:lineRule="exact"/>
              <w:rPr>
                <w:rFonts w:hint="default"/>
                <w:lang w:val="en-US" w:eastAsia="zh-CN"/>
              </w:rPr>
            </w:pPr>
            <w:r>
              <w:rPr>
                <w:rFonts w:hint="eastAsia" w:ascii="宋体" w:hAnsi="宋体" w:eastAsia="宋体" w:cstheme="minorBidi"/>
                <w:b/>
                <w:bCs w:val="0"/>
                <w:color w:val="000000" w:themeColor="text1"/>
                <w:szCs w:val="21"/>
                <w:u w:val="single"/>
                <w:lang w:val="en-US" w:eastAsia="zh-CN"/>
                <w14:textFill>
                  <w14:solidFill>
                    <w14:schemeClr w14:val="tx1"/>
                  </w14:solidFill>
                </w14:textFill>
              </w:rPr>
              <w:t>③</w:t>
            </w:r>
            <w:r>
              <w:rPr>
                <w:rFonts w:hint="eastAsia" w:ascii="宋体" w:hAnsi="宋体" w:eastAsia="宋体"/>
                <w:b/>
                <w:color w:val="000000" w:themeColor="text1"/>
                <w:szCs w:val="21"/>
                <w:u w:val="single"/>
                <w:lang w:val="en-US" w:eastAsia="zh-CN"/>
                <w14:textFill>
                  <w14:solidFill>
                    <w14:schemeClr w14:val="tx1"/>
                  </w14:solidFill>
                </w14:textFill>
              </w:rPr>
              <w:t>不提供资料或资料不齐全或资料不能完全体现评审要求的不得分。</w:t>
            </w:r>
          </w:p>
        </w:tc>
      </w:tr>
      <w:tr w14:paraId="1D9A3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41258FDA">
            <w:pPr>
              <w:pStyle w:val="27"/>
              <w:spacing w:line="400" w:lineRule="exact"/>
              <w:ind w:firstLine="0" w:firstLineChars="0"/>
              <w:jc w:val="center"/>
              <w:rPr>
                <w:rFonts w:hint="eastAsia" w:ascii="宋体" w:eastAsia="宋体"/>
                <w:color w:val="000000" w:themeColor="text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技术评审细则（</w:t>
            </w:r>
            <w:r>
              <w:rPr>
                <w:rFonts w:hint="eastAsia" w:ascii="宋体" w:eastAsia="宋体"/>
                <w:b/>
                <w:color w:val="000000" w:themeColor="text1"/>
                <w:sz w:val="21"/>
                <w:szCs w:val="21"/>
                <w:lang w:val="en-US" w:eastAsia="zh-CN"/>
                <w14:textFill>
                  <w14:solidFill>
                    <w14:schemeClr w14:val="tx1"/>
                  </w14:solidFill>
                </w14:textFill>
              </w:rPr>
              <w:t>45</w:t>
            </w:r>
            <w:r>
              <w:rPr>
                <w:rFonts w:hint="eastAsia" w:ascii="宋体" w:eastAsia="宋体"/>
                <w:b/>
                <w:color w:val="000000" w:themeColor="text1"/>
                <w:sz w:val="21"/>
                <w:szCs w:val="21"/>
                <w14:textFill>
                  <w14:solidFill>
                    <w14:schemeClr w14:val="tx1"/>
                  </w14:solidFill>
                </w14:textFill>
              </w:rPr>
              <w:t>分）</w:t>
            </w:r>
          </w:p>
        </w:tc>
      </w:tr>
      <w:tr w14:paraId="76D16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487" w:type="pct"/>
            <w:vAlign w:val="center"/>
          </w:tcPr>
          <w:p w14:paraId="29CE9FB3">
            <w:pPr>
              <w:spacing w:line="400" w:lineRule="exact"/>
              <w:jc w:val="center"/>
              <w:rPr>
                <w:rFonts w:hint="eastAsia"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835" w:type="pct"/>
            <w:vAlign w:val="center"/>
          </w:tcPr>
          <w:p w14:paraId="5C1231E8">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总体</w:t>
            </w:r>
            <w:r>
              <w:rPr>
                <w:rFonts w:hint="default" w:ascii="宋体" w:hAnsi="宋体" w:eastAsia="宋体"/>
                <w:color w:val="000000" w:themeColor="text1"/>
                <w:szCs w:val="21"/>
                <w:lang w:val="en-US" w:eastAsia="zh-CN"/>
                <w14:textFill>
                  <w14:solidFill>
                    <w14:schemeClr w14:val="tx1"/>
                  </w14:solidFill>
                </w14:textFill>
              </w:rPr>
              <w:t>实施方案</w:t>
            </w:r>
          </w:p>
        </w:tc>
        <w:tc>
          <w:tcPr>
            <w:tcW w:w="546" w:type="pct"/>
            <w:gridSpan w:val="2"/>
            <w:vAlign w:val="center"/>
          </w:tcPr>
          <w:p w14:paraId="6AC7E086">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30" w:type="pct"/>
            <w:vAlign w:val="center"/>
          </w:tcPr>
          <w:p w14:paraId="4487D89A">
            <w:pPr>
              <w:spacing w:line="400" w:lineRule="exact"/>
              <w:rPr>
                <w:rFonts w:hint="eastAsia" w:ascii="宋体" w:hAnsi="宋体" w:eastAsia="宋体"/>
                <w:color w:val="auto"/>
                <w:szCs w:val="21"/>
              </w:rPr>
            </w:pPr>
            <w:r>
              <w:rPr>
                <w:rFonts w:hint="eastAsia" w:ascii="宋体" w:hAnsi="宋体" w:eastAsia="宋体"/>
                <w:color w:val="auto"/>
                <w:szCs w:val="21"/>
              </w:rPr>
              <w:t>根据投标人对本项目的</w:t>
            </w:r>
            <w:r>
              <w:rPr>
                <w:rFonts w:hint="eastAsia" w:ascii="宋体" w:hAnsi="宋体" w:eastAsia="宋体"/>
                <w:color w:val="auto"/>
                <w:szCs w:val="21"/>
                <w:lang w:val="en-US" w:eastAsia="zh-CN"/>
              </w:rPr>
              <w:t>总体</w:t>
            </w:r>
            <w:r>
              <w:rPr>
                <w:rFonts w:hint="eastAsia" w:ascii="宋体" w:hAnsi="宋体" w:eastAsia="宋体"/>
                <w:color w:val="auto"/>
                <w:szCs w:val="21"/>
              </w:rPr>
              <w:t>实施方案</w:t>
            </w:r>
            <w:r>
              <w:rPr>
                <w:rFonts w:hint="eastAsia" w:ascii="宋体" w:hAnsi="宋体" w:eastAsia="宋体" w:cs="宋体"/>
                <w:color w:val="auto"/>
                <w:kern w:val="0"/>
                <w:szCs w:val="21"/>
              </w:rPr>
              <w:t>(包括不限于</w:t>
            </w:r>
            <w:r>
              <w:rPr>
                <w:rFonts w:hint="eastAsia" w:ascii="宋体" w:hAnsi="宋体" w:eastAsia="宋体" w:cs="宋体"/>
                <w:color w:val="auto"/>
                <w:kern w:val="0"/>
                <w:szCs w:val="21"/>
                <w:lang w:val="en-US" w:eastAsia="zh-CN"/>
              </w:rPr>
              <w:t>收集、运输、暂存、处置等环节、档案管理</w:t>
            </w: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进出台账</w:t>
            </w: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转运流程、工作进度、各类制度</w:t>
            </w:r>
            <w:r>
              <w:rPr>
                <w:rFonts w:hint="eastAsia" w:ascii="宋体" w:hAnsi="宋体" w:eastAsia="宋体" w:cs="宋体"/>
                <w:color w:val="auto"/>
                <w:kern w:val="0"/>
                <w:szCs w:val="21"/>
              </w:rPr>
              <w:t>等)</w:t>
            </w:r>
            <w:r>
              <w:rPr>
                <w:rFonts w:hint="eastAsia" w:ascii="宋体" w:hAnsi="宋体" w:eastAsia="宋体"/>
                <w:color w:val="auto"/>
                <w:szCs w:val="21"/>
              </w:rPr>
              <w:t>进行评审</w:t>
            </w:r>
            <w:r>
              <w:rPr>
                <w:rFonts w:hint="default" w:ascii="宋体" w:hAnsi="宋体" w:eastAsia="宋体"/>
                <w:color w:val="auto"/>
                <w:szCs w:val="21"/>
                <w:lang w:val="en-US" w:eastAsia="zh-CN"/>
              </w:rPr>
              <w:t>：</w:t>
            </w:r>
          </w:p>
          <w:p w14:paraId="3B74B7A9">
            <w:pPr>
              <w:spacing w:line="400" w:lineRule="exact"/>
              <w:rPr>
                <w:rFonts w:hint="eastAsia" w:ascii="宋体" w:hAnsi="宋体" w:eastAsia="宋体"/>
                <w:color w:val="auto"/>
                <w:szCs w:val="21"/>
                <w:lang w:val="en-US" w:eastAsia="zh-CN"/>
              </w:rPr>
            </w:pPr>
            <w:r>
              <w:rPr>
                <w:rFonts w:hint="eastAsia" w:ascii="宋体" w:hAnsi="宋体" w:eastAsia="宋体"/>
                <w:color w:val="auto"/>
                <w:szCs w:val="21"/>
                <w:lang w:val="en-US" w:eastAsia="zh-CN"/>
              </w:rPr>
              <w:t>①提供的总体实施方案内容详尽完善，</w:t>
            </w:r>
            <w:r>
              <w:rPr>
                <w:rFonts w:hint="eastAsia" w:ascii="宋体" w:hAnsi="宋体" w:eastAsia="宋体" w:cs="宋体"/>
                <w:color w:val="auto"/>
                <w:kern w:val="0"/>
                <w:szCs w:val="21"/>
                <w:lang w:val="en-US" w:eastAsia="zh-CN"/>
              </w:rPr>
              <w:t>档案</w:t>
            </w:r>
            <w:r>
              <w:rPr>
                <w:rFonts w:hint="eastAsia" w:ascii="宋体" w:hAnsi="宋体" w:eastAsia="宋体"/>
                <w:color w:val="auto"/>
                <w:szCs w:val="21"/>
                <w:lang w:val="en-US" w:eastAsia="zh-CN"/>
              </w:rPr>
              <w:t>管理方案具有保障性，台账制度科学细致，转运流程详细周密，</w:t>
            </w:r>
            <w:r>
              <w:rPr>
                <w:rFonts w:hint="eastAsia" w:ascii="宋体" w:hAnsi="宋体" w:eastAsia="宋体" w:cs="宋体"/>
                <w:color w:val="auto"/>
                <w:kern w:val="0"/>
                <w:szCs w:val="21"/>
                <w:lang w:val="en-US" w:eastAsia="zh-CN"/>
              </w:rPr>
              <w:t>工作进度计划</w:t>
            </w:r>
            <w:r>
              <w:rPr>
                <w:rFonts w:hint="eastAsia" w:ascii="宋体" w:hAnsi="宋体" w:eastAsia="宋体"/>
                <w:color w:val="auto"/>
                <w:szCs w:val="21"/>
                <w:lang w:val="en-US" w:eastAsia="zh-CN"/>
              </w:rPr>
              <w:t>拟定清晰明确，整体方案逻辑缜密，贴合本项目实际实施情况进行表述的，得10分；</w:t>
            </w:r>
          </w:p>
          <w:p w14:paraId="577CA8CD">
            <w:pPr>
              <w:spacing w:line="400" w:lineRule="exact"/>
              <w:rPr>
                <w:rFonts w:hint="eastAsia" w:ascii="宋体" w:hAnsi="宋体" w:eastAsia="宋体"/>
                <w:color w:val="auto"/>
                <w:szCs w:val="21"/>
                <w:lang w:val="en-US" w:eastAsia="zh-CN"/>
              </w:rPr>
            </w:pPr>
            <w:r>
              <w:rPr>
                <w:rFonts w:hint="eastAsia" w:ascii="宋体" w:hAnsi="宋体" w:eastAsia="宋体"/>
                <w:color w:val="auto"/>
                <w:szCs w:val="21"/>
                <w:lang w:val="en-US" w:eastAsia="zh-CN"/>
              </w:rPr>
              <w:t>②提供的实施方案内容全面具体，</w:t>
            </w:r>
            <w:r>
              <w:rPr>
                <w:rFonts w:hint="eastAsia" w:ascii="宋体" w:hAnsi="宋体" w:eastAsia="宋体" w:cs="宋体"/>
                <w:color w:val="auto"/>
                <w:kern w:val="0"/>
                <w:szCs w:val="21"/>
                <w:lang w:val="en-US" w:eastAsia="zh-CN"/>
              </w:rPr>
              <w:t>档案</w:t>
            </w:r>
            <w:r>
              <w:rPr>
                <w:rFonts w:hint="eastAsia" w:ascii="宋体" w:hAnsi="宋体" w:eastAsia="宋体"/>
                <w:color w:val="auto"/>
                <w:szCs w:val="21"/>
                <w:lang w:val="en-US" w:eastAsia="zh-CN"/>
              </w:rPr>
              <w:t>管理实施方式符合行业规程，台账制度流程具体，转运流程具体明确，工作进度计划拟定明确的关键表述，整体方案逻辑清晰，结合本项目实际实施情况进行表述的，得7分；</w:t>
            </w:r>
          </w:p>
          <w:p w14:paraId="3E9D2B43">
            <w:pPr>
              <w:spacing w:line="400" w:lineRule="exact"/>
              <w:rPr>
                <w:rFonts w:hint="eastAsia" w:ascii="宋体" w:hAnsi="宋体" w:eastAsia="宋体"/>
                <w:color w:val="auto"/>
                <w:szCs w:val="21"/>
                <w:lang w:val="en-US" w:eastAsia="zh-CN"/>
              </w:rPr>
            </w:pPr>
            <w:r>
              <w:rPr>
                <w:rFonts w:hint="eastAsia" w:ascii="宋体" w:hAnsi="宋体" w:eastAsia="宋体"/>
                <w:color w:val="auto"/>
                <w:szCs w:val="21"/>
                <w:lang w:val="en-US" w:eastAsia="zh-CN"/>
              </w:rPr>
              <w:t>③提供的总体实施方案内容全面，</w:t>
            </w:r>
            <w:r>
              <w:rPr>
                <w:rFonts w:hint="eastAsia" w:ascii="宋体" w:hAnsi="宋体" w:eastAsia="宋体" w:cs="宋体"/>
                <w:color w:val="auto"/>
                <w:kern w:val="0"/>
                <w:szCs w:val="21"/>
                <w:lang w:val="en-US" w:eastAsia="zh-CN"/>
              </w:rPr>
              <w:t>档案</w:t>
            </w:r>
            <w:r>
              <w:rPr>
                <w:rFonts w:hint="eastAsia" w:ascii="宋体" w:hAnsi="宋体" w:eastAsia="宋体"/>
                <w:color w:val="auto"/>
                <w:szCs w:val="21"/>
                <w:lang w:val="en-US" w:eastAsia="zh-CN"/>
              </w:rPr>
              <w:t>管理方式符合行业规程，台账制度流程覆盖相应环节，转运流程步骤表述笼统，工作进度计划拟定仅有要点，整体方案逻辑顺畅，结合本项目实际实施情况表述内容的，得4分；</w:t>
            </w:r>
          </w:p>
          <w:p w14:paraId="2CFD7181">
            <w:pPr>
              <w:spacing w:line="400" w:lineRule="exact"/>
              <w:rPr>
                <w:rFonts w:hint="eastAsia" w:ascii="宋体" w:hAnsi="宋体" w:eastAsia="宋体"/>
                <w:color w:val="auto"/>
                <w:szCs w:val="21"/>
                <w:lang w:val="en-US" w:eastAsia="zh-CN"/>
              </w:rPr>
            </w:pPr>
            <w:r>
              <w:rPr>
                <w:rFonts w:hint="eastAsia" w:ascii="宋体" w:hAnsi="宋体" w:eastAsia="宋体"/>
                <w:color w:val="auto"/>
                <w:szCs w:val="21"/>
                <w:lang w:val="en-US" w:eastAsia="zh-CN"/>
              </w:rPr>
              <w:t>④提供的总体实施方案内容片面，</w:t>
            </w:r>
            <w:r>
              <w:rPr>
                <w:rFonts w:hint="eastAsia" w:ascii="宋体" w:hAnsi="宋体" w:eastAsia="宋体" w:cs="宋体"/>
                <w:color w:val="auto"/>
                <w:kern w:val="0"/>
                <w:szCs w:val="21"/>
                <w:lang w:val="en-US" w:eastAsia="zh-CN"/>
              </w:rPr>
              <w:t>档案</w:t>
            </w:r>
            <w:r>
              <w:rPr>
                <w:rFonts w:hint="eastAsia" w:ascii="宋体" w:hAnsi="宋体" w:eastAsia="宋体"/>
                <w:color w:val="auto"/>
                <w:szCs w:val="21"/>
                <w:lang w:val="en-US" w:eastAsia="zh-CN"/>
              </w:rPr>
              <w:t>管理方式表述笼统，台账制度流程粗略，转运流程步骤表述含糊，工作进度计划拟定空洞，整体方案逻辑混乱，结合本项目实际实施情况表述内容少的，得1分；</w:t>
            </w:r>
          </w:p>
          <w:p w14:paraId="7C40C23F">
            <w:pPr>
              <w:spacing w:line="400" w:lineRule="exact"/>
              <w:rPr>
                <w:rFonts w:hint="eastAsia"/>
              </w:rPr>
            </w:pPr>
            <w:r>
              <w:rPr>
                <w:rFonts w:hint="eastAsia" w:ascii="宋体" w:hAnsi="宋体" w:eastAsia="宋体"/>
                <w:color w:val="auto"/>
                <w:szCs w:val="21"/>
                <w:lang w:val="en-US" w:eastAsia="zh-CN"/>
              </w:rPr>
              <w:t>⑤没有提供相关方案的，不得分。</w:t>
            </w:r>
          </w:p>
        </w:tc>
      </w:tr>
      <w:tr w14:paraId="6A20F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87" w:type="pct"/>
            <w:vAlign w:val="center"/>
          </w:tcPr>
          <w:p w14:paraId="1621F1F0">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835" w:type="pct"/>
            <w:vAlign w:val="center"/>
          </w:tcPr>
          <w:p w14:paraId="3BCCC967">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人员</w:t>
            </w:r>
            <w:r>
              <w:rPr>
                <w:rFonts w:hint="eastAsia" w:ascii="宋体" w:hAnsi="宋体" w:eastAsia="宋体"/>
                <w:color w:val="000000" w:themeColor="text1"/>
                <w:szCs w:val="21"/>
                <w:lang w:val="en-US" w:eastAsia="zh-CN"/>
                <w14:textFill>
                  <w14:solidFill>
                    <w14:schemeClr w14:val="tx1"/>
                  </w14:solidFill>
                </w14:textFill>
              </w:rPr>
              <w:t>架构</w:t>
            </w:r>
            <w:r>
              <w:rPr>
                <w:rFonts w:hint="eastAsia" w:ascii="宋体" w:hAnsi="宋体" w:eastAsia="宋体"/>
                <w:color w:val="000000" w:themeColor="text1"/>
                <w:szCs w:val="21"/>
                <w14:textFill>
                  <w14:solidFill>
                    <w14:schemeClr w14:val="tx1"/>
                  </w14:solidFill>
                </w14:textFill>
              </w:rPr>
              <w:t>方案</w:t>
            </w:r>
          </w:p>
        </w:tc>
        <w:tc>
          <w:tcPr>
            <w:tcW w:w="546" w:type="pct"/>
            <w:gridSpan w:val="2"/>
            <w:vAlign w:val="center"/>
          </w:tcPr>
          <w:p w14:paraId="41F21515">
            <w:pPr>
              <w:widowControl/>
              <w:spacing w:line="400" w:lineRule="exact"/>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30" w:type="pct"/>
            <w:vAlign w:val="center"/>
          </w:tcPr>
          <w:p w14:paraId="67D47FE3">
            <w:pPr>
              <w:spacing w:line="400" w:lineRule="exact"/>
              <w:rPr>
                <w:rFonts w:hint="eastAsia" w:ascii="宋体" w:hAnsi="宋体" w:eastAsia="宋体"/>
                <w:color w:val="auto"/>
                <w:szCs w:val="21"/>
              </w:rPr>
            </w:pPr>
            <w:r>
              <w:rPr>
                <w:rFonts w:hint="eastAsia" w:ascii="宋体" w:hAnsi="宋体" w:eastAsia="宋体"/>
                <w:color w:val="auto"/>
                <w:szCs w:val="21"/>
              </w:rPr>
              <w:t>根据投标人对本项目</w:t>
            </w:r>
            <w:r>
              <w:rPr>
                <w:rFonts w:hint="eastAsia" w:ascii="宋体" w:hAnsi="宋体" w:eastAsia="宋体"/>
                <w:color w:val="auto"/>
                <w:szCs w:val="21"/>
                <w:lang w:val="en-US" w:eastAsia="zh-CN"/>
              </w:rPr>
              <w:t>制定的</w:t>
            </w:r>
            <w:r>
              <w:rPr>
                <w:rFonts w:hint="eastAsia" w:ascii="宋体" w:hAnsi="宋体" w:eastAsia="宋体"/>
                <w:color w:val="auto"/>
                <w:szCs w:val="21"/>
              </w:rPr>
              <w:t>人员</w:t>
            </w:r>
            <w:r>
              <w:rPr>
                <w:rFonts w:hint="eastAsia" w:ascii="宋体" w:hAnsi="宋体" w:eastAsia="宋体"/>
                <w:color w:val="auto"/>
                <w:szCs w:val="21"/>
                <w:lang w:val="en-US" w:eastAsia="zh-CN"/>
              </w:rPr>
              <w:t>架构</w:t>
            </w:r>
            <w:r>
              <w:rPr>
                <w:rFonts w:hint="eastAsia" w:ascii="宋体" w:hAnsi="宋体" w:eastAsia="宋体"/>
                <w:color w:val="auto"/>
                <w:szCs w:val="21"/>
              </w:rPr>
              <w:t>方案(包括不限于</w:t>
            </w:r>
            <w:r>
              <w:rPr>
                <w:rFonts w:hint="eastAsia" w:ascii="宋体" w:hAnsi="宋体" w:eastAsia="宋体"/>
                <w:color w:val="auto"/>
                <w:szCs w:val="21"/>
                <w:lang w:val="en-US" w:eastAsia="zh-CN"/>
              </w:rPr>
              <w:t>服务人员的配置、人员岗位职责、人员培训、人员内部管理制度</w:t>
            </w:r>
            <w:r>
              <w:rPr>
                <w:rFonts w:hint="eastAsia" w:ascii="宋体" w:hAnsi="宋体" w:eastAsia="宋体"/>
                <w:color w:val="auto"/>
                <w:szCs w:val="21"/>
              </w:rPr>
              <w:t>等)进行评审</w:t>
            </w:r>
            <w:r>
              <w:rPr>
                <w:rFonts w:hint="eastAsia" w:ascii="宋体" w:hAnsi="宋体" w:eastAsia="宋体"/>
                <w:color w:val="auto"/>
                <w:szCs w:val="21"/>
                <w:lang w:val="en-US" w:eastAsia="zh-CN"/>
              </w:rPr>
              <w:t>：</w:t>
            </w:r>
          </w:p>
          <w:p w14:paraId="151DA90E">
            <w:pPr>
              <w:spacing w:line="400" w:lineRule="exact"/>
              <w:rPr>
                <w:rFonts w:hint="eastAsia" w:ascii="宋体" w:hAnsi="宋体" w:eastAsia="宋体"/>
                <w:color w:val="auto"/>
                <w:szCs w:val="21"/>
                <w:lang w:eastAsia="zh-CN"/>
              </w:rPr>
            </w:pPr>
            <w:r>
              <w:rPr>
                <w:rFonts w:hint="eastAsia" w:ascii="宋体" w:hAnsi="宋体" w:eastAsia="宋体"/>
                <w:color w:val="auto"/>
                <w:szCs w:val="21"/>
              </w:rPr>
              <w:t>①人员安排合理且高效，充分考虑了团队成员的技能、经验和特长，职责明确，分工精细，团队协作流畅</w:t>
            </w:r>
            <w:r>
              <w:rPr>
                <w:rFonts w:hint="eastAsia" w:ascii="宋体" w:hAnsi="宋体" w:eastAsia="宋体"/>
                <w:color w:val="auto"/>
                <w:szCs w:val="21"/>
                <w:lang w:val="en-US" w:eastAsia="zh-CN"/>
              </w:rPr>
              <w:t>且具相关行业的人员证书的</w:t>
            </w:r>
            <w:r>
              <w:rPr>
                <w:rFonts w:hint="eastAsia" w:ascii="宋体" w:hAnsi="宋体" w:eastAsia="宋体"/>
                <w:color w:val="auto"/>
                <w:szCs w:val="21"/>
              </w:rPr>
              <w:t>。</w:t>
            </w:r>
            <w:r>
              <w:rPr>
                <w:rFonts w:hint="eastAsia" w:ascii="宋体" w:hAnsi="宋体" w:eastAsia="宋体"/>
                <w:color w:val="auto"/>
                <w:szCs w:val="21"/>
                <w:lang w:val="en-US" w:eastAsia="zh-CN"/>
              </w:rPr>
              <w:t>人员内部管理制度</w:t>
            </w:r>
            <w:r>
              <w:rPr>
                <w:rFonts w:hint="eastAsia" w:ascii="宋体" w:hAnsi="宋体" w:eastAsia="宋体"/>
                <w:color w:val="auto"/>
                <w:szCs w:val="21"/>
              </w:rPr>
              <w:t>全面，能有效保障项目的顺利进行的，得</w:t>
            </w:r>
            <w:r>
              <w:rPr>
                <w:rFonts w:hint="eastAsia" w:ascii="宋体" w:hAnsi="宋体" w:eastAsia="宋体"/>
                <w:color w:val="auto"/>
                <w:szCs w:val="21"/>
                <w:lang w:val="en-US" w:eastAsia="zh-CN"/>
              </w:rPr>
              <w:t>10</w:t>
            </w:r>
            <w:r>
              <w:rPr>
                <w:rFonts w:hint="eastAsia" w:ascii="宋体" w:hAnsi="宋体" w:eastAsia="宋体"/>
                <w:color w:val="auto"/>
                <w:szCs w:val="21"/>
              </w:rPr>
              <w:t>分</w:t>
            </w:r>
            <w:r>
              <w:rPr>
                <w:rFonts w:hint="eastAsia" w:ascii="宋体" w:hAnsi="宋体" w:eastAsia="宋体"/>
                <w:color w:val="auto"/>
                <w:szCs w:val="21"/>
                <w:lang w:eastAsia="zh-CN"/>
              </w:rPr>
              <w:t>；</w:t>
            </w:r>
          </w:p>
          <w:p w14:paraId="628CB943">
            <w:pPr>
              <w:spacing w:line="400" w:lineRule="exact"/>
              <w:rPr>
                <w:rFonts w:hint="eastAsia" w:ascii="宋体" w:hAnsi="宋体" w:eastAsia="宋体"/>
                <w:color w:val="auto"/>
                <w:szCs w:val="21"/>
                <w:lang w:eastAsia="zh-CN"/>
              </w:rPr>
            </w:pPr>
            <w:r>
              <w:rPr>
                <w:rFonts w:hint="eastAsia" w:ascii="宋体" w:hAnsi="宋体" w:eastAsia="宋体"/>
                <w:color w:val="auto"/>
                <w:szCs w:val="21"/>
              </w:rPr>
              <w:t>②人员安排较为合理，团队成员的分工能够满足项目需求，协作基本顺畅</w:t>
            </w:r>
            <w:r>
              <w:rPr>
                <w:rFonts w:hint="eastAsia" w:ascii="宋体" w:hAnsi="宋体" w:eastAsia="宋体"/>
                <w:color w:val="auto"/>
                <w:szCs w:val="21"/>
                <w:lang w:val="en-US" w:eastAsia="zh-CN"/>
              </w:rPr>
              <w:t>且具相关行业的人员证书的</w:t>
            </w:r>
            <w:r>
              <w:rPr>
                <w:rFonts w:hint="eastAsia" w:ascii="宋体" w:hAnsi="宋体" w:eastAsia="宋体"/>
                <w:color w:val="auto"/>
                <w:szCs w:val="21"/>
                <w:lang w:eastAsia="zh-CN"/>
              </w:rPr>
              <w:t>。</w:t>
            </w:r>
            <w:r>
              <w:rPr>
                <w:rFonts w:hint="eastAsia" w:ascii="宋体" w:hAnsi="宋体" w:eastAsia="宋体"/>
                <w:color w:val="auto"/>
                <w:szCs w:val="21"/>
                <w:lang w:val="en-US" w:eastAsia="zh-CN"/>
              </w:rPr>
              <w:t>人员内部管理制度</w:t>
            </w:r>
            <w:r>
              <w:rPr>
                <w:rFonts w:hint="eastAsia" w:ascii="宋体" w:hAnsi="宋体" w:eastAsia="宋体"/>
                <w:color w:val="auto"/>
                <w:szCs w:val="21"/>
              </w:rPr>
              <w:t>较为全面，能保证项目的正常推进的，得</w:t>
            </w:r>
            <w:r>
              <w:rPr>
                <w:rFonts w:hint="eastAsia" w:ascii="宋体" w:hAnsi="宋体" w:eastAsia="宋体"/>
                <w:color w:val="auto"/>
                <w:szCs w:val="21"/>
                <w:lang w:val="en-US" w:eastAsia="zh-CN"/>
              </w:rPr>
              <w:t>7</w:t>
            </w:r>
            <w:r>
              <w:rPr>
                <w:rFonts w:hint="eastAsia" w:ascii="宋体" w:hAnsi="宋体" w:eastAsia="宋体"/>
                <w:color w:val="auto"/>
                <w:szCs w:val="21"/>
              </w:rPr>
              <w:t>分</w:t>
            </w:r>
            <w:r>
              <w:rPr>
                <w:rFonts w:hint="eastAsia" w:ascii="宋体" w:hAnsi="宋体" w:eastAsia="宋体"/>
                <w:color w:val="auto"/>
                <w:szCs w:val="21"/>
                <w:lang w:eastAsia="zh-CN"/>
              </w:rPr>
              <w:t>；</w:t>
            </w:r>
          </w:p>
          <w:p w14:paraId="1E4B6542">
            <w:pPr>
              <w:spacing w:line="400" w:lineRule="exact"/>
              <w:rPr>
                <w:rFonts w:hint="eastAsia" w:ascii="宋体" w:hAnsi="宋体" w:eastAsia="宋体"/>
                <w:color w:val="auto"/>
                <w:szCs w:val="21"/>
                <w:lang w:eastAsia="zh-CN"/>
              </w:rPr>
            </w:pPr>
            <w:r>
              <w:rPr>
                <w:rFonts w:hint="eastAsia" w:ascii="宋体" w:hAnsi="宋体" w:eastAsia="宋体"/>
                <w:color w:val="auto"/>
                <w:szCs w:val="21"/>
              </w:rPr>
              <w:t>③人员安排基本满足项目要求，但个别成员的职责可能不够清晰</w:t>
            </w:r>
            <w:r>
              <w:rPr>
                <w:rFonts w:hint="eastAsia" w:ascii="宋体" w:hAnsi="宋体" w:eastAsia="宋体"/>
                <w:color w:val="auto"/>
                <w:szCs w:val="21"/>
                <w:lang w:eastAsia="zh-CN"/>
              </w:rPr>
              <w:t>，</w:t>
            </w:r>
            <w:r>
              <w:rPr>
                <w:rFonts w:hint="eastAsia" w:ascii="宋体" w:hAnsi="宋体" w:eastAsia="宋体"/>
                <w:color w:val="auto"/>
                <w:szCs w:val="21"/>
                <w:lang w:val="en-US" w:eastAsia="zh-CN"/>
              </w:rPr>
              <w:t>人员证书有提供但是不够齐全的</w:t>
            </w:r>
            <w:r>
              <w:rPr>
                <w:rFonts w:hint="eastAsia" w:ascii="宋体" w:hAnsi="宋体" w:eastAsia="宋体"/>
                <w:color w:val="auto"/>
                <w:szCs w:val="21"/>
              </w:rPr>
              <w:t>。</w:t>
            </w:r>
            <w:r>
              <w:rPr>
                <w:rFonts w:hint="eastAsia" w:ascii="宋体" w:hAnsi="宋体" w:eastAsia="宋体"/>
                <w:color w:val="auto"/>
                <w:szCs w:val="21"/>
                <w:lang w:val="en-US" w:eastAsia="zh-CN"/>
              </w:rPr>
              <w:t>人员内部管理制度</w:t>
            </w:r>
            <w:r>
              <w:rPr>
                <w:rFonts w:hint="eastAsia" w:ascii="宋体" w:hAnsi="宋体" w:eastAsia="宋体"/>
                <w:color w:val="auto"/>
                <w:szCs w:val="21"/>
              </w:rPr>
              <w:t>有待加强。方案上对项目进度可能会产生一定的影响，但总体可控的，得</w:t>
            </w:r>
            <w:r>
              <w:rPr>
                <w:rFonts w:hint="eastAsia" w:ascii="宋体" w:hAnsi="宋体" w:eastAsia="宋体"/>
                <w:color w:val="auto"/>
                <w:szCs w:val="21"/>
                <w:lang w:val="en-US" w:eastAsia="zh-CN"/>
              </w:rPr>
              <w:t>4</w:t>
            </w:r>
            <w:r>
              <w:rPr>
                <w:rFonts w:hint="eastAsia" w:ascii="宋体" w:hAnsi="宋体" w:eastAsia="宋体"/>
                <w:color w:val="auto"/>
                <w:szCs w:val="21"/>
              </w:rPr>
              <w:t>分</w:t>
            </w:r>
            <w:r>
              <w:rPr>
                <w:rFonts w:hint="eastAsia" w:ascii="宋体" w:hAnsi="宋体" w:eastAsia="宋体"/>
                <w:color w:val="auto"/>
                <w:szCs w:val="21"/>
                <w:lang w:eastAsia="zh-CN"/>
              </w:rPr>
              <w:t>；</w:t>
            </w:r>
          </w:p>
          <w:p w14:paraId="133E6948">
            <w:pPr>
              <w:spacing w:line="400" w:lineRule="exact"/>
              <w:rPr>
                <w:rFonts w:hint="eastAsia" w:ascii="宋体" w:hAnsi="宋体" w:eastAsia="宋体"/>
                <w:color w:val="auto"/>
                <w:szCs w:val="21"/>
                <w:lang w:eastAsia="zh-CN"/>
              </w:rPr>
            </w:pPr>
            <w:r>
              <w:rPr>
                <w:rFonts w:hint="eastAsia" w:ascii="宋体" w:hAnsi="宋体" w:eastAsia="宋体"/>
                <w:color w:val="auto"/>
                <w:szCs w:val="21"/>
              </w:rPr>
              <w:t>④人员安排存在问题，部分关键岗位人员配置不合理，团队协作存在缺陷。</w:t>
            </w:r>
            <w:r>
              <w:rPr>
                <w:rFonts w:hint="eastAsia" w:ascii="宋体" w:hAnsi="宋体" w:eastAsia="宋体"/>
                <w:color w:val="auto"/>
                <w:szCs w:val="21"/>
                <w:lang w:val="en-US" w:eastAsia="zh-CN"/>
              </w:rPr>
              <w:t>人员内部管理制度</w:t>
            </w:r>
            <w:r>
              <w:rPr>
                <w:rFonts w:hint="eastAsia" w:ascii="宋体" w:hAnsi="宋体" w:eastAsia="宋体"/>
                <w:color w:val="auto"/>
                <w:szCs w:val="21"/>
              </w:rPr>
              <w:t>不全面，可能会导致项目进度延迟或质量下降的，得</w:t>
            </w:r>
            <w:r>
              <w:rPr>
                <w:rFonts w:hint="eastAsia" w:ascii="宋体" w:hAnsi="宋体" w:eastAsia="宋体"/>
                <w:color w:val="auto"/>
                <w:szCs w:val="21"/>
                <w:lang w:val="en-US" w:eastAsia="zh-CN"/>
              </w:rPr>
              <w:t>1</w:t>
            </w:r>
            <w:r>
              <w:rPr>
                <w:rFonts w:hint="eastAsia" w:ascii="宋体" w:hAnsi="宋体" w:eastAsia="宋体"/>
                <w:color w:val="auto"/>
                <w:szCs w:val="21"/>
              </w:rPr>
              <w:t>分</w:t>
            </w:r>
            <w:r>
              <w:rPr>
                <w:rFonts w:hint="eastAsia" w:ascii="宋体" w:hAnsi="宋体" w:eastAsia="宋体"/>
                <w:color w:val="auto"/>
                <w:szCs w:val="21"/>
                <w:lang w:eastAsia="zh-CN"/>
              </w:rPr>
              <w:t>；</w:t>
            </w:r>
          </w:p>
          <w:p w14:paraId="74E4EA74">
            <w:pPr>
              <w:spacing w:line="400" w:lineRule="exact"/>
              <w:rPr>
                <w:rFonts w:hint="eastAsia"/>
              </w:rPr>
            </w:pPr>
            <w:r>
              <w:rPr>
                <w:rFonts w:hint="default" w:ascii="宋体" w:hAnsi="宋体" w:eastAsia="宋体"/>
                <w:color w:val="auto"/>
                <w:szCs w:val="21"/>
                <w:lang w:val="en-US" w:eastAsia="zh-CN"/>
              </w:rPr>
              <w:t>⑤</w:t>
            </w:r>
            <w:r>
              <w:rPr>
                <w:rFonts w:hint="eastAsia" w:ascii="宋体" w:hAnsi="宋体" w:eastAsia="宋体"/>
                <w:color w:val="auto"/>
                <w:szCs w:val="21"/>
                <w:lang w:val="en-US" w:eastAsia="zh-CN"/>
              </w:rPr>
              <w:t>没有提供相关方案的，不得分。</w:t>
            </w:r>
          </w:p>
        </w:tc>
      </w:tr>
      <w:tr w14:paraId="377DB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487" w:type="pct"/>
            <w:vAlign w:val="center"/>
          </w:tcPr>
          <w:p w14:paraId="1E043A3C">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835" w:type="pct"/>
            <w:vAlign w:val="center"/>
          </w:tcPr>
          <w:p w14:paraId="3E6543B0">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服务质量保障方案</w:t>
            </w:r>
          </w:p>
        </w:tc>
        <w:tc>
          <w:tcPr>
            <w:tcW w:w="546" w:type="pct"/>
            <w:gridSpan w:val="2"/>
            <w:vAlign w:val="center"/>
          </w:tcPr>
          <w:p w14:paraId="0F7EAE43">
            <w:pPr>
              <w:widowControl/>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10分</w:t>
            </w:r>
          </w:p>
        </w:tc>
        <w:tc>
          <w:tcPr>
            <w:tcW w:w="3130" w:type="pct"/>
            <w:vAlign w:val="center"/>
          </w:tcPr>
          <w:p w14:paraId="7F37C67B">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根据</w:t>
            </w:r>
            <w:r>
              <w:rPr>
                <w:rFonts w:hint="eastAsia" w:ascii="宋体" w:hAnsi="宋体" w:eastAsia="宋体"/>
                <w:color w:val="auto"/>
                <w:szCs w:val="21"/>
              </w:rPr>
              <w:t>投标人</w:t>
            </w:r>
            <w:r>
              <w:rPr>
                <w:rFonts w:hint="default" w:ascii="宋体" w:hAnsi="宋体" w:eastAsia="宋体"/>
                <w:color w:val="auto"/>
                <w:szCs w:val="21"/>
                <w:lang w:val="en-US" w:eastAsia="zh-CN"/>
              </w:rPr>
              <w:t>针对本项目制定的</w:t>
            </w:r>
            <w:r>
              <w:rPr>
                <w:rFonts w:hint="eastAsia" w:ascii="宋体" w:hAnsi="宋体" w:eastAsia="宋体"/>
                <w:color w:val="auto"/>
                <w:szCs w:val="21"/>
                <w:lang w:val="en-US" w:eastAsia="zh-CN"/>
              </w:rPr>
              <w:t>服务</w:t>
            </w:r>
            <w:r>
              <w:rPr>
                <w:rFonts w:hint="default" w:ascii="宋体" w:hAnsi="宋体" w:eastAsia="宋体"/>
                <w:color w:val="auto"/>
                <w:szCs w:val="21"/>
                <w:lang w:val="en-US" w:eastAsia="zh-CN"/>
              </w:rPr>
              <w:t>质量</w:t>
            </w:r>
            <w:r>
              <w:rPr>
                <w:rFonts w:hint="eastAsia" w:ascii="宋体" w:hAnsi="宋体" w:eastAsia="宋体"/>
                <w:color w:val="000000" w:themeColor="text1"/>
                <w:szCs w:val="21"/>
                <w:lang w:val="en-US" w:eastAsia="zh-CN"/>
                <w14:textFill>
                  <w14:solidFill>
                    <w14:schemeClr w14:val="tx1"/>
                  </w14:solidFill>
                </w14:textFill>
              </w:rPr>
              <w:t>保障</w:t>
            </w:r>
            <w:r>
              <w:rPr>
                <w:rFonts w:hint="default" w:ascii="宋体" w:hAnsi="宋体" w:eastAsia="宋体"/>
                <w:color w:val="auto"/>
                <w:szCs w:val="21"/>
                <w:lang w:val="en-US" w:eastAsia="zh-CN"/>
              </w:rPr>
              <w:t>方案(包括但不仅限于</w:t>
            </w:r>
            <w:r>
              <w:rPr>
                <w:rFonts w:hint="eastAsia" w:ascii="宋体" w:hAnsi="宋体" w:eastAsia="宋体"/>
                <w:color w:val="auto"/>
                <w:szCs w:val="21"/>
                <w:lang w:val="en-US" w:eastAsia="zh-CN"/>
              </w:rPr>
              <w:t>服务</w:t>
            </w:r>
            <w:r>
              <w:rPr>
                <w:rFonts w:hint="default" w:ascii="宋体" w:hAnsi="宋体" w:eastAsia="宋体"/>
                <w:color w:val="auto"/>
                <w:szCs w:val="21"/>
                <w:lang w:val="en-US" w:eastAsia="zh-CN"/>
              </w:rPr>
              <w:t>质量目标、质量保证体系及措施、流程规范程度、服务</w:t>
            </w:r>
            <w:r>
              <w:rPr>
                <w:rFonts w:hint="eastAsia" w:ascii="宋体" w:hAnsi="宋体" w:eastAsia="宋体"/>
                <w:color w:val="auto"/>
                <w:szCs w:val="21"/>
                <w:lang w:val="en-US" w:eastAsia="zh-CN"/>
              </w:rPr>
              <w:t>质量</w:t>
            </w:r>
            <w:r>
              <w:rPr>
                <w:rFonts w:hint="default" w:ascii="宋体" w:hAnsi="宋体" w:eastAsia="宋体"/>
                <w:color w:val="auto"/>
                <w:szCs w:val="21"/>
                <w:lang w:val="en-US" w:eastAsia="zh-CN"/>
              </w:rPr>
              <w:t>保障措施)进行综合评审：</w:t>
            </w:r>
          </w:p>
          <w:p w14:paraId="15C581DB">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①服务方案详细完善，服务流程清晰合理贴近项目，服务保障措施完善、科学，可操作性强的，符合本项目采购需求的，得10分；</w:t>
            </w:r>
          </w:p>
          <w:p w14:paraId="1C7E6B2A">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②服务方案完整详尽，服务流程合理，服务保障措施全面、合理，可操作性较强的，符合本项目需求的，得7分；</w:t>
            </w:r>
          </w:p>
          <w:p w14:paraId="15F72E88">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③服务方案较简略，具有一定的方案及服务流程，服务保障措施不够详尽，可实施性较一般的，基本符合本项目的，得4分；</w:t>
            </w:r>
          </w:p>
          <w:p w14:paraId="1AFB8290">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④方案及服务流程较简略，服务保障措施不太完善，部分符合采购需求的，得1分；</w:t>
            </w:r>
          </w:p>
          <w:p w14:paraId="48DFB265">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⑤</w:t>
            </w:r>
            <w:r>
              <w:rPr>
                <w:rFonts w:hint="eastAsia" w:ascii="宋体" w:hAnsi="宋体" w:eastAsia="宋体"/>
                <w:color w:val="auto"/>
                <w:szCs w:val="21"/>
                <w:lang w:val="en-US" w:eastAsia="zh-CN"/>
              </w:rPr>
              <w:t>没有提供相关方案的，不得分。</w:t>
            </w:r>
          </w:p>
        </w:tc>
      </w:tr>
      <w:tr w14:paraId="2BB2D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87" w:type="pct"/>
            <w:vAlign w:val="center"/>
          </w:tcPr>
          <w:p w14:paraId="543AEE95">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p>
        </w:tc>
        <w:tc>
          <w:tcPr>
            <w:tcW w:w="835" w:type="pct"/>
            <w:vAlign w:val="center"/>
          </w:tcPr>
          <w:p w14:paraId="2B9AC57C">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对项目的了解及合理化建议</w:t>
            </w:r>
          </w:p>
        </w:tc>
        <w:tc>
          <w:tcPr>
            <w:tcW w:w="546" w:type="pct"/>
            <w:gridSpan w:val="2"/>
            <w:vAlign w:val="center"/>
          </w:tcPr>
          <w:p w14:paraId="48E4B531">
            <w:pPr>
              <w:widowControl/>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5分</w:t>
            </w:r>
          </w:p>
        </w:tc>
        <w:tc>
          <w:tcPr>
            <w:tcW w:w="3130" w:type="pct"/>
            <w:vAlign w:val="center"/>
          </w:tcPr>
          <w:p w14:paraId="16B01555">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根据投标人对</w:t>
            </w:r>
            <w:r>
              <w:rPr>
                <w:rFonts w:hint="eastAsia" w:ascii="宋体" w:hAnsi="宋体" w:eastAsia="宋体"/>
                <w:color w:val="auto"/>
                <w:szCs w:val="21"/>
                <w:lang w:val="en-US" w:eastAsia="zh-CN"/>
              </w:rPr>
              <w:t>本</w:t>
            </w:r>
            <w:r>
              <w:rPr>
                <w:rFonts w:hint="eastAsia" w:ascii="宋体" w:hAnsi="宋体" w:eastAsia="宋体"/>
                <w:color w:val="auto"/>
                <w:szCs w:val="21"/>
                <w:highlight w:val="none"/>
                <w:lang w:val="en-US" w:eastAsia="zh-CN"/>
              </w:rPr>
              <w:t>项目中涉及的</w:t>
            </w:r>
            <w:r>
              <w:rPr>
                <w:rFonts w:hint="eastAsia" w:ascii="宋体" w:hAnsi="宋体" w:eastAsia="宋体" w:cs="宋体"/>
                <w:color w:val="auto"/>
                <w:sz w:val="21"/>
                <w:szCs w:val="21"/>
                <w:highlight w:val="none"/>
                <w:lang w:val="en-US" w:eastAsia="zh-CN"/>
              </w:rPr>
              <w:t>收集、转运、处理等流程</w:t>
            </w:r>
            <w:r>
              <w:rPr>
                <w:rFonts w:hint="eastAsia" w:ascii="宋体" w:hAnsi="宋体" w:eastAsia="宋体"/>
                <w:color w:val="auto"/>
                <w:szCs w:val="21"/>
                <w:highlight w:val="none"/>
                <w:lang w:val="en-US" w:eastAsia="zh-CN"/>
              </w:rPr>
              <w:t>和我市</w:t>
            </w:r>
            <w:r>
              <w:rPr>
                <w:rFonts w:hint="eastAsia" w:ascii="宋体" w:hAnsi="宋体" w:eastAsia="宋体" w:cs="宋体"/>
                <w:sz w:val="21"/>
                <w:szCs w:val="21"/>
                <w:highlight w:val="none"/>
              </w:rPr>
              <w:t>农药包装废弃物</w:t>
            </w:r>
            <w:r>
              <w:rPr>
                <w:rFonts w:hint="eastAsia" w:ascii="宋体" w:hAnsi="宋体" w:eastAsia="宋体" w:cs="宋体"/>
                <w:sz w:val="21"/>
                <w:szCs w:val="21"/>
                <w:highlight w:val="none"/>
                <w:lang w:val="en-US" w:eastAsia="zh-CN"/>
              </w:rPr>
              <w:t>及</w:t>
            </w:r>
            <w:r>
              <w:rPr>
                <w:rFonts w:hint="eastAsia" w:ascii="宋体" w:hAnsi="宋体" w:eastAsia="宋体" w:cs="宋体"/>
                <w:sz w:val="21"/>
                <w:szCs w:val="21"/>
                <w:highlight w:val="none"/>
              </w:rPr>
              <w:t>废旧农膜</w:t>
            </w:r>
            <w:r>
              <w:rPr>
                <w:rFonts w:hint="eastAsia" w:ascii="宋体" w:hAnsi="宋体" w:eastAsia="宋体" w:cs="宋体"/>
                <w:color w:val="auto"/>
                <w:sz w:val="21"/>
                <w:szCs w:val="21"/>
                <w:highlight w:val="none"/>
                <w:lang w:val="en-US" w:eastAsia="zh-CN"/>
              </w:rPr>
              <w:t>分布情况的</w:t>
            </w:r>
            <w:r>
              <w:rPr>
                <w:rFonts w:hint="eastAsia" w:ascii="宋体" w:hAnsi="宋体" w:eastAsia="宋体"/>
                <w:color w:val="auto"/>
                <w:szCs w:val="21"/>
                <w:highlight w:val="none"/>
                <w:lang w:val="en-US" w:eastAsia="zh-CN"/>
              </w:rPr>
              <w:t>了解程度和针对采购需求提供的合理</w:t>
            </w:r>
            <w:r>
              <w:rPr>
                <w:rFonts w:hint="default" w:ascii="宋体" w:hAnsi="宋体" w:eastAsia="宋体"/>
                <w:color w:val="auto"/>
                <w:szCs w:val="21"/>
                <w:highlight w:val="none"/>
                <w:lang w:val="en-US" w:eastAsia="zh-CN"/>
              </w:rPr>
              <w:t>建议等进行评审：</w:t>
            </w:r>
          </w:p>
          <w:p w14:paraId="2F43C505">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①对本项目现状的情况非常熟悉、所掌握的资料非常充分，对</w:t>
            </w:r>
            <w:r>
              <w:rPr>
                <w:rFonts w:hint="eastAsia" w:ascii="宋体" w:hAnsi="宋体" w:eastAsia="宋体" w:cs="宋体"/>
                <w:sz w:val="21"/>
                <w:szCs w:val="21"/>
                <w:highlight w:val="none"/>
              </w:rPr>
              <w:t>农药包装废弃物</w:t>
            </w:r>
            <w:r>
              <w:rPr>
                <w:rFonts w:hint="eastAsia" w:ascii="宋体" w:hAnsi="宋体" w:eastAsia="宋体" w:cs="宋体"/>
                <w:sz w:val="21"/>
                <w:szCs w:val="21"/>
                <w:highlight w:val="none"/>
                <w:lang w:val="en-US" w:eastAsia="zh-CN"/>
              </w:rPr>
              <w:t>及</w:t>
            </w:r>
            <w:r>
              <w:rPr>
                <w:rFonts w:hint="eastAsia" w:ascii="宋体" w:hAnsi="宋体" w:eastAsia="宋体" w:cs="宋体"/>
                <w:sz w:val="21"/>
                <w:szCs w:val="21"/>
                <w:highlight w:val="none"/>
              </w:rPr>
              <w:t>废旧农膜</w:t>
            </w:r>
            <w:r>
              <w:rPr>
                <w:rFonts w:hint="eastAsia" w:ascii="宋体" w:hAnsi="宋体" w:eastAsia="宋体" w:cs="宋体"/>
                <w:sz w:val="21"/>
                <w:szCs w:val="21"/>
                <w:highlight w:val="none"/>
                <w:lang w:eastAsia="zh-CN"/>
              </w:rPr>
              <w:t>，</w:t>
            </w:r>
            <w:r>
              <w:rPr>
                <w:rFonts w:hint="eastAsia" w:ascii="宋体" w:hAnsi="宋体" w:eastAsia="宋体" w:cs="宋体"/>
                <w:iCs/>
                <w:color w:val="auto"/>
                <w:sz w:val="21"/>
                <w:szCs w:val="21"/>
                <w:lang w:val="en-US" w:eastAsia="zh-CN"/>
              </w:rPr>
              <w:t>假农药、劣质农药、过期农药及罚没农药的</w:t>
            </w:r>
            <w:r>
              <w:rPr>
                <w:rFonts w:hint="eastAsia" w:ascii="宋体" w:hAnsi="宋体" w:eastAsia="宋体" w:cs="宋体"/>
                <w:color w:val="auto"/>
                <w:sz w:val="21"/>
                <w:szCs w:val="21"/>
                <w:highlight w:val="none"/>
                <w:lang w:val="en-US" w:eastAsia="zh-CN"/>
              </w:rPr>
              <w:t>回收处理方式、流程、标准</w:t>
            </w:r>
            <w:r>
              <w:rPr>
                <w:rFonts w:hint="default" w:ascii="宋体" w:hAnsi="宋体" w:eastAsia="宋体"/>
                <w:color w:val="auto"/>
                <w:szCs w:val="21"/>
                <w:lang w:val="en-US" w:eastAsia="zh-CN"/>
              </w:rPr>
              <w:t>能提供非常完善的意见及建议的，得</w:t>
            </w:r>
            <w:r>
              <w:rPr>
                <w:rFonts w:hint="eastAsia" w:ascii="宋体" w:hAnsi="宋体" w:eastAsia="宋体"/>
                <w:color w:val="auto"/>
                <w:szCs w:val="21"/>
                <w:lang w:val="en-US" w:eastAsia="zh-CN"/>
              </w:rPr>
              <w:t>5</w:t>
            </w:r>
            <w:r>
              <w:rPr>
                <w:rFonts w:hint="default" w:ascii="宋体" w:hAnsi="宋体" w:eastAsia="宋体"/>
                <w:color w:val="auto"/>
                <w:szCs w:val="21"/>
                <w:lang w:val="en-US" w:eastAsia="zh-CN"/>
              </w:rPr>
              <w:t>分；</w:t>
            </w:r>
          </w:p>
          <w:p w14:paraId="5ADF2766">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②对本项目现状的情况熟悉、所掌握的资料比较充分，对</w:t>
            </w:r>
            <w:r>
              <w:rPr>
                <w:rFonts w:hint="eastAsia" w:ascii="宋体" w:hAnsi="宋体" w:eastAsia="宋体" w:cs="宋体"/>
                <w:sz w:val="21"/>
                <w:szCs w:val="21"/>
                <w:highlight w:val="none"/>
              </w:rPr>
              <w:t>农药包装废弃物</w:t>
            </w:r>
            <w:r>
              <w:rPr>
                <w:rFonts w:hint="eastAsia" w:ascii="宋体" w:hAnsi="宋体" w:eastAsia="宋体" w:cs="宋体"/>
                <w:sz w:val="21"/>
                <w:szCs w:val="21"/>
                <w:highlight w:val="none"/>
                <w:lang w:val="en-US" w:eastAsia="zh-CN"/>
              </w:rPr>
              <w:t>及</w:t>
            </w:r>
            <w:r>
              <w:rPr>
                <w:rFonts w:hint="eastAsia" w:ascii="宋体" w:hAnsi="宋体" w:eastAsia="宋体" w:cs="宋体"/>
                <w:sz w:val="21"/>
                <w:szCs w:val="21"/>
                <w:highlight w:val="none"/>
              </w:rPr>
              <w:t>废旧农膜</w:t>
            </w:r>
            <w:r>
              <w:rPr>
                <w:rFonts w:hint="eastAsia" w:ascii="宋体" w:hAnsi="宋体" w:eastAsia="宋体" w:cs="宋体"/>
                <w:sz w:val="21"/>
                <w:szCs w:val="21"/>
                <w:highlight w:val="none"/>
                <w:lang w:eastAsia="zh-CN"/>
              </w:rPr>
              <w:t>，</w:t>
            </w:r>
            <w:r>
              <w:rPr>
                <w:rFonts w:hint="eastAsia" w:ascii="宋体" w:hAnsi="宋体" w:eastAsia="宋体" w:cs="宋体"/>
                <w:iCs/>
                <w:color w:val="auto"/>
                <w:sz w:val="21"/>
                <w:szCs w:val="21"/>
                <w:lang w:val="en-US" w:eastAsia="zh-CN"/>
              </w:rPr>
              <w:t>假农药、劣质农药、过期农药及罚没农药的</w:t>
            </w:r>
            <w:r>
              <w:rPr>
                <w:rFonts w:hint="eastAsia" w:ascii="宋体" w:hAnsi="宋体" w:eastAsia="宋体" w:cs="宋体"/>
                <w:color w:val="auto"/>
                <w:sz w:val="21"/>
                <w:szCs w:val="21"/>
                <w:highlight w:val="none"/>
                <w:lang w:val="en-US" w:eastAsia="zh-CN"/>
              </w:rPr>
              <w:t>回收处理方式、流程、标准</w:t>
            </w:r>
            <w:r>
              <w:rPr>
                <w:rFonts w:hint="default" w:ascii="宋体" w:hAnsi="宋体" w:eastAsia="宋体"/>
                <w:color w:val="auto"/>
                <w:szCs w:val="21"/>
                <w:lang w:val="en-US" w:eastAsia="zh-CN"/>
              </w:rPr>
              <w:t>能提供完善的意见及建议的，得</w:t>
            </w:r>
            <w:r>
              <w:rPr>
                <w:rFonts w:hint="eastAsia" w:ascii="宋体" w:hAnsi="宋体" w:eastAsia="宋体"/>
                <w:color w:val="auto"/>
                <w:szCs w:val="21"/>
                <w:lang w:val="en-US" w:eastAsia="zh-CN"/>
              </w:rPr>
              <w:t>3</w:t>
            </w:r>
            <w:r>
              <w:rPr>
                <w:rFonts w:hint="default" w:ascii="宋体" w:hAnsi="宋体" w:eastAsia="宋体"/>
                <w:color w:val="auto"/>
                <w:szCs w:val="21"/>
                <w:lang w:val="en-US" w:eastAsia="zh-CN"/>
              </w:rPr>
              <w:t>分；</w:t>
            </w:r>
          </w:p>
          <w:p w14:paraId="0871410E">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③对本项目现状基本情况了解不熟悉、掌握部分资料、对</w:t>
            </w:r>
            <w:r>
              <w:rPr>
                <w:rFonts w:hint="eastAsia" w:ascii="宋体" w:hAnsi="宋体" w:eastAsia="宋体" w:cs="宋体"/>
                <w:sz w:val="21"/>
                <w:szCs w:val="21"/>
                <w:highlight w:val="none"/>
              </w:rPr>
              <w:t>农药包装废弃物</w:t>
            </w:r>
            <w:r>
              <w:rPr>
                <w:rFonts w:hint="eastAsia" w:ascii="宋体" w:hAnsi="宋体" w:eastAsia="宋体" w:cs="宋体"/>
                <w:sz w:val="21"/>
                <w:szCs w:val="21"/>
                <w:highlight w:val="none"/>
                <w:lang w:val="en-US" w:eastAsia="zh-CN"/>
              </w:rPr>
              <w:t>及</w:t>
            </w:r>
            <w:r>
              <w:rPr>
                <w:rFonts w:hint="eastAsia" w:ascii="宋体" w:hAnsi="宋体" w:eastAsia="宋体" w:cs="宋体"/>
                <w:sz w:val="21"/>
                <w:szCs w:val="21"/>
                <w:highlight w:val="none"/>
              </w:rPr>
              <w:t>废旧农膜</w:t>
            </w:r>
            <w:r>
              <w:rPr>
                <w:rFonts w:hint="eastAsia" w:ascii="宋体" w:hAnsi="宋体" w:eastAsia="宋体" w:cs="宋体"/>
                <w:sz w:val="21"/>
                <w:szCs w:val="21"/>
                <w:highlight w:val="none"/>
                <w:lang w:eastAsia="zh-CN"/>
              </w:rPr>
              <w:t>，</w:t>
            </w:r>
            <w:r>
              <w:rPr>
                <w:rFonts w:hint="eastAsia" w:ascii="宋体" w:hAnsi="宋体" w:eastAsia="宋体" w:cs="宋体"/>
                <w:iCs/>
                <w:color w:val="auto"/>
                <w:sz w:val="21"/>
                <w:szCs w:val="21"/>
                <w:lang w:val="en-US" w:eastAsia="zh-CN"/>
              </w:rPr>
              <w:t>假农药、劣质农药、过期农药及罚没农药的</w:t>
            </w:r>
            <w:r>
              <w:rPr>
                <w:rFonts w:hint="eastAsia" w:ascii="宋体" w:hAnsi="宋体" w:eastAsia="宋体" w:cs="宋体"/>
                <w:color w:val="auto"/>
                <w:sz w:val="21"/>
                <w:szCs w:val="21"/>
                <w:highlight w:val="none"/>
                <w:lang w:val="en-US" w:eastAsia="zh-CN"/>
              </w:rPr>
              <w:t>回收处理方式、流程、标准能</w:t>
            </w:r>
            <w:r>
              <w:rPr>
                <w:rFonts w:hint="default" w:ascii="宋体" w:hAnsi="宋体" w:eastAsia="宋体"/>
                <w:color w:val="auto"/>
                <w:szCs w:val="21"/>
                <w:lang w:val="en-US" w:eastAsia="zh-CN"/>
              </w:rPr>
              <w:t>提供意见及建议</w:t>
            </w:r>
            <w:r>
              <w:rPr>
                <w:rFonts w:hint="eastAsia" w:ascii="宋体" w:hAnsi="宋体" w:eastAsia="宋体"/>
                <w:color w:val="auto"/>
                <w:szCs w:val="21"/>
                <w:lang w:val="en-US" w:eastAsia="zh-CN"/>
              </w:rPr>
              <w:t>但</w:t>
            </w:r>
            <w:r>
              <w:rPr>
                <w:rFonts w:hint="default" w:ascii="宋体" w:hAnsi="宋体" w:eastAsia="宋体"/>
                <w:color w:val="auto"/>
                <w:szCs w:val="21"/>
                <w:lang w:val="en-US" w:eastAsia="zh-CN"/>
              </w:rPr>
              <w:t>不够详细的，得1分；</w:t>
            </w:r>
          </w:p>
          <w:p w14:paraId="57E54C57">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④</w:t>
            </w:r>
            <w:r>
              <w:rPr>
                <w:rFonts w:hint="eastAsia" w:ascii="宋体" w:hAnsi="宋体" w:eastAsia="宋体"/>
                <w:color w:val="auto"/>
                <w:szCs w:val="21"/>
                <w:lang w:val="en-US" w:eastAsia="zh-CN"/>
              </w:rPr>
              <w:t>没有提供相关方案的，不得分。</w:t>
            </w:r>
          </w:p>
        </w:tc>
      </w:tr>
      <w:tr w14:paraId="28230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487" w:type="pct"/>
            <w:vAlign w:val="center"/>
          </w:tcPr>
          <w:p w14:paraId="3671C97E">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5</w:t>
            </w:r>
          </w:p>
        </w:tc>
        <w:tc>
          <w:tcPr>
            <w:tcW w:w="835" w:type="pct"/>
            <w:vAlign w:val="center"/>
          </w:tcPr>
          <w:p w14:paraId="6108E4A6">
            <w:pPr>
              <w:spacing w:line="400" w:lineRule="exact"/>
              <w:jc w:val="center"/>
              <w:rPr>
                <w:rFonts w:hint="eastAsia" w:ascii="宋体" w:hAnsi="宋体" w:eastAsia="宋体"/>
                <w:color w:val="000000" w:themeColor="text1"/>
                <w:szCs w:val="21"/>
                <w14:textFill>
                  <w14:solidFill>
                    <w14:schemeClr w14:val="tx1"/>
                  </w14:solidFill>
                </w14:textFill>
              </w:rPr>
            </w:pPr>
            <w:r>
              <w:rPr>
                <w:rFonts w:hint="default" w:ascii="宋体" w:hAnsi="宋体" w:eastAsia="宋体"/>
                <w:color w:val="000000" w:themeColor="text1"/>
                <w:szCs w:val="21"/>
                <w:lang w:val="en-US" w:eastAsia="zh-CN"/>
                <w14:textFill>
                  <w14:solidFill>
                    <w14:schemeClr w14:val="tx1"/>
                  </w14:solidFill>
                </w14:textFill>
              </w:rPr>
              <w:t>应急预案</w:t>
            </w:r>
          </w:p>
        </w:tc>
        <w:tc>
          <w:tcPr>
            <w:tcW w:w="546" w:type="pct"/>
            <w:gridSpan w:val="2"/>
            <w:vAlign w:val="center"/>
          </w:tcPr>
          <w:p w14:paraId="609ED736">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30" w:type="pct"/>
            <w:vAlign w:val="center"/>
          </w:tcPr>
          <w:p w14:paraId="68C36118">
            <w:pPr>
              <w:spacing w:line="400" w:lineRule="exact"/>
              <w:rPr>
                <w:rFonts w:hint="default" w:ascii="宋体" w:hAnsi="宋体" w:eastAsia="宋体"/>
                <w:color w:val="auto"/>
                <w:szCs w:val="21"/>
                <w:lang w:val="en-US" w:eastAsia="zh-CN"/>
              </w:rPr>
            </w:pPr>
            <w:r>
              <w:rPr>
                <w:rFonts w:hint="eastAsia" w:ascii="宋体" w:hAnsi="宋体" w:eastAsia="宋体"/>
                <w:color w:val="auto"/>
                <w:szCs w:val="21"/>
              </w:rPr>
              <w:t>根据投标人对本项目</w:t>
            </w:r>
            <w:r>
              <w:rPr>
                <w:rFonts w:hint="eastAsia" w:ascii="宋体" w:hAnsi="宋体" w:eastAsia="宋体"/>
                <w:color w:val="auto"/>
                <w:szCs w:val="21"/>
                <w:lang w:val="en-US" w:eastAsia="zh-CN"/>
              </w:rPr>
              <w:t>制定的</w:t>
            </w:r>
            <w:r>
              <w:rPr>
                <w:rFonts w:hint="default" w:ascii="宋体" w:hAnsi="宋体" w:eastAsia="宋体"/>
                <w:color w:val="000000" w:themeColor="text1"/>
                <w:szCs w:val="21"/>
                <w:lang w:val="en-US" w:eastAsia="zh-CN"/>
                <w14:textFill>
                  <w14:solidFill>
                    <w14:schemeClr w14:val="tx1"/>
                  </w14:solidFill>
                </w14:textFill>
              </w:rPr>
              <w:t>应急预案</w:t>
            </w:r>
            <w:r>
              <w:rPr>
                <w:rFonts w:hint="eastAsia" w:ascii="宋体" w:hAnsi="宋体" w:eastAsia="宋体"/>
                <w:color w:val="auto"/>
                <w:szCs w:val="21"/>
                <w:lang w:val="en-US" w:eastAsia="zh-CN"/>
              </w:rPr>
              <w:t>（</w:t>
            </w:r>
            <w:r>
              <w:rPr>
                <w:rFonts w:hint="default" w:ascii="宋体" w:hAnsi="宋体" w:eastAsia="宋体"/>
                <w:color w:val="auto"/>
                <w:szCs w:val="21"/>
                <w:lang w:val="en-US" w:eastAsia="zh-CN"/>
              </w:rPr>
              <w:t>包含但不限于</w:t>
            </w:r>
            <w:r>
              <w:rPr>
                <w:rFonts w:hint="eastAsia" w:ascii="宋体" w:hAnsi="宋体" w:eastAsia="宋体"/>
                <w:color w:val="auto"/>
                <w:szCs w:val="21"/>
                <w:highlight w:val="none"/>
                <w:lang w:val="en-US" w:eastAsia="zh-CN"/>
              </w:rPr>
              <w:t>恶劣天气、环境</w:t>
            </w:r>
            <w:r>
              <w:rPr>
                <w:rFonts w:hint="default" w:ascii="宋体" w:hAnsi="宋体" w:eastAsia="宋体"/>
                <w:color w:val="auto"/>
                <w:szCs w:val="21"/>
                <w:highlight w:val="none"/>
                <w:lang w:val="en-US" w:eastAsia="zh-CN"/>
              </w:rPr>
              <w:t>污染</w:t>
            </w:r>
            <w:r>
              <w:rPr>
                <w:rFonts w:hint="eastAsia" w:ascii="宋体" w:hAnsi="宋体" w:eastAsia="宋体"/>
                <w:color w:val="auto"/>
                <w:szCs w:val="21"/>
                <w:highlight w:val="none"/>
                <w:lang w:val="en-US" w:eastAsia="zh-CN"/>
              </w:rPr>
              <w:t>、人员伤害、运输车辆故障等服务中</w:t>
            </w:r>
            <w:r>
              <w:rPr>
                <w:rFonts w:hint="default" w:ascii="宋体" w:hAnsi="宋体" w:eastAsia="宋体"/>
                <w:color w:val="auto"/>
                <w:szCs w:val="21"/>
                <w:highlight w:val="none"/>
                <w:lang w:val="en-US" w:eastAsia="zh-CN"/>
              </w:rPr>
              <w:t>可能发生</w:t>
            </w:r>
            <w:r>
              <w:rPr>
                <w:rFonts w:hint="eastAsia" w:ascii="宋体" w:hAnsi="宋体" w:eastAsia="宋体"/>
                <w:color w:val="auto"/>
                <w:szCs w:val="21"/>
                <w:highlight w:val="none"/>
                <w:lang w:val="en-US" w:eastAsia="zh-CN"/>
              </w:rPr>
              <w:t>的</w:t>
            </w:r>
            <w:r>
              <w:rPr>
                <w:rFonts w:hint="default" w:ascii="宋体" w:hAnsi="宋体" w:eastAsia="宋体"/>
                <w:color w:val="auto"/>
                <w:szCs w:val="21"/>
                <w:highlight w:val="none"/>
                <w:lang w:val="en-US" w:eastAsia="zh-CN"/>
              </w:rPr>
              <w:t>各类紧急情况的预防措施</w:t>
            </w:r>
            <w:r>
              <w:rPr>
                <w:rFonts w:hint="eastAsia" w:ascii="宋体" w:hAnsi="宋体" w:eastAsia="宋体"/>
                <w:color w:val="auto"/>
                <w:szCs w:val="21"/>
                <w:highlight w:val="none"/>
                <w:lang w:val="en-US" w:eastAsia="zh-CN"/>
              </w:rPr>
              <w:t>及事故处理办法</w:t>
            </w:r>
            <w:r>
              <w:rPr>
                <w:rFonts w:hint="eastAsia" w:ascii="宋体" w:hAnsi="宋体" w:eastAsia="宋体"/>
                <w:color w:val="auto"/>
                <w:szCs w:val="21"/>
                <w:lang w:val="en-US" w:eastAsia="zh-CN"/>
              </w:rPr>
              <w:t>）</w:t>
            </w:r>
            <w:r>
              <w:rPr>
                <w:rFonts w:hint="default" w:ascii="宋体" w:hAnsi="宋体" w:eastAsia="宋体"/>
                <w:color w:val="auto"/>
                <w:szCs w:val="21"/>
                <w:lang w:val="en-US" w:eastAsia="zh-CN"/>
              </w:rPr>
              <w:t>进行评审：</w:t>
            </w:r>
          </w:p>
          <w:p w14:paraId="3404AAC7">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①应急预案全面囊括了可能出现的紧急情形，应对流程详尽、高效，步骤清晰明确，方案科学严密，与本项目实际实施情况完美融合的，得10分；</w:t>
            </w:r>
          </w:p>
          <w:p w14:paraId="182AA82B">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②应急预案深入且广泛地覆盖了各种潜在的紧急状况，应对流程具体</w:t>
            </w:r>
            <w:r>
              <w:rPr>
                <w:rFonts w:hint="eastAsia" w:ascii="宋体" w:hAnsi="宋体" w:eastAsia="宋体"/>
                <w:color w:val="auto"/>
                <w:szCs w:val="21"/>
                <w:lang w:val="en-US" w:eastAsia="zh-CN"/>
              </w:rPr>
              <w:t>、</w:t>
            </w:r>
            <w:r>
              <w:rPr>
                <w:rFonts w:hint="default" w:ascii="宋体" w:hAnsi="宋体" w:eastAsia="宋体"/>
                <w:color w:val="auto"/>
                <w:szCs w:val="21"/>
                <w:lang w:val="en-US" w:eastAsia="zh-CN"/>
              </w:rPr>
              <w:t>可操作性强，预防措施全面细致，紧密贴合项目的实际实施情况的，得7分；</w:t>
            </w:r>
          </w:p>
          <w:p w14:paraId="24961E55">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③应急预案较为全面地涵盖了可能的紧急情况，应对流程较为详细。预防措施相对周全，能够较好地结合项目一般实际情况的，得4分；</w:t>
            </w:r>
          </w:p>
          <w:p w14:paraId="15E7E2C9">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④应急预案包含了常见的紧急情况，并有一定的应对流程描述，预防措施有一定的涵盖，但仍存在一些漏洞，完善度低，逻辑基本清晰，能够在一定程度上指导应急处理的，得1分；</w:t>
            </w:r>
          </w:p>
          <w:p w14:paraId="4D83118E">
            <w:pPr>
              <w:spacing w:line="400" w:lineRule="exact"/>
              <w:rPr>
                <w:rFonts w:hint="eastAsia" w:ascii="宋体" w:hAnsi="宋体" w:eastAsia="宋体"/>
                <w:color w:val="auto"/>
                <w:szCs w:val="21"/>
              </w:rPr>
            </w:pPr>
            <w:r>
              <w:rPr>
                <w:rFonts w:hint="default" w:ascii="宋体" w:hAnsi="宋体" w:eastAsia="宋体"/>
                <w:color w:val="auto"/>
                <w:szCs w:val="21"/>
                <w:lang w:val="en-US" w:eastAsia="zh-CN"/>
              </w:rPr>
              <w:t>⑤</w:t>
            </w:r>
            <w:r>
              <w:rPr>
                <w:rFonts w:hint="eastAsia" w:ascii="宋体" w:hAnsi="宋体" w:eastAsia="宋体"/>
                <w:color w:val="auto"/>
                <w:szCs w:val="21"/>
                <w:lang w:val="en-US" w:eastAsia="zh-CN"/>
              </w:rPr>
              <w:t>没有提供相关方案的，不得分。</w:t>
            </w:r>
          </w:p>
        </w:tc>
      </w:tr>
      <w:bookmarkEnd w:id="30"/>
    </w:tbl>
    <w:p w14:paraId="63629D26">
      <w:pPr>
        <w:pStyle w:val="24"/>
        <w:numPr>
          <w:ilvl w:val="3"/>
          <w:numId w:val="80"/>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汇总、排序</w:t>
      </w:r>
    </w:p>
    <w:p w14:paraId="46D2CBF0">
      <w:pPr>
        <w:pStyle w:val="24"/>
        <w:widowControl/>
        <w:numPr>
          <w:ilvl w:val="0"/>
          <w:numId w:val="82"/>
        </w:numPr>
        <w:ind w:left="426" w:hanging="426" w:firstLineChars="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评审后得分最高的同品牌投标人获得中标人推荐资格；评审得分相同的，由采购人或者采购人委托评标委员会采取随机抽取方式确</w:t>
      </w:r>
      <w:r>
        <w:rPr>
          <w:rFonts w:ascii="宋体" w:hAnsi="宋体" w:eastAsia="宋体" w:cs="Times New Roman"/>
          <w:color w:val="auto"/>
          <w:kern w:val="0"/>
          <w:szCs w:val="21"/>
          <w:lang w:eastAsia="zh-Hans"/>
        </w:rPr>
        <w:t>定，其他同品牌投标人不作为中标候选人）。</w:t>
      </w:r>
    </w:p>
    <w:p w14:paraId="2B2F3375">
      <w:pPr>
        <w:pStyle w:val="24"/>
        <w:numPr>
          <w:ilvl w:val="3"/>
          <w:numId w:val="80"/>
        </w:numPr>
        <w:ind w:left="284" w:hanging="284"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中标价的确定</w:t>
      </w:r>
    </w:p>
    <w:p w14:paraId="0796B8FB">
      <w:pPr>
        <w:widowControl/>
        <w:ind w:firstLine="420" w:firstLineChars="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除了按第四章第一点第7条修正并经投标人确认的投标报价作为中标价外，中标价以开标时公开唱标价为准。</w:t>
      </w:r>
    </w:p>
    <w:p w14:paraId="5E21D78E">
      <w:pPr>
        <w:pStyle w:val="24"/>
        <w:numPr>
          <w:ilvl w:val="3"/>
          <w:numId w:val="80"/>
        </w:numPr>
        <w:ind w:left="284" w:hanging="284"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其他无效投标的情形：</w:t>
      </w:r>
    </w:p>
    <w:p w14:paraId="35934C84">
      <w:pPr>
        <w:pStyle w:val="24"/>
        <w:widowControl/>
        <w:numPr>
          <w:ilvl w:val="0"/>
          <w:numId w:val="83"/>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评标期间，投标人没有按评标委员会的要求提交法定代表人或其委托代理人签字的澄清、说明、补正或改变了投标文件的实质性内容的。</w:t>
      </w:r>
    </w:p>
    <w:p w14:paraId="73BAB585">
      <w:pPr>
        <w:pStyle w:val="24"/>
        <w:widowControl/>
        <w:numPr>
          <w:ilvl w:val="0"/>
          <w:numId w:val="83"/>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投标文件提供虚假材料的。</w:t>
      </w:r>
    </w:p>
    <w:p w14:paraId="0FC31C56">
      <w:pPr>
        <w:pStyle w:val="24"/>
        <w:widowControl/>
        <w:numPr>
          <w:ilvl w:val="0"/>
          <w:numId w:val="8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投标人以他人名义投标、串通投标、以行贿手段谋取中标或者以其他弄虚作假方式投标的。</w:t>
      </w:r>
    </w:p>
    <w:p w14:paraId="16995FF2">
      <w:pPr>
        <w:pStyle w:val="24"/>
        <w:widowControl/>
        <w:numPr>
          <w:ilvl w:val="0"/>
          <w:numId w:val="83"/>
        </w:numPr>
        <w:ind w:firstLineChars="0"/>
        <w:jc w:val="left"/>
        <w:rPr>
          <w:rFonts w:hint="eastAsia" w:ascii="宋体" w:hAnsi="宋体" w:eastAsia="宋体" w:cs="Times New Roman"/>
          <w:spacing w:val="-4"/>
          <w:kern w:val="0"/>
          <w:szCs w:val="21"/>
          <w:lang w:eastAsia="zh-Hans"/>
        </w:rPr>
      </w:pPr>
      <w:r>
        <w:rPr>
          <w:rFonts w:ascii="宋体" w:hAnsi="宋体" w:eastAsia="宋体" w:cs="Times New Roman"/>
          <w:spacing w:val="-4"/>
          <w:kern w:val="0"/>
          <w:szCs w:val="21"/>
          <w:lang w:eastAsia="zh-Hans"/>
        </w:rPr>
        <w:t>投标人对采购人、采购代理机构、评标委员会及其工作人员施加影响，有碍招标公平、公正的。</w:t>
      </w:r>
    </w:p>
    <w:p w14:paraId="4529C943">
      <w:pPr>
        <w:pStyle w:val="24"/>
        <w:widowControl/>
        <w:numPr>
          <w:ilvl w:val="0"/>
          <w:numId w:val="8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投标文件含有采购人不能接受的附加条件的。</w:t>
      </w:r>
    </w:p>
    <w:p w14:paraId="77BA00BB">
      <w:pPr>
        <w:pStyle w:val="24"/>
        <w:widowControl/>
        <w:numPr>
          <w:ilvl w:val="0"/>
          <w:numId w:val="8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法律、法规和招标文件规定的其他无效情形。</w:t>
      </w:r>
    </w:p>
    <w:p w14:paraId="0499BC6E">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128C51EC">
      <w:pPr>
        <w:pStyle w:val="18"/>
        <w:rPr>
          <w:lang w:eastAsia="zh-CN"/>
        </w:rPr>
      </w:pPr>
    </w:p>
    <w:p w14:paraId="56A31350">
      <w:pPr>
        <w:pStyle w:val="18"/>
        <w:rPr>
          <w:lang w:eastAsia="zh-CN"/>
        </w:rPr>
      </w:pPr>
    </w:p>
    <w:p w14:paraId="671D7669">
      <w:pPr>
        <w:pStyle w:val="18"/>
        <w:rPr>
          <w:lang w:eastAsia="zh-CN"/>
        </w:rPr>
      </w:pPr>
    </w:p>
    <w:p w14:paraId="4FB91B55">
      <w:pPr>
        <w:pageBreakBefore/>
        <w:widowControl/>
        <w:jc w:val="center"/>
        <w:outlineLvl w:val="1"/>
        <w:rPr>
          <w:rFonts w:hint="eastAsia" w:ascii="宋体" w:hAnsi="宋体" w:eastAsia="宋体"/>
          <w:sz w:val="36"/>
          <w:szCs w:val="36"/>
        </w:rPr>
      </w:pPr>
      <w:bookmarkStart w:id="31" w:name="_Toc169799783"/>
      <w:bookmarkStart w:id="32" w:name="_Toc169807544"/>
      <w:r>
        <w:rPr>
          <w:rFonts w:ascii="宋体" w:hAnsi="宋体" w:eastAsia="宋体" w:cs="Times New Roman"/>
          <w:b/>
          <w:kern w:val="0"/>
          <w:sz w:val="36"/>
          <w:szCs w:val="36"/>
          <w:lang w:eastAsia="zh-Hans"/>
        </w:rPr>
        <w:t>第五章 合同文本</w:t>
      </w:r>
      <w:bookmarkEnd w:id="31"/>
      <w:bookmarkEnd w:id="32"/>
    </w:p>
    <w:p w14:paraId="6B309603">
      <w:pPr>
        <w:keepLines/>
        <w:spacing w:line="360" w:lineRule="auto"/>
        <w:rPr>
          <w:rFonts w:hint="eastAsia" w:ascii="宋体" w:hAnsi="宋体" w:eastAsia="宋体"/>
          <w:color w:val="auto"/>
          <w:szCs w:val="21"/>
        </w:rPr>
      </w:pPr>
      <w:r>
        <w:rPr>
          <w:rFonts w:hint="eastAsia" w:ascii="宋体" w:hAnsi="宋体" w:eastAsia="宋体"/>
          <w:color w:val="000000" w:themeColor="text1"/>
          <w:szCs w:val="21"/>
          <w14:textFill>
            <w14:solidFill>
              <w14:schemeClr w14:val="tx1"/>
            </w14:solidFill>
          </w14:textFill>
        </w:rPr>
        <w:t>甲方（采购</w:t>
      </w:r>
      <w:r>
        <w:rPr>
          <w:rFonts w:hint="eastAsia" w:ascii="宋体" w:hAnsi="宋体" w:eastAsia="宋体"/>
          <w:color w:val="auto"/>
          <w:szCs w:val="21"/>
        </w:rPr>
        <w:t>人）：</w:t>
      </w:r>
      <w:r>
        <w:rPr>
          <w:rFonts w:hint="eastAsia" w:ascii="宋体" w:hAnsi="宋体" w:eastAsia="宋体"/>
          <w:color w:val="auto"/>
          <w:szCs w:val="21"/>
          <w:u w:val="single"/>
        </w:rPr>
        <w:t xml:space="preserve"> 东莞市农业技术推广管理办公室 </w:t>
      </w:r>
    </w:p>
    <w:p w14:paraId="3D98A3DF">
      <w:pPr>
        <w:spacing w:line="360" w:lineRule="auto"/>
        <w:rPr>
          <w:rFonts w:hint="eastAsia" w:ascii="宋体" w:hAnsi="宋体" w:eastAsia="宋体"/>
          <w:color w:val="auto"/>
          <w:szCs w:val="21"/>
        </w:rPr>
      </w:pPr>
      <w:r>
        <w:rPr>
          <w:rFonts w:hint="eastAsia" w:ascii="宋体" w:hAnsi="宋体" w:eastAsia="宋体"/>
          <w:color w:val="auto"/>
          <w:szCs w:val="21"/>
        </w:rPr>
        <w:t>乙方（中标人）：</w:t>
      </w:r>
      <w:r>
        <w:rPr>
          <w:rFonts w:hint="eastAsia" w:ascii="宋体" w:hAnsi="宋体" w:eastAsia="宋体"/>
          <w:color w:val="auto"/>
          <w:szCs w:val="21"/>
          <w:u w:val="single"/>
        </w:rPr>
        <w:t xml:space="preserve">                          </w:t>
      </w:r>
    </w:p>
    <w:p w14:paraId="3C33253E">
      <w:pPr>
        <w:ind w:firstLine="420" w:firstLineChars="200"/>
        <w:rPr>
          <w:rFonts w:hint="eastAsia" w:ascii="宋体" w:hAnsi="宋体" w:eastAsia="宋体"/>
          <w:color w:val="auto"/>
          <w:szCs w:val="21"/>
        </w:rPr>
      </w:pPr>
      <w:r>
        <w:rPr>
          <w:rFonts w:hint="eastAsia" w:ascii="宋体" w:hAnsi="宋体" w:eastAsia="宋体" w:cs="Times New Roman"/>
          <w:color w:val="auto"/>
          <w:szCs w:val="21"/>
        </w:rPr>
        <w:t>根据</w:t>
      </w:r>
      <w:bookmarkStart w:id="33" w:name="_Hlk90988984"/>
      <w:r>
        <w:rPr>
          <w:rFonts w:hint="eastAsia" w:ascii="宋体" w:hAnsi="宋体" w:eastAsia="宋体" w:cs="Times New Roman"/>
          <w:color w:val="auto"/>
          <w:szCs w:val="21"/>
        </w:rPr>
        <w:t>《中华人民共和国民法典</w:t>
      </w:r>
      <w:bookmarkEnd w:id="33"/>
      <w:r>
        <w:rPr>
          <w:rFonts w:hint="eastAsia" w:ascii="宋体" w:hAnsi="宋体" w:eastAsia="宋体" w:cs="Times New Roman"/>
          <w:color w:val="auto"/>
          <w:szCs w:val="21"/>
        </w:rPr>
        <w:t>》及招标文件、中标通知书等相关资料的要求，经双方协商一致，签订本合同，共同遵守如下条款</w:t>
      </w:r>
      <w:r>
        <w:rPr>
          <w:rFonts w:hint="eastAsia" w:ascii="宋体" w:hAnsi="宋体" w:eastAsia="宋体"/>
          <w:color w:val="auto"/>
          <w:szCs w:val="21"/>
        </w:rPr>
        <w:t>。</w:t>
      </w:r>
    </w:p>
    <w:p w14:paraId="1CEA32A8">
      <w:pPr>
        <w:pStyle w:val="24"/>
        <w:numPr>
          <w:ilvl w:val="0"/>
          <w:numId w:val="84"/>
        </w:numPr>
        <w:ind w:firstLineChars="0"/>
        <w:rPr>
          <w:rFonts w:hint="eastAsia" w:ascii="宋体" w:hAnsi="宋体" w:eastAsia="宋体"/>
          <w:b/>
          <w:bCs/>
          <w:color w:val="auto"/>
          <w:spacing w:val="20"/>
          <w:szCs w:val="21"/>
        </w:rPr>
      </w:pPr>
      <w:r>
        <w:rPr>
          <w:rFonts w:hint="eastAsia" w:ascii="宋体" w:hAnsi="宋体" w:eastAsia="宋体"/>
          <w:b/>
          <w:color w:val="auto"/>
          <w:spacing w:val="20"/>
          <w:szCs w:val="21"/>
        </w:rPr>
        <w:t>合同项目</w:t>
      </w:r>
    </w:p>
    <w:p w14:paraId="4E899DC0">
      <w:pPr>
        <w:pStyle w:val="24"/>
        <w:numPr>
          <w:ilvl w:val="0"/>
          <w:numId w:val="85"/>
        </w:numPr>
        <w:ind w:firstLineChars="0"/>
        <w:rPr>
          <w:rFonts w:hint="eastAsia" w:ascii="宋体" w:hAnsi="宋体" w:eastAsia="宋体"/>
          <w:color w:val="auto"/>
          <w:szCs w:val="21"/>
        </w:rPr>
      </w:pPr>
      <w:r>
        <w:rPr>
          <w:rFonts w:hint="eastAsia" w:ascii="宋体" w:hAnsi="宋体" w:eastAsia="宋体"/>
          <w:color w:val="auto"/>
          <w:szCs w:val="21"/>
        </w:rPr>
        <w:t>项目名称：</w:t>
      </w:r>
      <w:r>
        <w:rPr>
          <w:rFonts w:hint="eastAsia" w:ascii="宋体" w:hAnsi="宋体" w:eastAsia="宋体"/>
          <w:color w:val="auto"/>
          <w:szCs w:val="21"/>
          <w:u w:val="single"/>
        </w:rPr>
        <w:t xml:space="preserve"> </w:t>
      </w:r>
      <w:r>
        <w:rPr>
          <w:rFonts w:hint="eastAsia" w:ascii="宋体" w:hAnsi="宋体" w:eastAsia="宋体"/>
          <w:color w:val="auto"/>
          <w:szCs w:val="21"/>
          <w:u w:val="single"/>
          <w:lang w:eastAsia="zh-CN"/>
        </w:rPr>
        <w:t>2025年东莞市农药包装废弃物与废旧农膜回收处理项目（二次采购）</w:t>
      </w:r>
      <w:r>
        <w:rPr>
          <w:rFonts w:hint="eastAsia" w:ascii="宋体" w:hAnsi="宋体" w:eastAsia="宋体"/>
          <w:color w:val="auto"/>
          <w:szCs w:val="21"/>
          <w:u w:val="single"/>
        </w:rPr>
        <w:t xml:space="preserve"> </w:t>
      </w:r>
    </w:p>
    <w:p w14:paraId="65895937">
      <w:pPr>
        <w:pStyle w:val="24"/>
        <w:numPr>
          <w:ilvl w:val="0"/>
          <w:numId w:val="85"/>
        </w:numPr>
        <w:ind w:firstLineChars="0"/>
        <w:rPr>
          <w:rFonts w:hint="eastAsia" w:ascii="宋体" w:hAnsi="宋体" w:eastAsia="宋体"/>
          <w:color w:val="auto"/>
          <w:szCs w:val="21"/>
        </w:rPr>
      </w:pPr>
      <w:r>
        <w:rPr>
          <w:rFonts w:hint="eastAsia" w:ascii="宋体" w:hAnsi="宋体" w:eastAsia="宋体"/>
          <w:color w:val="auto"/>
          <w:szCs w:val="21"/>
        </w:rPr>
        <w:t>项目编号：</w:t>
      </w:r>
      <w:r>
        <w:rPr>
          <w:rFonts w:hint="eastAsia" w:ascii="宋体" w:hAnsi="宋体" w:eastAsia="宋体"/>
          <w:color w:val="auto"/>
          <w:szCs w:val="21"/>
          <w:u w:val="single"/>
        </w:rPr>
        <w:t xml:space="preserve"> </w:t>
      </w:r>
      <w:r>
        <w:rPr>
          <w:rFonts w:hint="eastAsia" w:ascii="宋体" w:hAnsi="宋体" w:eastAsia="宋体"/>
          <w:color w:val="auto"/>
          <w:szCs w:val="21"/>
          <w:u w:val="single"/>
          <w:lang w:eastAsia="zh-CN"/>
        </w:rPr>
        <w:t>ZHDGZC2025070-1</w:t>
      </w:r>
      <w:r>
        <w:rPr>
          <w:rFonts w:hint="eastAsia" w:ascii="宋体" w:hAnsi="宋体" w:eastAsia="宋体"/>
          <w:color w:val="auto"/>
          <w:szCs w:val="21"/>
          <w:u w:val="single"/>
        </w:rPr>
        <w:t xml:space="preserve"> </w:t>
      </w:r>
    </w:p>
    <w:p w14:paraId="200E4960">
      <w:pPr>
        <w:pStyle w:val="24"/>
        <w:numPr>
          <w:ilvl w:val="0"/>
          <w:numId w:val="84"/>
        </w:numPr>
        <w:spacing w:before="217" w:beforeLines="50"/>
        <w:ind w:firstLineChars="0"/>
        <w:rPr>
          <w:rFonts w:hint="eastAsia" w:ascii="宋体" w:hAnsi="宋体" w:eastAsia="宋体"/>
          <w:b/>
          <w:color w:val="auto"/>
          <w:spacing w:val="20"/>
          <w:szCs w:val="21"/>
        </w:rPr>
      </w:pPr>
      <w:r>
        <w:rPr>
          <w:rFonts w:hint="eastAsia" w:ascii="宋体" w:hAnsi="宋体" w:eastAsia="宋体"/>
          <w:b/>
          <w:color w:val="auto"/>
          <w:spacing w:val="20"/>
          <w:szCs w:val="21"/>
        </w:rPr>
        <w:t>项目概况</w:t>
      </w:r>
    </w:p>
    <w:p w14:paraId="3867771A">
      <w:pPr>
        <w:pStyle w:val="24"/>
        <w:numPr>
          <w:ilvl w:val="0"/>
          <w:numId w:val="86"/>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项目概况：</w:t>
      </w:r>
      <w:r>
        <w:rPr>
          <w:rFonts w:hint="eastAsia" w:ascii="宋体" w:hAnsi="宋体" w:eastAsia="宋体"/>
          <w:color w:val="000000" w:themeColor="text1"/>
          <w:szCs w:val="21"/>
          <w:u w:val="single"/>
          <w14:textFill>
            <w14:solidFill>
              <w14:schemeClr w14:val="tx1"/>
            </w14:solidFill>
          </w14:textFill>
        </w:rPr>
        <w:t xml:space="preserve"> 为进一步加强我市</w:t>
      </w:r>
      <w:r>
        <w:rPr>
          <w:rFonts w:hint="eastAsia" w:ascii="宋体" w:hAnsi="宋体" w:eastAsia="宋体"/>
          <w:color w:val="000000" w:themeColor="text1"/>
          <w:szCs w:val="21"/>
          <w:u w:val="single"/>
          <w:lang w:eastAsia="zh-CN"/>
          <w14:textFill>
            <w14:solidFill>
              <w14:schemeClr w14:val="tx1"/>
            </w14:solidFill>
          </w14:textFill>
        </w:rPr>
        <w:t>农药包装废弃物与废旧农膜</w:t>
      </w:r>
      <w:r>
        <w:rPr>
          <w:rFonts w:hint="eastAsia" w:ascii="宋体" w:hAnsi="宋体" w:eastAsia="宋体"/>
          <w:color w:val="000000" w:themeColor="text1"/>
          <w:szCs w:val="21"/>
          <w:u w:val="single"/>
          <w14:textFill>
            <w14:solidFill>
              <w14:schemeClr w14:val="tx1"/>
            </w14:solidFill>
          </w14:textFill>
        </w:rPr>
        <w:t>回收</w:t>
      </w:r>
      <w:r>
        <w:rPr>
          <w:rFonts w:hint="eastAsia" w:ascii="宋体" w:hAnsi="宋体" w:eastAsia="宋体"/>
          <w:color w:val="000000" w:themeColor="text1"/>
          <w:szCs w:val="21"/>
          <w:u w:val="single"/>
          <w:lang w:val="en-US" w:eastAsia="zh-CN"/>
          <w14:textFill>
            <w14:solidFill>
              <w14:schemeClr w14:val="tx1"/>
            </w14:solidFill>
          </w14:textFill>
        </w:rPr>
        <w:t>处理</w:t>
      </w:r>
      <w:r>
        <w:rPr>
          <w:rFonts w:hint="eastAsia" w:ascii="宋体" w:hAnsi="宋体" w:eastAsia="宋体"/>
          <w:color w:val="000000" w:themeColor="text1"/>
          <w:szCs w:val="21"/>
          <w:u w:val="single"/>
          <w14:textFill>
            <w14:solidFill>
              <w14:schemeClr w14:val="tx1"/>
            </w14:solidFill>
          </w14:textFill>
        </w:rPr>
        <w:t>工作，推动“无废城市”建设，东莞市农业技术推广管理办公室计划采取</w:t>
      </w:r>
      <w:r>
        <w:rPr>
          <w:rFonts w:hint="eastAsia" w:ascii="宋体" w:hAnsi="宋体" w:eastAsia="宋体"/>
          <w:color w:val="000000" w:themeColor="text1"/>
          <w:szCs w:val="21"/>
          <w:u w:val="single"/>
          <w:lang w:val="en-US" w:eastAsia="zh-CN"/>
          <w14:textFill>
            <w14:solidFill>
              <w14:schemeClr w14:val="tx1"/>
            </w14:solidFill>
          </w14:textFill>
        </w:rPr>
        <w:t>公开招标</w:t>
      </w:r>
      <w:r>
        <w:rPr>
          <w:rFonts w:hint="eastAsia" w:ascii="宋体" w:hAnsi="宋体" w:eastAsia="宋体"/>
          <w:color w:val="000000" w:themeColor="text1"/>
          <w:szCs w:val="21"/>
          <w:u w:val="single"/>
          <w14:textFill>
            <w14:solidFill>
              <w14:schemeClr w14:val="tx1"/>
            </w14:solidFill>
          </w14:textFill>
        </w:rPr>
        <w:t>的方式</w:t>
      </w:r>
      <w:r>
        <w:rPr>
          <w:rFonts w:hint="eastAsia" w:ascii="宋体" w:hAnsi="宋体" w:eastAsia="宋体"/>
          <w:color w:val="000000" w:themeColor="text1"/>
          <w:szCs w:val="21"/>
          <w:u w:val="single"/>
          <w:lang w:val="en-US" w:eastAsia="zh-CN"/>
          <w14:textFill>
            <w14:solidFill>
              <w14:schemeClr w14:val="tx1"/>
            </w14:solidFill>
          </w14:textFill>
        </w:rPr>
        <w:t>选择1家单位（或联合体）</w:t>
      </w:r>
      <w:r>
        <w:rPr>
          <w:rFonts w:hint="eastAsia" w:ascii="宋体" w:hAnsi="宋体" w:eastAsia="宋体"/>
          <w:color w:val="000000" w:themeColor="text1"/>
          <w:szCs w:val="21"/>
          <w:u w:val="single"/>
          <w14:textFill>
            <w14:solidFill>
              <w14:schemeClr w14:val="tx1"/>
            </w14:solidFill>
          </w14:textFill>
        </w:rPr>
        <w:t>实施202</w:t>
      </w:r>
      <w:r>
        <w:rPr>
          <w:rFonts w:hint="eastAsia" w:ascii="宋体" w:hAnsi="宋体" w:eastAsia="宋体"/>
          <w:color w:val="000000" w:themeColor="text1"/>
          <w:szCs w:val="21"/>
          <w:u w:val="single"/>
          <w:lang w:val="en-US" w:eastAsia="zh-CN"/>
          <w14:textFill>
            <w14:solidFill>
              <w14:schemeClr w14:val="tx1"/>
            </w14:solidFill>
          </w14:textFill>
        </w:rPr>
        <w:t>5</w:t>
      </w:r>
      <w:r>
        <w:rPr>
          <w:rFonts w:hint="eastAsia" w:ascii="宋体" w:hAnsi="宋体" w:eastAsia="宋体"/>
          <w:color w:val="000000" w:themeColor="text1"/>
          <w:szCs w:val="21"/>
          <w:u w:val="single"/>
          <w14:textFill>
            <w14:solidFill>
              <w14:schemeClr w14:val="tx1"/>
            </w14:solidFill>
          </w14:textFill>
        </w:rPr>
        <w:t>年全市</w:t>
      </w:r>
      <w:r>
        <w:rPr>
          <w:rFonts w:hint="eastAsia" w:ascii="宋体" w:hAnsi="宋体" w:eastAsia="宋体"/>
          <w:color w:val="000000" w:themeColor="text1"/>
          <w:szCs w:val="21"/>
          <w:u w:val="single"/>
          <w:lang w:eastAsia="zh-CN"/>
          <w14:textFill>
            <w14:solidFill>
              <w14:schemeClr w14:val="tx1"/>
            </w14:solidFill>
          </w14:textFill>
        </w:rPr>
        <w:t>农药包装废弃物与废旧农膜</w:t>
      </w:r>
      <w:r>
        <w:rPr>
          <w:rFonts w:hint="eastAsia" w:ascii="宋体" w:hAnsi="宋体" w:eastAsia="宋体"/>
          <w:color w:val="000000" w:themeColor="text1"/>
          <w:szCs w:val="21"/>
          <w:u w:val="single"/>
          <w14:textFill>
            <w14:solidFill>
              <w14:schemeClr w14:val="tx1"/>
            </w14:solidFill>
          </w14:textFill>
        </w:rPr>
        <w:t>回收</w:t>
      </w:r>
      <w:r>
        <w:rPr>
          <w:rFonts w:hint="eastAsia" w:ascii="宋体" w:hAnsi="宋体" w:eastAsia="宋体"/>
          <w:color w:val="000000" w:themeColor="text1"/>
          <w:szCs w:val="21"/>
          <w:u w:val="single"/>
          <w:lang w:eastAsia="zh-CN"/>
          <w14:textFill>
            <w14:solidFill>
              <w14:schemeClr w14:val="tx1"/>
            </w14:solidFill>
          </w14:textFill>
        </w:rPr>
        <w:t>处理</w:t>
      </w:r>
      <w:r>
        <w:rPr>
          <w:rFonts w:hint="eastAsia" w:ascii="宋体" w:hAnsi="宋体" w:eastAsia="宋体"/>
          <w:color w:val="000000" w:themeColor="text1"/>
          <w:szCs w:val="21"/>
          <w:u w:val="single"/>
          <w:lang w:val="en-US" w:eastAsia="zh-CN"/>
          <w14:textFill>
            <w14:solidFill>
              <w14:schemeClr w14:val="tx1"/>
            </w14:solidFill>
          </w14:textFill>
        </w:rPr>
        <w:t>工作。</w:t>
      </w:r>
      <w:r>
        <w:rPr>
          <w:rFonts w:hint="eastAsia" w:ascii="宋体" w:hAnsi="宋体" w:eastAsia="宋体"/>
          <w:color w:val="000000" w:themeColor="text1"/>
          <w:szCs w:val="21"/>
          <w:u w:val="single"/>
          <w14:textFill>
            <w14:solidFill>
              <w14:schemeClr w14:val="tx1"/>
            </w14:solidFill>
          </w14:textFill>
        </w:rPr>
        <w:t xml:space="preserve"> </w:t>
      </w:r>
    </w:p>
    <w:p w14:paraId="329BDEEF">
      <w:pPr>
        <w:pStyle w:val="24"/>
        <w:numPr>
          <w:ilvl w:val="0"/>
          <w:numId w:val="84"/>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总体要求</w:t>
      </w:r>
    </w:p>
    <w:p w14:paraId="1BFC8129">
      <w:pPr>
        <w:pStyle w:val="24"/>
        <w:numPr>
          <w:ilvl w:val="0"/>
          <w:numId w:val="87"/>
        </w:numPr>
        <w:autoSpaceDE w:val="0"/>
        <w:autoSpaceDN w:val="0"/>
        <w:adjustRightInd w:val="0"/>
        <w:ind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甲方权利和义务</w:t>
      </w:r>
    </w:p>
    <w:p w14:paraId="4F3CFE00">
      <w:pPr>
        <w:pStyle w:val="24"/>
        <w:numPr>
          <w:ilvl w:val="0"/>
          <w:numId w:val="88"/>
        </w:numPr>
        <w:tabs>
          <w:tab w:val="left" w:pos="1080"/>
        </w:tabs>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甲方有权随时检查乙方的服务履行情况，并向乙方提出修改。</w:t>
      </w:r>
    </w:p>
    <w:p w14:paraId="2697072F">
      <w:pPr>
        <w:pStyle w:val="24"/>
        <w:numPr>
          <w:ilvl w:val="0"/>
          <w:numId w:val="88"/>
        </w:numPr>
        <w:tabs>
          <w:tab w:val="left" w:pos="1080"/>
        </w:tabs>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当发生服务违约时，则甲方有权按约定在支付乙方合同款项中进行扣款 。</w:t>
      </w:r>
    </w:p>
    <w:p w14:paraId="44D6E1CA">
      <w:pPr>
        <w:pStyle w:val="24"/>
        <w:numPr>
          <w:ilvl w:val="0"/>
          <w:numId w:val="88"/>
        </w:numPr>
        <w:tabs>
          <w:tab w:val="left" w:pos="1080"/>
        </w:tabs>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在乙方提供服务时，如对甲方的设备造成了损坏，甲方有权要求乙方赔偿。</w:t>
      </w:r>
    </w:p>
    <w:p w14:paraId="398B2973">
      <w:pPr>
        <w:pStyle w:val="24"/>
        <w:numPr>
          <w:ilvl w:val="0"/>
          <w:numId w:val="88"/>
        </w:numPr>
        <w:tabs>
          <w:tab w:val="left" w:pos="1080"/>
        </w:tabs>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甲方应按合同规定向乙方支付服务费用。</w:t>
      </w:r>
    </w:p>
    <w:p w14:paraId="539CCBA4">
      <w:pPr>
        <w:pStyle w:val="24"/>
        <w:numPr>
          <w:ilvl w:val="0"/>
          <w:numId w:val="87"/>
        </w:numPr>
        <w:autoSpaceDE w:val="0"/>
        <w:autoSpaceDN w:val="0"/>
        <w:adjustRightInd w:val="0"/>
        <w:ind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乙方权利和义务</w:t>
      </w:r>
    </w:p>
    <w:p w14:paraId="70A8732D">
      <w:pPr>
        <w:pStyle w:val="24"/>
        <w:numPr>
          <w:ilvl w:val="0"/>
          <w:numId w:val="89"/>
        </w:numPr>
        <w:tabs>
          <w:tab w:val="left" w:pos="1080"/>
        </w:tabs>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乙方应按招标文件的要求和投标文件的承诺进行服务，发生任何服务的变更均须</w:t>
      </w:r>
      <w:r>
        <w:rPr>
          <w:rFonts w:hint="eastAsia" w:ascii="宋体" w:hAnsi="宋体" w:eastAsia="宋体" w:cstheme="minorBidi"/>
          <w:color w:val="000000" w:themeColor="text1"/>
          <w:sz w:val="21"/>
          <w:szCs w:val="21"/>
          <w:highlight w:val="none"/>
          <w14:textFill>
            <w14:solidFill>
              <w14:schemeClr w14:val="tx1"/>
            </w14:solidFill>
          </w14:textFill>
        </w:rPr>
        <w:t>在所需更改的内容生效十日以前以书面方式</w:t>
      </w:r>
      <w:r>
        <w:rPr>
          <w:rFonts w:hint="eastAsia" w:ascii="宋体" w:hAnsi="宋体" w:eastAsia="宋体"/>
          <w:color w:val="000000" w:themeColor="text1"/>
          <w:szCs w:val="21"/>
          <w14:textFill>
            <w14:solidFill>
              <w14:schemeClr w14:val="tx1"/>
            </w14:solidFill>
          </w14:textFill>
        </w:rPr>
        <w:t>向甲方提出</w:t>
      </w:r>
      <w:r>
        <w:rPr>
          <w:rFonts w:hint="eastAsia" w:ascii="宋体" w:hAnsi="宋体" w:eastAsia="宋体" w:cstheme="minorBidi"/>
          <w:color w:val="000000" w:themeColor="text1"/>
          <w:sz w:val="21"/>
          <w:szCs w:val="21"/>
          <w:highlight w:val="none"/>
          <w14:textFill>
            <w14:solidFill>
              <w14:schemeClr w14:val="tx1"/>
            </w14:solidFill>
          </w14:textFill>
        </w:rPr>
        <w:t>，经</w:t>
      </w:r>
      <w:r>
        <w:rPr>
          <w:rFonts w:hint="eastAsia" w:ascii="宋体" w:hAnsi="宋体" w:eastAsia="宋体"/>
          <w:color w:val="000000" w:themeColor="text1"/>
          <w:szCs w:val="21"/>
          <w14:textFill>
            <w14:solidFill>
              <w14:schemeClr w14:val="tx1"/>
            </w14:solidFill>
          </w14:textFill>
        </w:rPr>
        <w:t>甲方</w:t>
      </w:r>
      <w:r>
        <w:rPr>
          <w:rFonts w:hint="eastAsia" w:ascii="宋体" w:hAnsi="宋体" w:eastAsia="宋体" w:cstheme="minorBidi"/>
          <w:color w:val="000000" w:themeColor="text1"/>
          <w:sz w:val="21"/>
          <w:szCs w:val="21"/>
          <w:highlight w:val="none"/>
          <w14:textFill>
            <w14:solidFill>
              <w14:schemeClr w14:val="tx1"/>
            </w14:solidFill>
          </w14:textFill>
        </w:rPr>
        <w:t>同意后进行。</w:t>
      </w:r>
    </w:p>
    <w:p w14:paraId="73D2E161">
      <w:pPr>
        <w:pStyle w:val="24"/>
        <w:numPr>
          <w:ilvl w:val="0"/>
          <w:numId w:val="89"/>
        </w:numPr>
        <w:tabs>
          <w:tab w:val="left" w:pos="1080"/>
        </w:tabs>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乙方有权要求甲方按时支付服务费用。如甲方不按时支付乙方有权要求甲方支付滞纳金。但服务费支付应以符合东莞市财政局的相关规定为前提。</w:t>
      </w:r>
    </w:p>
    <w:p w14:paraId="47C3105C">
      <w:pPr>
        <w:pStyle w:val="24"/>
        <w:numPr>
          <w:ilvl w:val="0"/>
          <w:numId w:val="84"/>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价格</w:t>
      </w:r>
    </w:p>
    <w:p w14:paraId="1AB777B6">
      <w:pPr>
        <w:pStyle w:val="24"/>
        <w:numPr>
          <w:ilvl w:val="0"/>
          <w:numId w:val="90"/>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合同总价：大写：人民币</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元整（小写：￥</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元）</w:t>
      </w:r>
    </w:p>
    <w:p w14:paraId="28993346">
      <w:pPr>
        <w:pStyle w:val="24"/>
        <w:numPr>
          <w:ilvl w:val="0"/>
          <w:numId w:val="90"/>
        </w:numPr>
        <w:ind w:firstLineChars="0"/>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w:t>
      </w:r>
      <w:r>
        <w:rPr>
          <w:rFonts w:hint="eastAsia" w:ascii="宋体" w:hAnsi="宋体" w:eastAsia="宋体"/>
          <w:color w:val="000000" w:themeColor="text1"/>
          <w:szCs w:val="21"/>
          <w:highlight w:val="none"/>
          <w14:textFill>
            <w14:solidFill>
              <w14:schemeClr w14:val="tx1"/>
            </w14:solidFill>
          </w14:textFill>
        </w:rPr>
        <w:t>同价为固定不变价</w:t>
      </w:r>
      <w:r>
        <w:rPr>
          <w:rFonts w:hint="eastAsia" w:ascii="宋体" w:hAnsi="宋体" w:eastAsia="宋体"/>
          <w:color w:val="000000" w:themeColor="text1"/>
          <w:szCs w:val="21"/>
          <w:highlight w:val="none"/>
          <w:lang w:eastAsia="zh-CN"/>
          <w14:textFill>
            <w14:solidFill>
              <w14:schemeClr w14:val="tx1"/>
            </w14:solidFill>
          </w14:textFill>
        </w:rPr>
        <w:t>，包括但不限于：</w:t>
      </w:r>
      <w:r>
        <w:rPr>
          <w:rFonts w:hint="eastAsia" w:ascii="宋体" w:hAnsi="宋体" w:eastAsia="宋体"/>
          <w:color w:val="000000" w:themeColor="text1"/>
          <w:szCs w:val="21"/>
          <w:highlight w:val="none"/>
          <w:lang w:val="en-US" w:eastAsia="zh-CN"/>
          <w14:textFill>
            <w14:solidFill>
              <w14:schemeClr w14:val="tx1"/>
            </w14:solidFill>
          </w14:textFill>
        </w:rPr>
        <w:t>仓库租赁及管理设施设备费用、处理服务费、验收费用、管理费、宣传费、物资费（回收桶、配套PE内衬袋等）、人员成本、</w:t>
      </w:r>
      <w:r>
        <w:rPr>
          <w:rFonts w:hint="eastAsia" w:ascii="宋体" w:hAnsi="宋体" w:eastAsia="宋体"/>
          <w:color w:val="000000" w:themeColor="text1"/>
          <w:szCs w:val="21"/>
          <w:highlight w:val="none"/>
          <w:lang w:eastAsia="zh-CN"/>
          <w14:textFill>
            <w14:solidFill>
              <w14:schemeClr w14:val="tx1"/>
            </w14:solidFill>
          </w14:textFill>
        </w:rPr>
        <w:t>搬运费、保险费、工具费、技术服务费、利润、各项税费等合同实施过程中应预见及不可预见的一切费用。采购人不再另行支付与本项目有关的任何费用。</w:t>
      </w:r>
    </w:p>
    <w:p w14:paraId="5EB39A09">
      <w:pPr>
        <w:pStyle w:val="24"/>
        <w:numPr>
          <w:ilvl w:val="0"/>
          <w:numId w:val="90"/>
        </w:numPr>
        <w:ind w:firstLineChars="0"/>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lang w:val="en-US" w:eastAsia="zh-CN"/>
          <w14:textFill>
            <w14:solidFill>
              <w14:schemeClr w14:val="tx1"/>
            </w14:solidFill>
          </w14:textFill>
        </w:rPr>
        <w:t>服务价格表（</w:t>
      </w:r>
      <w:r>
        <w:rPr>
          <w:rFonts w:ascii="Calibri" w:hAnsi="Calibri" w:eastAsia="宋体" w:cs="Times New Roman"/>
          <w:kern w:val="0"/>
          <w:szCs w:val="21"/>
          <w:highlight w:val="none"/>
          <w:lang w:eastAsia="zh-Hans"/>
        </w:rPr>
        <w:t>分项</w:t>
      </w:r>
      <w:r>
        <w:rPr>
          <w:rFonts w:hint="eastAsia" w:ascii="Calibri" w:hAnsi="Calibri" w:eastAsia="宋体" w:cs="Times New Roman"/>
          <w:kern w:val="0"/>
          <w:szCs w:val="21"/>
          <w:highlight w:val="none"/>
          <w:lang w:val="en-US" w:eastAsia="zh-CN"/>
        </w:rPr>
        <w:t>单</w:t>
      </w:r>
      <w:r>
        <w:rPr>
          <w:rFonts w:hint="eastAsia" w:ascii="宋体" w:hAnsi="宋体" w:eastAsia="宋体"/>
          <w:color w:val="000000" w:themeColor="text1"/>
          <w:szCs w:val="21"/>
          <w:highlight w:val="none"/>
          <w:lang w:val="en-US" w:eastAsia="zh-CN"/>
          <w14:textFill>
            <w14:solidFill>
              <w14:schemeClr w14:val="tx1"/>
            </w14:solidFill>
          </w14:textFill>
        </w:rPr>
        <w:t>价）</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914"/>
        <w:gridCol w:w="1934"/>
        <w:gridCol w:w="4572"/>
      </w:tblGrid>
      <w:tr w14:paraId="5692B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698" w:type="dxa"/>
            <w:vAlign w:val="center"/>
          </w:tcPr>
          <w:p w14:paraId="17B8F9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序号</w:t>
            </w:r>
          </w:p>
        </w:tc>
        <w:tc>
          <w:tcPr>
            <w:tcW w:w="1914" w:type="dxa"/>
            <w:vAlign w:val="center"/>
          </w:tcPr>
          <w:p w14:paraId="470C702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名称</w:t>
            </w:r>
          </w:p>
        </w:tc>
        <w:tc>
          <w:tcPr>
            <w:tcW w:w="1934" w:type="dxa"/>
            <w:vAlign w:val="center"/>
          </w:tcPr>
          <w:p w14:paraId="75A8DE3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单价（元）</w:t>
            </w:r>
          </w:p>
        </w:tc>
        <w:tc>
          <w:tcPr>
            <w:tcW w:w="4572" w:type="dxa"/>
            <w:vAlign w:val="center"/>
          </w:tcPr>
          <w:p w14:paraId="160105A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备注</w:t>
            </w:r>
          </w:p>
        </w:tc>
      </w:tr>
      <w:tr w14:paraId="5C7AE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698" w:type="dxa"/>
            <w:vAlign w:val="center"/>
          </w:tcPr>
          <w:p w14:paraId="7CE3010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1</w:t>
            </w:r>
          </w:p>
        </w:tc>
        <w:tc>
          <w:tcPr>
            <w:tcW w:w="1914" w:type="dxa"/>
            <w:vAlign w:val="center"/>
          </w:tcPr>
          <w:p w14:paraId="3DE5471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假农药、劣质农药、过期农药及罚没农药收运及处理费</w:t>
            </w:r>
          </w:p>
        </w:tc>
        <w:tc>
          <w:tcPr>
            <w:tcW w:w="1934" w:type="dxa"/>
            <w:vAlign w:val="center"/>
          </w:tcPr>
          <w:p w14:paraId="041BA7E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元/200千克</w:t>
            </w:r>
          </w:p>
        </w:tc>
        <w:tc>
          <w:tcPr>
            <w:tcW w:w="4572" w:type="dxa"/>
            <w:vAlign w:val="center"/>
          </w:tcPr>
          <w:p w14:paraId="118711C7">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both"/>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收运我市假农药、劣质农药、过期农药以及罚没农药并进行无害化处理。转运处理量上限为1吨。</w:t>
            </w:r>
          </w:p>
        </w:tc>
      </w:tr>
      <w:tr w14:paraId="19C70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rPr>
        <w:tc>
          <w:tcPr>
            <w:tcW w:w="698" w:type="dxa"/>
            <w:vAlign w:val="center"/>
          </w:tcPr>
          <w:p w14:paraId="52F7316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w:t>
            </w:r>
          </w:p>
        </w:tc>
        <w:tc>
          <w:tcPr>
            <w:tcW w:w="1914" w:type="dxa"/>
            <w:vAlign w:val="center"/>
          </w:tcPr>
          <w:p w14:paraId="4F2440C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转运运输费</w:t>
            </w:r>
          </w:p>
        </w:tc>
        <w:tc>
          <w:tcPr>
            <w:tcW w:w="1934" w:type="dxa"/>
            <w:vAlign w:val="center"/>
          </w:tcPr>
          <w:p w14:paraId="796AAD9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元/个次</w:t>
            </w:r>
          </w:p>
        </w:tc>
        <w:tc>
          <w:tcPr>
            <w:tcW w:w="4572" w:type="dxa"/>
            <w:vAlign w:val="center"/>
          </w:tcPr>
          <w:p w14:paraId="7C47A001">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both"/>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采用“定期回收+应急处理”的模式，对转运点开展收运工作，合同期内全市转运约800个次。</w:t>
            </w:r>
          </w:p>
        </w:tc>
      </w:tr>
      <w:tr w14:paraId="2B46A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98" w:type="dxa"/>
            <w:vAlign w:val="center"/>
          </w:tcPr>
          <w:p w14:paraId="08AF3A6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3</w:t>
            </w:r>
          </w:p>
        </w:tc>
        <w:tc>
          <w:tcPr>
            <w:tcW w:w="1914" w:type="dxa"/>
            <w:vAlign w:val="center"/>
          </w:tcPr>
          <w:p w14:paraId="5B09AB3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回收处理服务费</w:t>
            </w:r>
          </w:p>
        </w:tc>
        <w:tc>
          <w:tcPr>
            <w:tcW w:w="1934" w:type="dxa"/>
            <w:vAlign w:val="center"/>
          </w:tcPr>
          <w:p w14:paraId="22A23695">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Theme="minorHAnsi" w:hAnsiTheme="minorHAnsi" w:eastAsiaTheme="minorEastAsia" w:cstheme="minorBidi"/>
                <w:b w:val="0"/>
                <w:bCs w:val="0"/>
                <w:color w:val="auto"/>
                <w:kern w:val="2"/>
                <w:sz w:val="21"/>
                <w:szCs w:val="22"/>
                <w:highlight w:val="none"/>
                <w:lang w:val="en-US" w:eastAsia="zh-CN" w:bidi="ar-SA"/>
              </w:rPr>
            </w:pP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元/吨</w:t>
            </w:r>
          </w:p>
        </w:tc>
        <w:tc>
          <w:tcPr>
            <w:tcW w:w="4572" w:type="dxa"/>
            <w:vAlign w:val="center"/>
          </w:tcPr>
          <w:p w14:paraId="50F0DEB4">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both"/>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lang w:val="en-US" w:eastAsia="zh-CN"/>
              </w:rPr>
              <w:t>回收处理总量约47吨，其中农药包装废弃物约27吨、废旧农膜约20吨。</w:t>
            </w:r>
          </w:p>
        </w:tc>
      </w:tr>
      <w:tr w14:paraId="6E6D7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98" w:type="dxa"/>
            <w:vAlign w:val="center"/>
          </w:tcPr>
          <w:p w14:paraId="57B22C5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4</w:t>
            </w:r>
          </w:p>
        </w:tc>
        <w:tc>
          <w:tcPr>
            <w:tcW w:w="1914" w:type="dxa"/>
            <w:vAlign w:val="center"/>
          </w:tcPr>
          <w:p w14:paraId="4FC2B9F6">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0"/>
                <w:sz w:val="21"/>
                <w:szCs w:val="21"/>
                <w:highlight w:val="none"/>
                <w:lang w:val="en-US" w:eastAsia="zh-CN" w:bidi="ar"/>
              </w:rPr>
            </w:pPr>
            <w:r>
              <w:rPr>
                <w:rFonts w:hint="eastAsia" w:ascii="宋体" w:hAnsi="宋体" w:eastAsia="宋体" w:cs="宋体"/>
                <w:b w:val="0"/>
                <w:bCs w:val="0"/>
                <w:color w:val="000000"/>
                <w:kern w:val="0"/>
                <w:sz w:val="21"/>
                <w:szCs w:val="21"/>
                <w:highlight w:val="none"/>
                <w:lang w:val="en-US" w:eastAsia="zh-CN" w:bidi="ar"/>
              </w:rPr>
              <w:t>农药包装废弃物</w:t>
            </w:r>
          </w:p>
          <w:p w14:paraId="2BE52165">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000000"/>
                <w:kern w:val="0"/>
                <w:sz w:val="21"/>
                <w:szCs w:val="21"/>
                <w:highlight w:val="none"/>
                <w:lang w:val="en-US" w:eastAsia="zh-CN" w:bidi="ar"/>
              </w:rPr>
              <w:t>回收奖励金</w:t>
            </w:r>
          </w:p>
        </w:tc>
        <w:tc>
          <w:tcPr>
            <w:tcW w:w="1934" w:type="dxa"/>
            <w:vAlign w:val="center"/>
          </w:tcPr>
          <w:p w14:paraId="6C2D5EC2">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auto"/>
                <w:sz w:val="21"/>
                <w:szCs w:val="21"/>
                <w:highlight w:val="none"/>
                <w:u w:val="single"/>
                <w:lang w:val="en-US" w:eastAsia="zh-CN"/>
              </w:rPr>
            </w:pPr>
            <w:r>
              <w:rPr>
                <w:rFonts w:hint="eastAsia" w:ascii="宋体" w:hAnsi="宋体" w:eastAsia="宋体" w:cs="宋体"/>
                <w:b w:val="0"/>
                <w:bCs w:val="0"/>
                <w:color w:val="000000"/>
                <w:kern w:val="0"/>
                <w:sz w:val="21"/>
                <w:szCs w:val="21"/>
                <w:highlight w:val="none"/>
                <w:vertAlign w:val="baseline"/>
                <w:lang w:val="en-US" w:eastAsia="zh-CN"/>
              </w:rPr>
              <w:t>5元/公斤</w:t>
            </w:r>
          </w:p>
        </w:tc>
        <w:tc>
          <w:tcPr>
            <w:tcW w:w="4572" w:type="dxa"/>
            <w:vAlign w:val="center"/>
          </w:tcPr>
          <w:p w14:paraId="268BBAFA">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420" w:firstLineChars="200"/>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000000"/>
                <w:kern w:val="0"/>
                <w:sz w:val="21"/>
                <w:szCs w:val="21"/>
                <w:highlight w:val="none"/>
                <w:lang w:val="en-US" w:eastAsia="zh-CN" w:bidi="ar"/>
              </w:rPr>
              <w:t>废弃农药包装瓶，瓶内无异物，不得掺杂其他包装瓶；废弃农药包装袋，农药包装袋外形须基本完整，袋内无异物，不得掺杂其他包装袋。</w:t>
            </w:r>
          </w:p>
        </w:tc>
      </w:tr>
      <w:tr w14:paraId="575B7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98" w:type="dxa"/>
            <w:vAlign w:val="center"/>
          </w:tcPr>
          <w:p w14:paraId="3DD78D1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5</w:t>
            </w:r>
          </w:p>
        </w:tc>
        <w:tc>
          <w:tcPr>
            <w:tcW w:w="1914" w:type="dxa"/>
            <w:vAlign w:val="center"/>
          </w:tcPr>
          <w:p w14:paraId="5BBC6190">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color w:val="000000"/>
                <w:kern w:val="0"/>
                <w:szCs w:val="21"/>
                <w:highlight w:val="none"/>
                <w:lang w:val="en-US" w:eastAsia="zh-CN" w:bidi="ar"/>
              </w:rPr>
            </w:pPr>
            <w:r>
              <w:rPr>
                <w:rFonts w:hint="eastAsia" w:ascii="宋体" w:hAnsi="宋体" w:eastAsia="宋体" w:cs="宋体"/>
                <w:color w:val="000000"/>
                <w:kern w:val="0"/>
                <w:szCs w:val="21"/>
                <w:highlight w:val="none"/>
                <w:lang w:val="en-US" w:eastAsia="zh-CN" w:bidi="ar"/>
              </w:rPr>
              <w:t>废旧农膜</w:t>
            </w:r>
          </w:p>
          <w:p w14:paraId="73938C96">
            <w:pPr>
              <w:widowControl/>
              <w:spacing w:line="400" w:lineRule="exact"/>
              <w:jc w:val="center"/>
              <w:rPr>
                <w:rFonts w:hint="eastAsia"/>
                <w:lang w:val="en-US" w:eastAsia="zh-CN"/>
              </w:rPr>
            </w:pPr>
            <w:r>
              <w:rPr>
                <w:rFonts w:hint="eastAsia" w:ascii="宋体" w:hAnsi="宋体" w:eastAsia="宋体" w:cs="宋体"/>
                <w:b w:val="0"/>
                <w:bCs w:val="0"/>
                <w:color w:val="000000"/>
                <w:kern w:val="0"/>
                <w:sz w:val="21"/>
                <w:szCs w:val="21"/>
                <w:highlight w:val="none"/>
                <w:lang w:val="en-US" w:eastAsia="zh-CN" w:bidi="ar"/>
              </w:rPr>
              <w:t>回收奖励金</w:t>
            </w:r>
          </w:p>
        </w:tc>
        <w:tc>
          <w:tcPr>
            <w:tcW w:w="1934" w:type="dxa"/>
            <w:vAlign w:val="center"/>
          </w:tcPr>
          <w:p w14:paraId="484D23A6">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auto"/>
                <w:sz w:val="21"/>
                <w:szCs w:val="21"/>
                <w:highlight w:val="none"/>
                <w:u w:val="single"/>
                <w:lang w:val="en-US" w:eastAsia="zh-CN"/>
              </w:rPr>
            </w:pPr>
            <w:r>
              <w:rPr>
                <w:rFonts w:hint="eastAsia" w:ascii="宋体" w:hAnsi="宋体" w:eastAsia="宋体" w:cs="宋体"/>
                <w:b w:val="0"/>
                <w:bCs w:val="0"/>
                <w:color w:val="000000"/>
                <w:kern w:val="0"/>
                <w:sz w:val="21"/>
                <w:szCs w:val="21"/>
                <w:highlight w:val="none"/>
                <w:vertAlign w:val="baseline"/>
                <w:lang w:val="en-US" w:eastAsia="zh-CN"/>
              </w:rPr>
              <w:t>2元/公斤</w:t>
            </w:r>
          </w:p>
        </w:tc>
        <w:tc>
          <w:tcPr>
            <w:tcW w:w="4572" w:type="dxa"/>
            <w:vAlign w:val="center"/>
          </w:tcPr>
          <w:p w14:paraId="1F3C6502">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000000"/>
                <w:kern w:val="0"/>
                <w:sz w:val="21"/>
                <w:szCs w:val="21"/>
                <w:highlight w:val="none"/>
                <w:lang w:val="en-US" w:eastAsia="zh-CN" w:bidi="ar"/>
              </w:rPr>
              <w:t>废旧农膜需避免沾水，沾土，混入杂草、杂物。</w:t>
            </w:r>
          </w:p>
        </w:tc>
      </w:tr>
    </w:tbl>
    <w:p w14:paraId="6419E1A8">
      <w:pPr>
        <w:pStyle w:val="24"/>
        <w:numPr>
          <w:ilvl w:val="0"/>
          <w:numId w:val="84"/>
        </w:numPr>
        <w:spacing w:before="217" w:beforeLines="50"/>
        <w:ind w:firstLineChars="0"/>
        <w:rPr>
          <w:rFonts w:hint="eastAsia" w:ascii="宋体" w:hAnsi="宋体" w:eastAsia="宋体"/>
          <w:b/>
          <w:color w:val="000000" w:themeColor="text1"/>
          <w:spacing w:val="20"/>
          <w:szCs w:val="21"/>
          <w:highlight w:val="none"/>
          <w14:textFill>
            <w14:solidFill>
              <w14:schemeClr w14:val="tx1"/>
            </w14:solidFill>
          </w14:textFill>
        </w:rPr>
      </w:pPr>
      <w:r>
        <w:rPr>
          <w:rFonts w:hint="eastAsia" w:ascii="宋体" w:hAnsi="宋体" w:eastAsia="宋体"/>
          <w:b/>
          <w:color w:val="000000" w:themeColor="text1"/>
          <w:spacing w:val="20"/>
          <w:szCs w:val="21"/>
          <w:highlight w:val="none"/>
          <w:lang w:eastAsia="zh-CN"/>
          <w14:textFill>
            <w14:solidFill>
              <w14:schemeClr w14:val="tx1"/>
            </w14:solidFill>
          </w14:textFill>
        </w:rPr>
        <w:t>服务期限</w:t>
      </w:r>
      <w:r>
        <w:rPr>
          <w:rFonts w:hint="eastAsia" w:ascii="宋体" w:hAnsi="宋体" w:eastAsia="宋体"/>
          <w:b/>
          <w:color w:val="000000" w:themeColor="text1"/>
          <w:spacing w:val="20"/>
          <w:szCs w:val="21"/>
          <w:highlight w:val="none"/>
          <w:lang w:val="en-US" w:eastAsia="zh-CN"/>
          <w14:textFill>
            <w14:solidFill>
              <w14:schemeClr w14:val="tx1"/>
            </w14:solidFill>
          </w14:textFill>
        </w:rPr>
        <w:t>与</w:t>
      </w:r>
      <w:r>
        <w:rPr>
          <w:rFonts w:hint="eastAsia" w:ascii="宋体" w:hAnsi="宋体" w:eastAsia="宋体"/>
          <w:b/>
          <w:color w:val="000000" w:themeColor="text1"/>
          <w:spacing w:val="20"/>
          <w:szCs w:val="21"/>
          <w:highlight w:val="none"/>
          <w14:textFill>
            <w14:solidFill>
              <w14:schemeClr w14:val="tx1"/>
            </w14:solidFill>
          </w14:textFill>
        </w:rPr>
        <w:t>付款</w:t>
      </w:r>
      <w:r>
        <w:rPr>
          <w:rFonts w:hint="eastAsia" w:ascii="宋体" w:hAnsi="宋体" w:eastAsia="宋体"/>
          <w:b/>
          <w:color w:val="000000" w:themeColor="text1"/>
          <w:spacing w:val="20"/>
          <w:szCs w:val="21"/>
          <w:highlight w:val="none"/>
          <w:lang w:val="en-US" w:eastAsia="zh-CN"/>
          <w14:textFill>
            <w14:solidFill>
              <w14:schemeClr w14:val="tx1"/>
            </w14:solidFill>
          </w14:textFill>
        </w:rPr>
        <w:t>方式</w:t>
      </w:r>
    </w:p>
    <w:p w14:paraId="73511961">
      <w:pPr>
        <w:pStyle w:val="24"/>
        <w:numPr>
          <w:ilvl w:val="0"/>
          <w:numId w:val="91"/>
        </w:numPr>
        <w:ind w:firstLineChars="0"/>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服务期：</w:t>
      </w:r>
      <w:r>
        <w:rPr>
          <w:rFonts w:hint="eastAsia" w:ascii="宋体" w:hAnsi="宋体" w:eastAsia="宋体"/>
          <w:color w:val="000000" w:themeColor="text1"/>
          <w:szCs w:val="21"/>
          <w:highlight w:val="none"/>
          <w:u w:val="single"/>
          <w14:textFill>
            <w14:solidFill>
              <w14:schemeClr w14:val="tx1"/>
            </w14:solidFill>
          </w14:textFill>
        </w:rPr>
        <w:t xml:space="preserve">     年  </w:t>
      </w:r>
      <w:r>
        <w:rPr>
          <w:rFonts w:hint="eastAsia" w:ascii="宋体" w:hAnsi="宋体" w:eastAsia="宋体"/>
          <w:color w:val="000000" w:themeColor="text1"/>
          <w:szCs w:val="21"/>
          <w:highlight w:val="none"/>
          <w:u w:val="single"/>
          <w:lang w:val="en-US" w:eastAsia="zh-CN"/>
          <w14:textFill>
            <w14:solidFill>
              <w14:schemeClr w14:val="tx1"/>
            </w14:solidFill>
          </w14:textFill>
        </w:rPr>
        <w:t xml:space="preserve"> </w:t>
      </w:r>
      <w:r>
        <w:rPr>
          <w:rFonts w:hint="eastAsia" w:ascii="宋体" w:hAnsi="宋体" w:eastAsia="宋体"/>
          <w:color w:val="000000" w:themeColor="text1"/>
          <w:szCs w:val="21"/>
          <w:highlight w:val="none"/>
          <w:u w:val="single"/>
          <w14:textFill>
            <w14:solidFill>
              <w14:schemeClr w14:val="tx1"/>
            </w14:solidFill>
          </w14:textFill>
        </w:rPr>
        <w:t xml:space="preserve"> 月 </w:t>
      </w:r>
      <w:r>
        <w:rPr>
          <w:rFonts w:hint="eastAsia" w:ascii="宋体" w:hAnsi="宋体" w:eastAsia="宋体"/>
          <w:color w:val="000000" w:themeColor="text1"/>
          <w:szCs w:val="21"/>
          <w:highlight w:val="none"/>
          <w:u w:val="single"/>
          <w:lang w:val="en-US" w:eastAsia="zh-CN"/>
          <w14:textFill>
            <w14:solidFill>
              <w14:schemeClr w14:val="tx1"/>
            </w14:solidFill>
          </w14:textFill>
        </w:rPr>
        <w:t xml:space="preserve"> </w:t>
      </w:r>
      <w:r>
        <w:rPr>
          <w:rFonts w:hint="eastAsia" w:ascii="宋体" w:hAnsi="宋体" w:eastAsia="宋体"/>
          <w:color w:val="000000" w:themeColor="text1"/>
          <w:szCs w:val="21"/>
          <w:highlight w:val="none"/>
          <w:u w:val="single"/>
          <w14:textFill>
            <w14:solidFill>
              <w14:schemeClr w14:val="tx1"/>
            </w14:solidFill>
          </w14:textFill>
        </w:rPr>
        <w:t xml:space="preserve">  日至    年</w:t>
      </w:r>
      <w:r>
        <w:rPr>
          <w:rFonts w:hint="eastAsia" w:ascii="宋体" w:hAnsi="宋体" w:eastAsia="宋体"/>
          <w:color w:val="000000" w:themeColor="text1"/>
          <w:szCs w:val="21"/>
          <w:highlight w:val="none"/>
          <w:u w:val="single"/>
          <w:lang w:val="en-US" w:eastAsia="zh-CN"/>
          <w14:textFill>
            <w14:solidFill>
              <w14:schemeClr w14:val="tx1"/>
            </w14:solidFill>
          </w14:textFill>
        </w:rPr>
        <w:t xml:space="preserve"> </w:t>
      </w:r>
      <w:r>
        <w:rPr>
          <w:rFonts w:hint="eastAsia" w:ascii="宋体" w:hAnsi="宋体" w:eastAsia="宋体"/>
          <w:color w:val="000000" w:themeColor="text1"/>
          <w:szCs w:val="21"/>
          <w:highlight w:val="none"/>
          <w:u w:val="single"/>
          <w14:textFill>
            <w14:solidFill>
              <w14:schemeClr w14:val="tx1"/>
            </w14:solidFill>
          </w14:textFill>
        </w:rPr>
        <w:t xml:space="preserve">   月    日</w:t>
      </w:r>
      <w:r>
        <w:rPr>
          <w:rFonts w:hint="eastAsia" w:ascii="宋体" w:hAnsi="宋体" w:eastAsia="宋体"/>
          <w:color w:val="000000" w:themeColor="text1"/>
          <w:szCs w:val="21"/>
          <w:highlight w:val="none"/>
          <w14:textFill>
            <w14:solidFill>
              <w14:schemeClr w14:val="tx1"/>
            </w14:solidFill>
          </w14:textFill>
        </w:rPr>
        <w:t>(共</w:t>
      </w:r>
      <w:r>
        <w:rPr>
          <w:rFonts w:hint="eastAsia" w:ascii="宋体" w:hAnsi="宋体" w:eastAsia="宋体"/>
          <w:color w:val="000000" w:themeColor="text1"/>
          <w:szCs w:val="21"/>
          <w:highlight w:val="none"/>
          <w:u w:val="single"/>
          <w:lang w:val="en-US" w:eastAsia="zh-CN"/>
          <w14:textFill>
            <w14:solidFill>
              <w14:schemeClr w14:val="tx1"/>
            </w14:solidFill>
          </w14:textFill>
        </w:rPr>
        <w:t>1</w:t>
      </w:r>
      <w:r>
        <w:rPr>
          <w:rFonts w:hint="eastAsia" w:ascii="宋体" w:hAnsi="宋体" w:eastAsia="宋体"/>
          <w:color w:val="000000" w:themeColor="text1"/>
          <w:szCs w:val="21"/>
          <w:highlight w:val="none"/>
          <w14:textFill>
            <w14:solidFill>
              <w14:schemeClr w14:val="tx1"/>
            </w14:solidFill>
          </w14:textFill>
        </w:rPr>
        <w:t>年)</w:t>
      </w:r>
    </w:p>
    <w:p w14:paraId="192A0FEC">
      <w:pPr>
        <w:pStyle w:val="24"/>
        <w:numPr>
          <w:ilvl w:val="0"/>
          <w:numId w:val="91"/>
        </w:numPr>
        <w:ind w:firstLineChars="0"/>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lang w:val="en-US" w:eastAsia="zh-CN"/>
          <w14:textFill>
            <w14:solidFill>
              <w14:schemeClr w14:val="tx1"/>
            </w14:solidFill>
          </w14:textFill>
        </w:rPr>
        <w:t>本项目甲方分2次把合同总价支付至乙方处；乙方与甲方按季度根据分项报价单价进行据实核算，核算时需提供核算资料至甲方处。（核算资料包括但不限于回收奖励金签收单、回收处理台账等；因本项目属于据实核算，如服务期满后还有未使用完合同价款的，乙方需在合同终止后10个工作日内无条件把余款退回至甲方指定账户。）</w:t>
      </w:r>
    </w:p>
    <w:p w14:paraId="0C8E0348">
      <w:pPr>
        <w:pStyle w:val="24"/>
        <w:numPr>
          <w:ilvl w:val="0"/>
          <w:numId w:val="91"/>
        </w:numPr>
        <w:ind w:firstLineChars="0"/>
        <w:rPr>
          <w:rFonts w:hint="eastAsia" w:ascii="宋体" w:hAnsi="宋体" w:eastAsia="宋体"/>
          <w:color w:val="000000" w:themeColor="text1"/>
          <w:szCs w:val="21"/>
          <w:highlight w:val="none"/>
          <w:lang w:val="en-US" w:eastAsia="zh-CN"/>
          <w14:textFill>
            <w14:solidFill>
              <w14:schemeClr w14:val="tx1"/>
            </w14:solidFill>
          </w14:textFill>
        </w:rPr>
      </w:pPr>
      <w:r>
        <w:rPr>
          <w:rFonts w:hint="eastAsia" w:ascii="宋体" w:hAnsi="宋体" w:eastAsia="宋体"/>
          <w:color w:val="000000" w:themeColor="text1"/>
          <w:szCs w:val="21"/>
          <w:highlight w:val="none"/>
          <w:lang w:val="en-US" w:eastAsia="zh-CN"/>
          <w14:textFill>
            <w14:solidFill>
              <w14:schemeClr w14:val="tx1"/>
            </w14:solidFill>
          </w14:textFill>
        </w:rPr>
        <w:t>甲方与乙方签订合同并收到乙方的等额有效发票后，甲方于5个工作日内向乙方支付合同总价的50%。</w:t>
      </w:r>
    </w:p>
    <w:p w14:paraId="2C39D846">
      <w:pPr>
        <w:pStyle w:val="24"/>
        <w:numPr>
          <w:ilvl w:val="0"/>
          <w:numId w:val="91"/>
        </w:numPr>
        <w:ind w:firstLineChars="0"/>
        <w:rPr>
          <w:rFonts w:hint="eastAsia" w:ascii="宋体" w:hAnsi="宋体" w:eastAsia="宋体"/>
          <w:color w:val="000000" w:themeColor="text1"/>
          <w:szCs w:val="21"/>
          <w:highlight w:val="none"/>
          <w:lang w:val="en-US" w:eastAsia="zh-CN"/>
          <w14:textFill>
            <w14:solidFill>
              <w14:schemeClr w14:val="tx1"/>
            </w14:solidFill>
          </w14:textFill>
        </w:rPr>
      </w:pPr>
      <w:r>
        <w:rPr>
          <w:rFonts w:hint="eastAsia" w:ascii="宋体" w:hAnsi="宋体" w:eastAsia="宋体"/>
          <w:color w:val="000000" w:themeColor="text1"/>
          <w:szCs w:val="21"/>
          <w:highlight w:val="none"/>
          <w:lang w:val="en-US" w:eastAsia="zh-CN"/>
          <w14:textFill>
            <w14:solidFill>
              <w14:schemeClr w14:val="tx1"/>
            </w14:solidFill>
          </w14:textFill>
        </w:rPr>
        <w:t>项目合同签订2个月内，乙方能依据合同条款响应甲方回收处理需求，甲方收到乙方的等额有效发票后10个工作日内向乙方支付合同总价的50%。</w:t>
      </w:r>
    </w:p>
    <w:p w14:paraId="3F6C106C">
      <w:pPr>
        <w:pStyle w:val="24"/>
        <w:numPr>
          <w:ilvl w:val="0"/>
          <w:numId w:val="91"/>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根据现行税法规定对乙方或其雇员征收的与本合同有关的一切税费均应由乙方负担</w:t>
      </w:r>
      <w:r>
        <w:rPr>
          <w:rFonts w:hint="eastAsia" w:ascii="宋体" w:hAnsi="宋体" w:eastAsia="宋体"/>
          <w:color w:val="000000" w:themeColor="text1"/>
          <w:szCs w:val="21"/>
          <w:lang w:eastAsia="zh-CN"/>
          <w14:textFill>
            <w14:solidFill>
              <w14:schemeClr w14:val="tx1"/>
            </w14:solidFill>
          </w14:textFill>
        </w:rPr>
        <w:t>。</w:t>
      </w:r>
    </w:p>
    <w:p w14:paraId="6480D862">
      <w:pPr>
        <w:pStyle w:val="24"/>
        <w:numPr>
          <w:ilvl w:val="0"/>
          <w:numId w:val="91"/>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乙方为甲方开具等额正式发票后甲方安排付款事宜，否则甲方有权拒绝付款，且不负任何责任。因财政拨款等非甲方原因导致付款延迟或出现其他不符合前述约定的情形，甲方不承担任何责任。</w:t>
      </w:r>
    </w:p>
    <w:p w14:paraId="3523DEC5">
      <w:pPr>
        <w:pStyle w:val="24"/>
        <w:numPr>
          <w:ilvl w:val="0"/>
          <w:numId w:val="91"/>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在合同履行过程中，因乙方账户的原因（包括但不限于账号被注销、被冻结等）导致乙方无法收取款项的，由乙方承担相应后果。</w:t>
      </w:r>
    </w:p>
    <w:p w14:paraId="19917DC8">
      <w:pPr>
        <w:pStyle w:val="24"/>
        <w:numPr>
          <w:ilvl w:val="0"/>
          <w:numId w:val="84"/>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lang w:val="en-US" w:eastAsia="zh-CN"/>
          <w14:textFill>
            <w14:solidFill>
              <w14:schemeClr w14:val="tx1"/>
            </w14:solidFill>
          </w14:textFill>
        </w:rPr>
        <w:t>验收要求</w:t>
      </w:r>
    </w:p>
    <w:p w14:paraId="3238E8F3">
      <w:pPr>
        <w:pStyle w:val="24"/>
        <w:numPr>
          <w:ilvl w:val="0"/>
          <w:numId w:val="92"/>
        </w:numPr>
        <w:snapToGrid w:val="0"/>
        <w:spacing w:line="360" w:lineRule="auto"/>
        <w:ind w:left="420" w:leftChars="0" w:hanging="420"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需在每轮回收处理结束后的5个工作日内，向甲方提交当轮次的所有数据的纸质材料及电子台帐（含收运、储存、处理等环节的联单、台账、照片等），并按甲方要求提供对应材料的扫描件。同时，乙方需在完成第一轮全市农药包装废弃物与废旧农膜回运处理和合同期满后的10个工作日内，向甲方提交工作总结。</w:t>
      </w:r>
    </w:p>
    <w:p w14:paraId="26ECF4EF">
      <w:pPr>
        <w:pStyle w:val="24"/>
        <w:numPr>
          <w:ilvl w:val="0"/>
          <w:numId w:val="92"/>
        </w:numPr>
        <w:snapToGrid w:val="0"/>
        <w:spacing w:line="360" w:lineRule="auto"/>
        <w:ind w:left="420" w:leftChars="0" w:hanging="420"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由甲方组织验收小组按国家有关规定、规范进行验收。必要时邀请相关的专业人员或机构参与验收。</w:t>
      </w:r>
    </w:p>
    <w:p w14:paraId="2302101D">
      <w:pPr>
        <w:pStyle w:val="24"/>
        <w:numPr>
          <w:ilvl w:val="0"/>
          <w:numId w:val="84"/>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lang w:val="en-US" w:eastAsia="zh-CN"/>
          <w14:textFill>
            <w14:solidFill>
              <w14:schemeClr w14:val="tx1"/>
            </w14:solidFill>
          </w14:textFill>
        </w:rPr>
        <w:t>项目目标</w:t>
      </w:r>
    </w:p>
    <w:p w14:paraId="7CE56A17">
      <w:pPr>
        <w:pStyle w:val="24"/>
        <w:numPr>
          <w:ilvl w:val="0"/>
          <w:numId w:val="93"/>
        </w:numPr>
        <w:snapToGrid w:val="0"/>
        <w:spacing w:line="360" w:lineRule="auto"/>
        <w:ind w:left="420" w:leftChars="0" w:hanging="420"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highlight w:val="none"/>
          <w:lang w:val="en-US" w:eastAsia="zh-CN"/>
        </w:rPr>
        <w:t>农药包装废弃物是指农药使用后被废弃的与农药直接接触或含有农药残留余物的包装物（瓶、罐、桶、袋等）；农膜是指用于农业生</w:t>
      </w:r>
      <w:r>
        <w:rPr>
          <w:rFonts w:hint="eastAsia" w:ascii="宋体" w:hAnsi="宋体" w:eastAsia="宋体" w:cs="宋体"/>
          <w:color w:val="auto"/>
          <w:sz w:val="21"/>
          <w:szCs w:val="21"/>
          <w:lang w:val="en-US" w:eastAsia="zh-CN"/>
        </w:rPr>
        <w:t>产的地面覆盖薄膜和棚膜等。</w:t>
      </w:r>
    </w:p>
    <w:p w14:paraId="31DE1E50">
      <w:pPr>
        <w:pStyle w:val="24"/>
        <w:numPr>
          <w:ilvl w:val="0"/>
          <w:numId w:val="93"/>
        </w:numPr>
        <w:snapToGrid w:val="0"/>
        <w:spacing w:line="360" w:lineRule="auto"/>
        <w:ind w:left="420" w:leftChars="0" w:hanging="420"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实现农药包装废弃物及废旧农膜高效回收与处理在我市全覆盖。在全市开展农药包装废弃物及废旧农膜收集、运输、处理工作，设立农药包装废弃物及废旧农膜转运点约200个，回收处理农药包装废弃物27吨，废旧农膜20吨，无害化处理率达到100%。</w:t>
      </w:r>
    </w:p>
    <w:p w14:paraId="0DD3625D">
      <w:pPr>
        <w:pStyle w:val="24"/>
        <w:numPr>
          <w:ilvl w:val="0"/>
          <w:numId w:val="93"/>
        </w:numPr>
        <w:snapToGrid w:val="0"/>
        <w:spacing w:line="360" w:lineRule="auto"/>
        <w:ind w:left="420" w:leftChars="0" w:hanging="420"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转运市内假农药、劣质农药、过期农药及罚没农药并进行无害化处理，无害化处理率达到100%。按实际需求开展工作，</w:t>
      </w:r>
      <w:r>
        <w:rPr>
          <w:rFonts w:hint="eastAsia" w:ascii="宋体" w:hAnsi="宋体" w:eastAsia="宋体" w:cs="宋体"/>
          <w:b w:val="0"/>
          <w:bCs w:val="0"/>
          <w:color w:val="auto"/>
          <w:sz w:val="21"/>
          <w:szCs w:val="21"/>
          <w:highlight w:val="none"/>
          <w:lang w:val="en-US" w:eastAsia="zh-CN"/>
        </w:rPr>
        <w:t>转运处理量上限为1吨。</w:t>
      </w:r>
    </w:p>
    <w:p w14:paraId="16537728">
      <w:pPr>
        <w:pStyle w:val="24"/>
        <w:numPr>
          <w:ilvl w:val="0"/>
          <w:numId w:val="84"/>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lang w:val="en-US" w:eastAsia="zh-CN"/>
          <w14:textFill>
            <w14:solidFill>
              <w14:schemeClr w14:val="tx1"/>
            </w14:solidFill>
          </w14:textFill>
        </w:rPr>
        <w:t>服务要求</w:t>
      </w:r>
    </w:p>
    <w:p w14:paraId="575EA508">
      <w:pPr>
        <w:pStyle w:val="24"/>
        <w:widowControl/>
        <w:numPr>
          <w:ilvl w:val="0"/>
          <w:numId w:val="94"/>
        </w:numPr>
        <w:snapToGrid w:val="0"/>
        <w:spacing w:line="360" w:lineRule="auto"/>
        <w:ind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lang w:val="en-US" w:eastAsia="zh-CN"/>
        </w:rPr>
        <w:t>履行项目职责。自觉接受、服从并配合甲方及有关部门的监督指导。服务、指导各转运点正确开展农药包装废弃物及废旧农膜的收集、暂存，及时转运收集的农药包装废弃物及废旧农膜并进行专业化处理，落实安全防范措施。负责转运及处理台账登记、归档及汇总统计，转运时向</w:t>
      </w:r>
      <w:r>
        <w:rPr>
          <w:rFonts w:hint="eastAsia" w:ascii="宋体" w:hAnsi="宋体" w:eastAsia="宋体" w:cs="宋体"/>
          <w:color w:val="auto"/>
          <w:sz w:val="21"/>
          <w:szCs w:val="21"/>
          <w:highlight w:val="none"/>
          <w:lang w:val="en-US" w:eastAsia="zh-CN"/>
        </w:rPr>
        <w:t>转运点负责人支付回收奖励金。杜绝市外农药包装废弃物及废旧农膜流入我市，若发现转运点回收市外农药废弃物等异常情况，应及时制止并向甲方和相关监管单位报告。</w:t>
      </w:r>
    </w:p>
    <w:p w14:paraId="560270CD">
      <w:pPr>
        <w:pStyle w:val="24"/>
        <w:widowControl/>
        <w:numPr>
          <w:ilvl w:val="0"/>
          <w:numId w:val="94"/>
        </w:numPr>
        <w:snapToGrid w:val="0"/>
        <w:spacing w:line="360" w:lineRule="auto"/>
        <w:ind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乙方需根据项目情况提供“</w:t>
      </w:r>
      <w:r>
        <w:rPr>
          <w:rFonts w:hint="eastAsia" w:ascii="宋体" w:hAnsi="宋体" w:eastAsia="宋体"/>
          <w:b w:val="0"/>
          <w:bCs/>
          <w:color w:val="auto"/>
          <w:szCs w:val="21"/>
          <w:highlight w:val="none"/>
          <w:u w:val="none"/>
          <w:lang w:val="en-US" w:eastAsia="zh-CN"/>
        </w:rPr>
        <w:t>农药包装废弃物及废旧农膜</w:t>
      </w:r>
      <w:r>
        <w:rPr>
          <w:rFonts w:hint="eastAsia" w:ascii="宋体" w:hAnsi="宋体" w:eastAsia="宋体" w:cs="宋体"/>
          <w:color w:val="auto"/>
          <w:sz w:val="21"/>
          <w:szCs w:val="21"/>
          <w:highlight w:val="none"/>
          <w:lang w:val="en-US" w:eastAsia="zh-CN"/>
        </w:rPr>
        <w:t>”</w:t>
      </w:r>
      <w:r>
        <w:rPr>
          <w:rFonts w:hint="default" w:ascii="宋体" w:hAnsi="宋体" w:eastAsia="宋体"/>
          <w:b w:val="0"/>
          <w:bCs/>
          <w:color w:val="auto"/>
          <w:szCs w:val="21"/>
          <w:highlight w:val="none"/>
          <w:u w:val="none"/>
          <w:lang w:val="en-US" w:eastAsia="zh-CN"/>
        </w:rPr>
        <w:t>中转仓储</w:t>
      </w:r>
      <w:r>
        <w:rPr>
          <w:rFonts w:hint="eastAsia" w:ascii="宋体" w:hAnsi="宋体" w:eastAsia="宋体"/>
          <w:b w:val="0"/>
          <w:bCs/>
          <w:color w:val="auto"/>
          <w:szCs w:val="21"/>
          <w:highlight w:val="none"/>
          <w:u w:val="none"/>
          <w:lang w:val="en-US" w:eastAsia="zh-CN"/>
        </w:rPr>
        <w:t>场地及“假农药、劣质农药、过期农药及罚没农药”</w:t>
      </w:r>
      <w:r>
        <w:rPr>
          <w:rFonts w:hint="default" w:ascii="宋体" w:hAnsi="宋体" w:eastAsia="宋体"/>
          <w:b w:val="0"/>
          <w:bCs/>
          <w:color w:val="auto"/>
          <w:szCs w:val="21"/>
          <w:highlight w:val="none"/>
          <w:u w:val="none"/>
          <w:lang w:val="en-US" w:eastAsia="zh-CN"/>
        </w:rPr>
        <w:t>中转仓储</w:t>
      </w:r>
      <w:r>
        <w:rPr>
          <w:rFonts w:hint="eastAsia" w:ascii="宋体" w:hAnsi="宋体" w:eastAsia="宋体"/>
          <w:b w:val="0"/>
          <w:bCs/>
          <w:color w:val="auto"/>
          <w:szCs w:val="21"/>
          <w:highlight w:val="none"/>
          <w:u w:val="none"/>
          <w:lang w:val="en-US" w:eastAsia="zh-CN"/>
        </w:rPr>
        <w:t>场地。</w:t>
      </w:r>
    </w:p>
    <w:p w14:paraId="155BB39C">
      <w:pPr>
        <w:pStyle w:val="24"/>
        <w:widowControl/>
        <w:numPr>
          <w:ilvl w:val="0"/>
          <w:numId w:val="94"/>
        </w:numPr>
        <w:snapToGrid w:val="0"/>
        <w:spacing w:line="360" w:lineRule="auto"/>
        <w:ind w:firstLineChars="0"/>
        <w:contextualSpacing/>
        <w:rPr>
          <w:rFonts w:hint="eastAsia" w:ascii="宋体" w:hAnsi="宋体" w:eastAsia="宋体" w:cs="宋体"/>
          <w:color w:val="auto"/>
          <w:sz w:val="21"/>
          <w:szCs w:val="21"/>
          <w:lang w:val="en-US" w:eastAsia="zh-CN"/>
        </w:rPr>
      </w:pPr>
      <w:r>
        <w:rPr>
          <w:rFonts w:hint="eastAsia" w:ascii="宋体" w:hAnsi="宋体" w:eastAsia="宋体" w:cs="宋体"/>
          <w:b w:val="0"/>
          <w:bCs w:val="0"/>
          <w:color w:val="auto"/>
          <w:sz w:val="21"/>
          <w:szCs w:val="21"/>
          <w:highlight w:val="none"/>
          <w:lang w:val="en-US" w:eastAsia="zh-CN"/>
        </w:rPr>
        <w:t>我市已在辖区内30个镇街设有转运点约200个，均具备标识牌及农药包装废弃物回收桶2个，可正常使用。乙方在项目开展过程中需根据实际需要更新补充相应物资。</w:t>
      </w:r>
    </w:p>
    <w:p w14:paraId="02435519">
      <w:pPr>
        <w:pStyle w:val="24"/>
        <w:widowControl/>
        <w:numPr>
          <w:ilvl w:val="0"/>
          <w:numId w:val="94"/>
        </w:numPr>
        <w:snapToGrid w:val="0"/>
        <w:spacing w:line="360" w:lineRule="auto"/>
        <w:ind w:firstLineChars="0"/>
        <w:contextualSpacing/>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乙方收集、运输、储存和无害化处理假农药、劣质农药、过期农药及罚没农药过程中必须符合以下要求（包含但不限于）：</w:t>
      </w:r>
    </w:p>
    <w:p w14:paraId="44B96024">
      <w:pPr>
        <w:pStyle w:val="24"/>
        <w:widowControl/>
        <w:numPr>
          <w:ilvl w:val="0"/>
          <w:numId w:val="95"/>
        </w:numPr>
        <w:snapToGrid w:val="0"/>
        <w:spacing w:line="360" w:lineRule="auto"/>
        <w:ind w:left="425" w:leftChars="0" w:hanging="425" w:firstLineChars="0"/>
        <w:contextualSpacing/>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18597-2023 《危险废物贮存污染控制标准》</w:t>
      </w:r>
    </w:p>
    <w:p w14:paraId="32B258F9">
      <w:pPr>
        <w:pStyle w:val="24"/>
        <w:widowControl/>
        <w:numPr>
          <w:ilvl w:val="0"/>
          <w:numId w:val="95"/>
        </w:numPr>
        <w:snapToGrid w:val="0"/>
        <w:spacing w:line="360" w:lineRule="auto"/>
        <w:ind w:left="425" w:leftChars="0" w:hanging="425" w:firstLineChars="0"/>
        <w:contextualSpacing/>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15603-2022 《危险化学品仓库储存通则》</w:t>
      </w:r>
    </w:p>
    <w:p w14:paraId="33784F6F">
      <w:pPr>
        <w:pStyle w:val="24"/>
        <w:widowControl/>
        <w:numPr>
          <w:ilvl w:val="0"/>
          <w:numId w:val="95"/>
        </w:numPr>
        <w:snapToGrid w:val="0"/>
        <w:spacing w:line="360" w:lineRule="auto"/>
        <w:ind w:left="425" w:leftChars="0" w:hanging="425" w:firstLineChars="0"/>
        <w:contextualSpacing/>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12463-2009 《危险货物运输包装通用技术条件》</w:t>
      </w:r>
    </w:p>
    <w:p w14:paraId="5E9A3354">
      <w:pPr>
        <w:pStyle w:val="24"/>
        <w:widowControl/>
        <w:numPr>
          <w:ilvl w:val="0"/>
          <w:numId w:val="95"/>
        </w:numPr>
        <w:snapToGrid w:val="0"/>
        <w:spacing w:line="360" w:lineRule="auto"/>
        <w:ind w:left="425" w:leftChars="0" w:hanging="425"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JT/T 617 《危险货物道路运输规则》</w:t>
      </w:r>
    </w:p>
    <w:p w14:paraId="11E169D2">
      <w:pPr>
        <w:pStyle w:val="24"/>
        <w:numPr>
          <w:ilvl w:val="0"/>
          <w:numId w:val="84"/>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lang w:val="en-US" w:eastAsia="zh-CN"/>
          <w14:textFill>
            <w14:solidFill>
              <w14:schemeClr w14:val="tx1"/>
            </w14:solidFill>
          </w14:textFill>
        </w:rPr>
        <w:t>主要工作内容</w:t>
      </w:r>
    </w:p>
    <w:p w14:paraId="170A65D3">
      <w:pPr>
        <w:pStyle w:val="24"/>
        <w:widowControl/>
        <w:numPr>
          <w:ilvl w:val="0"/>
          <w:numId w:val="96"/>
        </w:numPr>
        <w:snapToGrid w:val="0"/>
        <w:spacing w:line="360" w:lineRule="auto"/>
        <w:ind w:left="425"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回收转运</w:t>
      </w:r>
    </w:p>
    <w:p w14:paraId="7DE845EF">
      <w:pPr>
        <w:pStyle w:val="24"/>
        <w:widowControl/>
        <w:numPr>
          <w:ilvl w:val="0"/>
          <w:numId w:val="97"/>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甲方统筹协调全市农药包装废弃物和废旧农膜回收工作，统筹布局全市回收点（转运点），监督指导镇街落实回收和转运相关工作，委托乙方开展上门清运、奖励金发放、无害化处置等。</w:t>
      </w:r>
    </w:p>
    <w:p w14:paraId="31012EA1">
      <w:pPr>
        <w:pStyle w:val="24"/>
        <w:widowControl/>
        <w:numPr>
          <w:ilvl w:val="0"/>
          <w:numId w:val="97"/>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镇街农业农村部门具体负责农药包装废弃物和废旧农膜的回收环节（从田间收集到转运上车前的工作），包括建立健全回收体系，统筹协调回收工作，科学设置回收点（转运点），摸排上报转运需求，监督检查回收台账，现场核实转运情况，科普宣传法规政策，清理田间农药包装废弃物和废旧农膜等。</w:t>
      </w:r>
    </w:p>
    <w:p w14:paraId="6743725B">
      <w:pPr>
        <w:pStyle w:val="24"/>
        <w:widowControl/>
        <w:numPr>
          <w:ilvl w:val="0"/>
          <w:numId w:val="97"/>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转运点负有回收义务，负责开展农药包装废弃物、废旧农膜回收工作并做好回收记录。</w:t>
      </w:r>
    </w:p>
    <w:p w14:paraId="601E5ED9">
      <w:pPr>
        <w:pStyle w:val="24"/>
        <w:widowControl/>
        <w:numPr>
          <w:ilvl w:val="0"/>
          <w:numId w:val="97"/>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乙方根据项目需求及合同，按照回收计划对转运点开展农药包装废弃物及废旧农膜归集和转运，包含分类打包、称重等相关工作。合同期内，开展转运800个次（具体转运点名单由甲方提供）。乙方需为转运点设置醒目统一标识牌，配备至少两个带盖、防渗漏的农药包装废弃物回收桶（内部放置专用的PE内衬袋）。</w:t>
      </w:r>
    </w:p>
    <w:p w14:paraId="091E3B09">
      <w:pPr>
        <w:pStyle w:val="24"/>
        <w:widowControl/>
        <w:numPr>
          <w:ilvl w:val="0"/>
          <w:numId w:val="97"/>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乙方按照项目需求及合同，指导转运点做好回收工作，及时掌握各环节信息数据，开展农药包装废弃物与废旧农膜的回收种类、数量等各环节的信息数据汇总统计分析，供随时查询。每轮回收处理结束后，向甲方提供项目开展情况记录。</w:t>
      </w:r>
    </w:p>
    <w:p w14:paraId="3ABAFDF4">
      <w:pPr>
        <w:pStyle w:val="24"/>
        <w:widowControl/>
        <w:numPr>
          <w:ilvl w:val="0"/>
          <w:numId w:val="97"/>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rPr>
        <w:t>因</w:t>
      </w:r>
      <w:r>
        <w:rPr>
          <w:rFonts w:hint="eastAsia" w:ascii="宋体" w:hAnsi="宋体" w:eastAsia="宋体" w:cs="宋体"/>
          <w:iCs/>
          <w:color w:val="auto"/>
          <w:sz w:val="21"/>
          <w:szCs w:val="21"/>
          <w:highlight w:val="none"/>
          <w:lang w:val="en-US" w:eastAsia="zh-CN"/>
        </w:rPr>
        <w:t>本项目</w:t>
      </w:r>
      <w:r>
        <w:rPr>
          <w:rFonts w:hint="eastAsia" w:ascii="宋体" w:hAnsi="宋体" w:eastAsia="宋体" w:cs="宋体"/>
          <w:b w:val="0"/>
          <w:bCs w:val="0"/>
          <w:color w:val="auto"/>
          <w:sz w:val="21"/>
          <w:szCs w:val="21"/>
          <w:highlight w:val="none"/>
          <w:lang w:val="en-US" w:eastAsia="zh-CN"/>
        </w:rPr>
        <w:t>假农药、劣质农药、过期农药及罚没农药收运及处理量、农药包装废弃物及废旧农膜转运个次及回收处理</w:t>
      </w:r>
      <w:r>
        <w:rPr>
          <w:rFonts w:hint="eastAsia" w:ascii="宋体" w:hAnsi="宋体" w:eastAsia="宋体" w:cs="宋体"/>
          <w:iCs/>
          <w:color w:val="auto"/>
          <w:sz w:val="21"/>
          <w:szCs w:val="21"/>
          <w:highlight w:val="none"/>
          <w:lang w:val="en-US" w:eastAsia="zh-CN"/>
        </w:rPr>
        <w:t>量存在不可控因素，如</w:t>
      </w:r>
      <w:r>
        <w:rPr>
          <w:rFonts w:hint="eastAsia" w:ascii="宋体" w:hAnsi="宋体" w:eastAsia="宋体" w:cs="宋体"/>
          <w:iCs/>
          <w:color w:val="auto"/>
          <w:sz w:val="21"/>
          <w:szCs w:val="21"/>
          <w:lang w:val="en-US" w:eastAsia="zh-CN"/>
        </w:rPr>
        <w:t>合同期满后</w:t>
      </w:r>
      <w:r>
        <w:rPr>
          <w:rFonts w:hint="eastAsia" w:ascii="宋体" w:hAnsi="宋体" w:eastAsia="宋体" w:cs="宋体"/>
          <w:iCs/>
          <w:color w:val="auto"/>
          <w:sz w:val="21"/>
          <w:szCs w:val="21"/>
          <w:highlight w:val="none"/>
          <w:lang w:val="en-US" w:eastAsia="zh-CN"/>
        </w:rPr>
        <w:t>还有未使用完合同价款的（含对应回收奖励金），中标人需在合同终止后10个工作日内无条件把余款退回至甲方指定账户。</w:t>
      </w:r>
    </w:p>
    <w:p w14:paraId="64F44A80">
      <w:pPr>
        <w:pStyle w:val="24"/>
        <w:widowControl/>
        <w:numPr>
          <w:ilvl w:val="0"/>
          <w:numId w:val="97"/>
        </w:numPr>
        <w:snapToGrid w:val="0"/>
        <w:spacing w:line="360" w:lineRule="auto"/>
        <w:ind w:left="425" w:leftChars="0" w:hanging="425"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实行回收奖励政策。乙方根据转运点接收的农药使用者交回的农药包装废弃物、废旧农膜的重量，核算奖励金额并做好回收奖励记录台账。转运时，乙方根据实际回收情况，将奖励金交付转运点管理人。其后，由镇街工作人员指导并监督转运点采取合适方式返还给交回农药包装的农药使用者及回收废旧农膜的使用者。回收奖励金上限总额为175，000.00元。甲方根据付款方式提前将奖励金支付至乙方处，乙方需按标准据实发放至转运点管理人处；若发放金额达到上限，即停止奖励金发放。</w:t>
      </w:r>
    </w:p>
    <w:p w14:paraId="7BD8631B">
      <w:pPr>
        <w:pStyle w:val="24"/>
        <w:widowControl/>
        <w:numPr>
          <w:ilvl w:val="-1"/>
          <w:numId w:val="0"/>
        </w:numPr>
        <w:snapToGrid w:val="0"/>
        <w:spacing w:line="360" w:lineRule="auto"/>
        <w:ind w:left="0" w:leftChars="0" w:firstLine="0" w:firstLineChars="0"/>
        <w:contextualSpacing/>
        <w:jc w:val="center"/>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回收奖励金明细</w:t>
      </w:r>
    </w:p>
    <w:tbl>
      <w:tblPr>
        <w:tblStyle w:val="1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4"/>
        <w:gridCol w:w="1255"/>
        <w:gridCol w:w="1353"/>
        <w:gridCol w:w="6007"/>
      </w:tblGrid>
      <w:tr w14:paraId="619D2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3" w:hRule="atLeast"/>
        </w:trPr>
        <w:tc>
          <w:tcPr>
            <w:tcW w:w="358" w:type="pct"/>
            <w:noWrap w:val="0"/>
            <w:vAlign w:val="center"/>
          </w:tcPr>
          <w:p w14:paraId="213293C2">
            <w:pPr>
              <w:keepNext w:val="0"/>
              <w:keepLines w:val="0"/>
              <w:pageBreakBefore w:val="0"/>
              <w:widowControl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序号</w:t>
            </w:r>
          </w:p>
        </w:tc>
        <w:tc>
          <w:tcPr>
            <w:tcW w:w="676" w:type="pct"/>
            <w:noWrap w:val="0"/>
            <w:vAlign w:val="center"/>
          </w:tcPr>
          <w:p w14:paraId="1D28B00D">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回收产品</w:t>
            </w:r>
          </w:p>
        </w:tc>
        <w:tc>
          <w:tcPr>
            <w:tcW w:w="729" w:type="pct"/>
            <w:noWrap w:val="0"/>
            <w:vAlign w:val="center"/>
          </w:tcPr>
          <w:p w14:paraId="62251738">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奖励金标准</w:t>
            </w:r>
          </w:p>
        </w:tc>
        <w:tc>
          <w:tcPr>
            <w:tcW w:w="3236" w:type="pct"/>
            <w:noWrap w:val="0"/>
            <w:vAlign w:val="center"/>
          </w:tcPr>
          <w:p w14:paraId="465CD167">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备注</w:t>
            </w:r>
          </w:p>
        </w:tc>
      </w:tr>
      <w:tr w14:paraId="148E8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358" w:type="pct"/>
            <w:noWrap w:val="0"/>
            <w:vAlign w:val="center"/>
          </w:tcPr>
          <w:p w14:paraId="317F9117">
            <w:pPr>
              <w:keepNext w:val="0"/>
              <w:keepLines w:val="0"/>
              <w:pageBreakBefore w:val="0"/>
              <w:kinsoku/>
              <w:wordWrap/>
              <w:overflowPunct/>
              <w:topLinePunct w:val="0"/>
              <w:autoSpaceDE/>
              <w:autoSpaceDN/>
              <w:bidi w:val="0"/>
              <w:adjustRightInd/>
              <w:snapToGrid/>
              <w:spacing w:after="0" w:line="32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1</w:t>
            </w:r>
          </w:p>
        </w:tc>
        <w:tc>
          <w:tcPr>
            <w:tcW w:w="676" w:type="pct"/>
            <w:noWrap w:val="0"/>
            <w:vAlign w:val="center"/>
          </w:tcPr>
          <w:p w14:paraId="34226292">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rPr>
            </w:pPr>
            <w:r>
              <w:rPr>
                <w:rFonts w:hint="eastAsia" w:ascii="宋体" w:hAnsi="宋体" w:eastAsia="宋体" w:cs="宋体"/>
                <w:b w:val="0"/>
                <w:bCs w:val="0"/>
                <w:color w:val="000000"/>
                <w:kern w:val="0"/>
                <w:sz w:val="21"/>
                <w:szCs w:val="21"/>
                <w:highlight w:val="none"/>
                <w:lang w:val="en-US" w:eastAsia="zh-CN" w:bidi="ar"/>
              </w:rPr>
              <w:t>农药包装废弃物</w:t>
            </w:r>
          </w:p>
        </w:tc>
        <w:tc>
          <w:tcPr>
            <w:tcW w:w="729" w:type="pct"/>
            <w:noWrap w:val="0"/>
            <w:vAlign w:val="center"/>
          </w:tcPr>
          <w:p w14:paraId="5DFD2404">
            <w:pPr>
              <w:keepNext w:val="0"/>
              <w:keepLines w:val="0"/>
              <w:pageBreakBefore w:val="0"/>
              <w:kinsoku/>
              <w:wordWrap/>
              <w:overflowPunct/>
              <w:topLinePunct w:val="0"/>
              <w:autoSpaceDE/>
              <w:autoSpaceDN/>
              <w:bidi w:val="0"/>
              <w:adjustRightInd/>
              <w:snapToGrid/>
              <w:spacing w:after="0" w:line="32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5元/公斤</w:t>
            </w:r>
          </w:p>
        </w:tc>
        <w:tc>
          <w:tcPr>
            <w:tcW w:w="3236" w:type="pct"/>
            <w:noWrap w:val="0"/>
            <w:vAlign w:val="center"/>
          </w:tcPr>
          <w:p w14:paraId="76CDE996">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ind w:firstLine="420" w:firstLineChars="200"/>
              <w:jc w:val="both"/>
              <w:textAlignment w:val="auto"/>
              <w:rPr>
                <w:rFonts w:hint="eastAsia" w:ascii="宋体" w:hAnsi="宋体" w:eastAsia="宋体" w:cs="宋体"/>
                <w:b w:val="0"/>
                <w:bCs w:val="0"/>
                <w:color w:val="000000"/>
                <w:kern w:val="0"/>
                <w:sz w:val="21"/>
                <w:szCs w:val="21"/>
                <w:highlight w:val="none"/>
                <w:vertAlign w:val="baseline"/>
              </w:rPr>
            </w:pPr>
            <w:r>
              <w:rPr>
                <w:rFonts w:hint="eastAsia" w:ascii="宋体" w:hAnsi="宋体" w:eastAsia="宋体" w:cs="宋体"/>
                <w:b w:val="0"/>
                <w:bCs w:val="0"/>
                <w:color w:val="000000"/>
                <w:kern w:val="0"/>
                <w:sz w:val="21"/>
                <w:szCs w:val="21"/>
                <w:highlight w:val="none"/>
                <w:lang w:val="en-US" w:eastAsia="zh-CN" w:bidi="ar"/>
              </w:rPr>
              <w:t>废弃农药包装瓶，瓶内无异物，不得掺杂其他包装瓶；废弃农药包装袋，农药包装袋外形须基本完整，袋内无异物，不得掺杂其他包装袋。</w:t>
            </w:r>
          </w:p>
        </w:tc>
      </w:tr>
      <w:tr w14:paraId="58E48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58" w:type="pct"/>
            <w:noWrap w:val="0"/>
            <w:vAlign w:val="center"/>
          </w:tcPr>
          <w:p w14:paraId="063C283A">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2</w:t>
            </w:r>
          </w:p>
        </w:tc>
        <w:tc>
          <w:tcPr>
            <w:tcW w:w="676" w:type="pct"/>
            <w:noWrap w:val="0"/>
            <w:vAlign w:val="center"/>
          </w:tcPr>
          <w:p w14:paraId="42C8D3AB">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bidi="ar-SA"/>
              </w:rPr>
            </w:pPr>
            <w:r>
              <w:rPr>
                <w:rFonts w:hint="eastAsia" w:ascii="宋体" w:hAnsi="宋体" w:eastAsia="宋体" w:cs="宋体"/>
                <w:b w:val="0"/>
                <w:bCs w:val="0"/>
                <w:color w:val="000000"/>
                <w:kern w:val="0"/>
                <w:sz w:val="21"/>
                <w:szCs w:val="21"/>
                <w:highlight w:val="none"/>
                <w:lang w:val="en-US" w:eastAsia="zh-CN" w:bidi="ar"/>
              </w:rPr>
              <w:t>废旧农膜</w:t>
            </w:r>
          </w:p>
        </w:tc>
        <w:tc>
          <w:tcPr>
            <w:tcW w:w="729" w:type="pct"/>
            <w:noWrap w:val="0"/>
            <w:vAlign w:val="center"/>
          </w:tcPr>
          <w:p w14:paraId="73DFEF25">
            <w:pPr>
              <w:keepNext w:val="0"/>
              <w:keepLines w:val="0"/>
              <w:pageBreakBefore w:val="0"/>
              <w:kinsoku/>
              <w:wordWrap/>
              <w:overflowPunct/>
              <w:topLinePunct w:val="0"/>
              <w:autoSpaceDE/>
              <w:autoSpaceDN/>
              <w:bidi w:val="0"/>
              <w:adjustRightInd/>
              <w:snapToGrid/>
              <w:spacing w:after="0" w:line="32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bidi="ar-SA"/>
              </w:rPr>
            </w:pPr>
            <w:r>
              <w:rPr>
                <w:rFonts w:hint="eastAsia" w:ascii="宋体" w:hAnsi="宋体" w:eastAsia="宋体" w:cs="宋体"/>
                <w:b w:val="0"/>
                <w:bCs w:val="0"/>
                <w:color w:val="000000"/>
                <w:kern w:val="0"/>
                <w:sz w:val="21"/>
                <w:szCs w:val="21"/>
                <w:highlight w:val="none"/>
                <w:vertAlign w:val="baseline"/>
                <w:lang w:val="en-US" w:eastAsia="zh-CN"/>
              </w:rPr>
              <w:t>2元/公斤</w:t>
            </w:r>
          </w:p>
        </w:tc>
        <w:tc>
          <w:tcPr>
            <w:tcW w:w="3236" w:type="pct"/>
            <w:noWrap w:val="0"/>
            <w:vAlign w:val="center"/>
          </w:tcPr>
          <w:p w14:paraId="369569F7">
            <w:pPr>
              <w:keepNext w:val="0"/>
              <w:keepLines w:val="0"/>
              <w:pageBreakBefore w:val="0"/>
              <w:widowControl/>
              <w:suppressLineNumbers w:val="0"/>
              <w:kinsoku/>
              <w:wordWrap/>
              <w:overflowPunct/>
              <w:topLinePunct w:val="0"/>
              <w:autoSpaceDE/>
              <w:autoSpaceDN/>
              <w:bidi w:val="0"/>
              <w:adjustRightInd/>
              <w:snapToGrid/>
              <w:spacing w:line="320" w:lineRule="exact"/>
              <w:ind w:firstLine="420" w:firstLineChars="200"/>
              <w:jc w:val="both"/>
              <w:textAlignment w:val="auto"/>
              <w:rPr>
                <w:rFonts w:hint="eastAsia" w:ascii="宋体" w:hAnsi="宋体" w:eastAsia="宋体" w:cs="宋体"/>
                <w:b w:val="0"/>
                <w:bCs w:val="0"/>
                <w:color w:val="000000"/>
                <w:kern w:val="0"/>
                <w:sz w:val="21"/>
                <w:szCs w:val="21"/>
                <w:highlight w:val="none"/>
                <w:vertAlign w:val="baseline"/>
                <w:lang w:val="en-US" w:eastAsia="zh-CN" w:bidi="ar-SA"/>
              </w:rPr>
            </w:pPr>
            <w:r>
              <w:rPr>
                <w:rFonts w:hint="eastAsia" w:ascii="宋体" w:hAnsi="宋体" w:eastAsia="宋体" w:cs="宋体"/>
                <w:b w:val="0"/>
                <w:bCs w:val="0"/>
                <w:color w:val="000000"/>
                <w:kern w:val="0"/>
                <w:sz w:val="21"/>
                <w:szCs w:val="21"/>
                <w:highlight w:val="none"/>
                <w:lang w:val="en-US" w:eastAsia="zh-CN" w:bidi="ar"/>
              </w:rPr>
              <w:t>废旧农膜需避免沾水，沾土，混入杂草、杂物。</w:t>
            </w:r>
          </w:p>
        </w:tc>
      </w:tr>
    </w:tbl>
    <w:p w14:paraId="48D425E7">
      <w:pPr>
        <w:pStyle w:val="24"/>
        <w:widowControl/>
        <w:numPr>
          <w:ilvl w:val="0"/>
          <w:numId w:val="96"/>
        </w:numPr>
        <w:snapToGrid w:val="0"/>
        <w:spacing w:before="219" w:beforeLines="50" w:line="360" w:lineRule="auto"/>
        <w:ind w:left="425"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运输储存</w:t>
      </w:r>
    </w:p>
    <w:p w14:paraId="52525BC8">
      <w:pPr>
        <w:pStyle w:val="24"/>
        <w:widowControl/>
        <w:numPr>
          <w:ilvl w:val="0"/>
          <w:numId w:val="98"/>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农药包装废弃物及废旧农膜</w:t>
      </w:r>
    </w:p>
    <w:p w14:paraId="57130BCD">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rPr>
      </w:pPr>
      <w:r>
        <w:rPr>
          <w:rFonts w:hint="eastAsia" w:ascii="宋体" w:hAnsi="宋体" w:eastAsia="宋体" w:cs="宋体"/>
          <w:iCs/>
          <w:color w:val="auto"/>
          <w:sz w:val="21"/>
          <w:szCs w:val="21"/>
        </w:rPr>
        <w:t>①</w:t>
      </w:r>
      <w:r>
        <w:rPr>
          <w:rFonts w:hint="eastAsia" w:ascii="宋体" w:hAnsi="宋体" w:eastAsia="宋体" w:cs="宋体"/>
          <w:iCs/>
          <w:color w:val="auto"/>
          <w:sz w:val="21"/>
          <w:szCs w:val="21"/>
          <w:lang w:val="en-US" w:eastAsia="zh-CN"/>
        </w:rPr>
        <w:t>由乙方进行转运，要使用封闭的厢式车辆，从转运点转运回收的农药包装废弃物及废旧农膜，并指定专人负责收集。对回收收集的农药包装废弃物及废旧农膜进行妥善储存，不得擅自倾倒、堆放、遗撒；运输时应当采取防止污染环境的措施，不得丢弃、遗撒，运输工具应当满足防雨、防渗漏、防遗撒要求。乙方承担项目实施中车辆的维修、保养及燃油、车辆保险等一切车辆和工作人员涉及的费用及安全管理责任。</w:t>
      </w:r>
    </w:p>
    <w:p w14:paraId="05DDAA44">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rPr>
      </w:pPr>
      <w:r>
        <w:rPr>
          <w:rFonts w:hint="eastAsia" w:ascii="宋体" w:hAnsi="宋体" w:eastAsia="宋体" w:cs="宋体"/>
          <w:iCs/>
          <w:color w:val="auto"/>
          <w:sz w:val="21"/>
          <w:szCs w:val="21"/>
        </w:rPr>
        <w:t>②</w:t>
      </w:r>
      <w:r>
        <w:rPr>
          <w:rFonts w:hint="eastAsia" w:ascii="宋体" w:hAnsi="宋体" w:eastAsia="宋体" w:cs="宋体"/>
          <w:iCs/>
          <w:color w:val="auto"/>
          <w:sz w:val="21"/>
          <w:szCs w:val="21"/>
          <w:lang w:val="en-US" w:eastAsia="zh-CN"/>
        </w:rPr>
        <w:t>乙方需与镇街农业农村部门沟通后形成收运计划，并可按照收运计划合理制定多点拼车路线，建立转运台账。每一轮收运需提前两周制定计划并发给甲方，经甲方同意后开展工作。</w:t>
      </w:r>
    </w:p>
    <w:p w14:paraId="7B17AE2B">
      <w:pPr>
        <w:pStyle w:val="24"/>
        <w:widowControl/>
        <w:numPr>
          <w:ilvl w:val="0"/>
          <w:numId w:val="98"/>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假农药、劣质农药、过期农药及罚没农药</w:t>
      </w:r>
    </w:p>
    <w:p w14:paraId="034BCBD4">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rPr>
      </w:pPr>
      <w:r>
        <w:rPr>
          <w:rFonts w:hint="eastAsia" w:ascii="宋体" w:hAnsi="宋体" w:eastAsia="宋体" w:cs="宋体"/>
          <w:iCs/>
          <w:color w:val="auto"/>
          <w:sz w:val="21"/>
          <w:szCs w:val="21"/>
        </w:rPr>
        <w:t>①</w:t>
      </w:r>
      <w:r>
        <w:rPr>
          <w:rFonts w:hint="eastAsia" w:ascii="宋体" w:hAnsi="宋体" w:eastAsia="宋体" w:cs="宋体"/>
          <w:iCs/>
          <w:color w:val="auto"/>
          <w:sz w:val="21"/>
          <w:szCs w:val="21"/>
          <w:lang w:val="en-US" w:eastAsia="zh-CN"/>
        </w:rPr>
        <w:t>乙方根据《国家危险废物名录（2025年版）》规定以及东莞市道路状况，响应甲方要求合理安排危险货物运输车辆，开展假农药、劣质农药、过期农药及罚没农药运输储存工作。乙方须保证转运车辆在运输过程中不会发生渗漏、遗撒等现象，以杜绝对沿途环境造成污染。如发生渗漏、遗撒等情形，应及时向甲方和相关管理部门报告并采取相应措施防止危害及影响扩大。收运车辆须具备相应资质、车况良好，配置灭火器具、配套GPS监控装置，转运前应检查车辆状况，发现异常情况及时报告、尽快处理。因运输过程发生的事故及应承担的法律责任全部由乙方承担。</w:t>
      </w:r>
    </w:p>
    <w:p w14:paraId="00A354A2">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rPr>
        <w:t>②</w:t>
      </w:r>
      <w:r>
        <w:rPr>
          <w:rFonts w:hint="eastAsia" w:ascii="宋体" w:hAnsi="宋体" w:eastAsia="宋体" w:cs="宋体"/>
          <w:iCs/>
          <w:color w:val="auto"/>
          <w:sz w:val="21"/>
          <w:szCs w:val="21"/>
          <w:lang w:val="en-US" w:eastAsia="zh-CN"/>
        </w:rPr>
        <w:t>乙方应按相关法律法规要求，对经回收的假农药、劣质农药、过期农药及罚没农药进行集中保管、统一处理，不得擅自倾倒、堆放、遗撒，严防二次污染。</w:t>
      </w:r>
    </w:p>
    <w:p w14:paraId="22AC4F70">
      <w:pPr>
        <w:pStyle w:val="24"/>
        <w:widowControl/>
        <w:numPr>
          <w:ilvl w:val="0"/>
          <w:numId w:val="96"/>
        </w:numPr>
        <w:snapToGrid w:val="0"/>
        <w:spacing w:line="360" w:lineRule="auto"/>
        <w:ind w:left="425" w:hanging="425"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处理</w:t>
      </w:r>
    </w:p>
    <w:p w14:paraId="1BCE49F7">
      <w:pPr>
        <w:pStyle w:val="24"/>
        <w:widowControl/>
        <w:numPr>
          <w:ilvl w:val="0"/>
          <w:numId w:val="99"/>
        </w:numPr>
        <w:snapToGrid w:val="0"/>
        <w:spacing w:line="360" w:lineRule="auto"/>
        <w:ind w:left="425" w:leftChars="0" w:hanging="425" w:firstLineChars="0"/>
        <w:contextualSpacing/>
        <w:rPr>
          <w:rFonts w:hint="eastAsia" w:ascii="宋体" w:hAnsi="宋体" w:eastAsia="宋体" w:cs="宋体"/>
          <w:b/>
          <w:bCs/>
          <w:iCs/>
          <w:color w:val="C00000"/>
          <w:sz w:val="21"/>
          <w:szCs w:val="21"/>
          <w:highlight w:val="none"/>
          <w:u w:val="single"/>
        </w:rPr>
      </w:pPr>
      <w:r>
        <w:rPr>
          <w:rFonts w:hint="eastAsia" w:ascii="宋体" w:hAnsi="宋体" w:eastAsia="宋体" w:cs="宋体"/>
          <w:b w:val="0"/>
          <w:bCs w:val="0"/>
          <w:iCs/>
          <w:color w:val="auto"/>
          <w:sz w:val="21"/>
          <w:szCs w:val="21"/>
          <w:lang w:val="en-US" w:eastAsia="zh-CN"/>
        </w:rPr>
        <w:t>实施无害化处理模式。根据《国家危险废物名录（2025年版）》规定，农药包装废弃物收集、运输、利用、处置等环节实行危险废物豁免管理，乙方确保合同期内回收的</w:t>
      </w:r>
      <w:r>
        <w:rPr>
          <w:rFonts w:hint="eastAsia" w:ascii="宋体" w:hAnsi="宋体" w:eastAsia="宋体" w:cs="宋体"/>
          <w:iCs/>
          <w:color w:val="auto"/>
          <w:sz w:val="21"/>
          <w:szCs w:val="21"/>
          <w:lang w:val="en-US" w:eastAsia="zh-CN"/>
        </w:rPr>
        <w:t>农药包装废弃物及废旧农膜100％无害化处理或资源化利用，并提供相应的接收及处理证明。</w:t>
      </w:r>
    </w:p>
    <w:p w14:paraId="03BE9805">
      <w:pPr>
        <w:pStyle w:val="24"/>
        <w:widowControl/>
        <w:numPr>
          <w:ilvl w:val="0"/>
          <w:numId w:val="96"/>
        </w:numPr>
        <w:snapToGrid w:val="0"/>
        <w:spacing w:line="360" w:lineRule="auto"/>
        <w:ind w:left="425"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宣传</w:t>
      </w:r>
    </w:p>
    <w:p w14:paraId="2D1F3673">
      <w:pPr>
        <w:pStyle w:val="24"/>
        <w:widowControl/>
        <w:numPr>
          <w:ilvl w:val="0"/>
          <w:numId w:val="100"/>
        </w:numPr>
        <w:snapToGrid w:val="0"/>
        <w:spacing w:line="360" w:lineRule="auto"/>
        <w:ind w:left="425" w:leftChars="0" w:hanging="425"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乙方需协助甲方和转运点所在镇街，做好东莞市农药包装废弃物及废旧农膜回收处理的宣传和教育工作。</w:t>
      </w:r>
    </w:p>
    <w:p w14:paraId="1DC54A54">
      <w:pPr>
        <w:pStyle w:val="24"/>
        <w:widowControl/>
        <w:numPr>
          <w:ilvl w:val="0"/>
          <w:numId w:val="96"/>
        </w:numPr>
        <w:snapToGrid w:val="0"/>
        <w:spacing w:line="360" w:lineRule="auto"/>
        <w:ind w:left="425" w:hanging="425"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档案及文书管理</w:t>
      </w:r>
    </w:p>
    <w:p w14:paraId="578A5454">
      <w:pPr>
        <w:pStyle w:val="24"/>
        <w:widowControl/>
        <w:numPr>
          <w:ilvl w:val="0"/>
          <w:numId w:val="101"/>
        </w:numPr>
        <w:snapToGrid w:val="0"/>
        <w:spacing w:line="360" w:lineRule="auto"/>
        <w:ind w:left="425" w:leftChars="0" w:hanging="425"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乙方需在完成第一轮全市农药包装废弃物与废旧农膜收运处理及服务期满时，对工作情况进行总结。服务期内配合甲方做好农药包装废弃物及废旧农膜回收处理相关数据测算、统计和分析工作，建立收运、储存、处理等环节的纸质及电子台帐，做好日常工作图文资料收集和档案管理。</w:t>
      </w:r>
    </w:p>
    <w:p w14:paraId="4CD7FB60">
      <w:pPr>
        <w:pStyle w:val="24"/>
        <w:widowControl/>
        <w:numPr>
          <w:ilvl w:val="0"/>
          <w:numId w:val="101"/>
        </w:numPr>
        <w:snapToGrid w:val="0"/>
        <w:spacing w:line="360" w:lineRule="auto"/>
        <w:ind w:left="425" w:leftChars="0" w:hanging="425"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乙方需在服务期满时对假农药、劣质农药、过期农药及罚没农药的回收处理工作情况进行总结。服务期内配合甲方做好相关数据统计工作，建立收运、储存、处理等环节的纸质及电子台帐，做好日常工作图文资料收集和档案管理。</w:t>
      </w:r>
    </w:p>
    <w:p w14:paraId="3789AC94">
      <w:pPr>
        <w:pStyle w:val="24"/>
        <w:numPr>
          <w:ilvl w:val="0"/>
          <w:numId w:val="84"/>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lang w:val="en-US" w:eastAsia="zh-CN"/>
          <w14:textFill>
            <w14:solidFill>
              <w14:schemeClr w14:val="tx1"/>
            </w14:solidFill>
          </w14:textFill>
        </w:rPr>
        <w:t>专职人员要求及其他要求</w:t>
      </w:r>
    </w:p>
    <w:p w14:paraId="624105BC">
      <w:pPr>
        <w:pStyle w:val="24"/>
        <w:widowControl/>
        <w:numPr>
          <w:ilvl w:val="0"/>
          <w:numId w:val="102"/>
        </w:numPr>
        <w:snapToGrid w:val="0"/>
        <w:spacing w:line="360" w:lineRule="auto"/>
        <w:ind w:firstLineChars="0"/>
        <w:contextualSpacing/>
        <w:rPr>
          <w:rFonts w:hint="eastAsia" w:ascii="宋体" w:hAnsi="宋体" w:eastAsia="宋体" w:cs="宋体"/>
          <w:sz w:val="21"/>
          <w:szCs w:val="21"/>
          <w:highlight w:val="none"/>
        </w:rPr>
      </w:pPr>
      <w:r>
        <w:rPr>
          <w:rFonts w:hint="eastAsia" w:ascii="宋体" w:hAnsi="宋体" w:eastAsia="宋体" w:cs="宋体"/>
          <w:sz w:val="21"/>
          <w:szCs w:val="21"/>
          <w:lang w:val="en-US" w:eastAsia="zh-CN"/>
        </w:rPr>
        <w:t>乙方须安排专职人员进行项目日常管理与服务，专职人员负责日常与甲方、镇街工作人员、转</w:t>
      </w:r>
      <w:r>
        <w:rPr>
          <w:rFonts w:hint="eastAsia" w:ascii="宋体" w:hAnsi="宋体" w:eastAsia="宋体" w:cs="宋体"/>
          <w:sz w:val="21"/>
          <w:szCs w:val="21"/>
          <w:highlight w:val="none"/>
          <w:lang w:val="en-US" w:eastAsia="zh-CN"/>
        </w:rPr>
        <w:t>运点负责人的沟通联系。</w:t>
      </w:r>
    </w:p>
    <w:p w14:paraId="5BA04D36">
      <w:pPr>
        <w:pStyle w:val="24"/>
        <w:widowControl/>
        <w:numPr>
          <w:ilvl w:val="0"/>
          <w:numId w:val="102"/>
        </w:numPr>
        <w:snapToGrid w:val="0"/>
        <w:spacing w:line="360" w:lineRule="auto"/>
        <w:ind w:firstLineChars="0"/>
        <w:contextualSpacing/>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参与危险废物回收、运输、管理等环节的工作人员须有此类工作经验并持相关证书上岗，乙方在合同签订时须把相关人员证书复印件交至甲方进行备案。</w:t>
      </w:r>
    </w:p>
    <w:p w14:paraId="411587CC">
      <w:pPr>
        <w:pStyle w:val="24"/>
        <w:widowControl/>
        <w:numPr>
          <w:ilvl w:val="0"/>
          <w:numId w:val="102"/>
        </w:numPr>
        <w:snapToGrid w:val="0"/>
        <w:spacing w:line="360" w:lineRule="auto"/>
        <w:ind w:firstLineChars="0"/>
        <w:contextualSpacing/>
        <w:rPr>
          <w:rFonts w:hint="eastAsia" w:ascii="宋体" w:hAnsi="宋体" w:eastAsia="宋体" w:cs="宋体"/>
          <w:sz w:val="21"/>
          <w:szCs w:val="21"/>
          <w:highlight w:val="none"/>
        </w:rPr>
      </w:pP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lang w:val="en-US" w:eastAsia="zh-CN"/>
        </w:rPr>
        <w:t>根据项目需要制定完善的</w:t>
      </w:r>
      <w:r>
        <w:rPr>
          <w:rFonts w:hint="default" w:ascii="宋体" w:hAnsi="宋体" w:eastAsia="宋体"/>
          <w:color w:val="000000" w:themeColor="text1"/>
          <w:szCs w:val="21"/>
          <w:highlight w:val="none"/>
          <w:lang w:val="en-US" w:eastAsia="zh-CN"/>
          <w14:textFill>
            <w14:solidFill>
              <w14:schemeClr w14:val="tx1"/>
            </w14:solidFill>
          </w14:textFill>
        </w:rPr>
        <w:t>应急预案</w:t>
      </w:r>
      <w:r>
        <w:rPr>
          <w:rFonts w:hint="eastAsia" w:ascii="宋体" w:hAnsi="宋体" w:eastAsia="宋体"/>
          <w:color w:val="auto"/>
          <w:szCs w:val="21"/>
          <w:highlight w:val="none"/>
          <w:lang w:val="en-US" w:eastAsia="zh-CN"/>
        </w:rPr>
        <w:t>，</w:t>
      </w:r>
      <w:r>
        <w:rPr>
          <w:rFonts w:hint="default" w:ascii="宋体" w:hAnsi="宋体" w:eastAsia="宋体"/>
          <w:color w:val="auto"/>
          <w:szCs w:val="21"/>
          <w:highlight w:val="none"/>
          <w:lang w:val="en-US" w:eastAsia="zh-CN"/>
        </w:rPr>
        <w:t>包含但不限于</w:t>
      </w:r>
      <w:r>
        <w:rPr>
          <w:rFonts w:hint="eastAsia" w:ascii="宋体" w:hAnsi="宋体" w:eastAsia="宋体"/>
          <w:color w:val="auto"/>
          <w:szCs w:val="21"/>
          <w:highlight w:val="none"/>
          <w:lang w:val="en-US" w:eastAsia="zh-CN"/>
        </w:rPr>
        <w:t>恶劣天气、环境</w:t>
      </w:r>
      <w:r>
        <w:rPr>
          <w:rFonts w:hint="default" w:ascii="宋体" w:hAnsi="宋体" w:eastAsia="宋体"/>
          <w:color w:val="auto"/>
          <w:szCs w:val="21"/>
          <w:highlight w:val="none"/>
          <w:lang w:val="en-US" w:eastAsia="zh-CN"/>
        </w:rPr>
        <w:t>污染</w:t>
      </w:r>
      <w:r>
        <w:rPr>
          <w:rFonts w:hint="eastAsia" w:ascii="宋体" w:hAnsi="宋体" w:eastAsia="宋体"/>
          <w:color w:val="auto"/>
          <w:szCs w:val="21"/>
          <w:highlight w:val="none"/>
          <w:lang w:val="en-US" w:eastAsia="zh-CN"/>
        </w:rPr>
        <w:t>、人员伤害、运输车辆故障等服务中</w:t>
      </w:r>
      <w:r>
        <w:rPr>
          <w:rFonts w:hint="default" w:ascii="宋体" w:hAnsi="宋体" w:eastAsia="宋体"/>
          <w:color w:val="auto"/>
          <w:szCs w:val="21"/>
          <w:highlight w:val="none"/>
          <w:lang w:val="en-US" w:eastAsia="zh-CN"/>
        </w:rPr>
        <w:t>可能发生</w:t>
      </w:r>
      <w:r>
        <w:rPr>
          <w:rFonts w:hint="eastAsia" w:ascii="宋体" w:hAnsi="宋体" w:eastAsia="宋体"/>
          <w:color w:val="auto"/>
          <w:szCs w:val="21"/>
          <w:highlight w:val="none"/>
          <w:lang w:val="en-US" w:eastAsia="zh-CN"/>
        </w:rPr>
        <w:t>的</w:t>
      </w:r>
      <w:r>
        <w:rPr>
          <w:rFonts w:hint="default" w:ascii="宋体" w:hAnsi="宋体" w:eastAsia="宋体"/>
          <w:color w:val="auto"/>
          <w:szCs w:val="21"/>
          <w:highlight w:val="none"/>
          <w:lang w:val="en-US" w:eastAsia="zh-CN"/>
        </w:rPr>
        <w:t>各类紧急情况的预防措施</w:t>
      </w:r>
      <w:r>
        <w:rPr>
          <w:rFonts w:hint="eastAsia" w:ascii="宋体" w:hAnsi="宋体" w:eastAsia="宋体"/>
          <w:color w:val="auto"/>
          <w:szCs w:val="21"/>
          <w:highlight w:val="none"/>
          <w:lang w:val="en-US" w:eastAsia="zh-CN"/>
        </w:rPr>
        <w:t>及事故处理办法，</w:t>
      </w:r>
      <w:r>
        <w:rPr>
          <w:rFonts w:hint="eastAsia" w:ascii="宋体" w:hAnsi="宋体" w:eastAsia="宋体"/>
          <w:color w:val="000000" w:themeColor="text1"/>
          <w:szCs w:val="21"/>
          <w:highlight w:val="none"/>
          <w:lang w:val="en-US" w:eastAsia="zh-CN"/>
          <w14:textFill>
            <w14:solidFill>
              <w14:schemeClr w14:val="tx1"/>
            </w14:solidFill>
          </w14:textFill>
        </w:rPr>
        <w:t>保障项目按质按量完成履约。</w:t>
      </w:r>
    </w:p>
    <w:p w14:paraId="6B1B01EF">
      <w:pPr>
        <w:pStyle w:val="24"/>
        <w:widowControl/>
        <w:numPr>
          <w:ilvl w:val="0"/>
          <w:numId w:val="102"/>
        </w:numPr>
        <w:snapToGrid w:val="0"/>
        <w:spacing w:line="360" w:lineRule="auto"/>
        <w:ind w:firstLineChars="0"/>
        <w:contextualSpacing/>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乙方</w:t>
      </w:r>
      <w:r>
        <w:rPr>
          <w:rFonts w:hint="eastAsia" w:ascii="宋体" w:hAnsi="宋体" w:eastAsia="宋体" w:cs="宋体"/>
          <w:sz w:val="21"/>
          <w:szCs w:val="21"/>
          <w:highlight w:val="none"/>
          <w:lang w:val="en-US" w:eastAsia="zh-CN"/>
        </w:rPr>
        <w:t>需要了解</w:t>
      </w:r>
      <w:r>
        <w:rPr>
          <w:rFonts w:hint="eastAsia" w:ascii="宋体" w:hAnsi="宋体" w:eastAsia="宋体" w:cs="宋体"/>
          <w:sz w:val="21"/>
          <w:szCs w:val="21"/>
          <w:highlight w:val="none"/>
        </w:rPr>
        <w:t>项目</w:t>
      </w:r>
      <w:r>
        <w:rPr>
          <w:rFonts w:hint="eastAsia" w:ascii="宋体" w:hAnsi="宋体" w:eastAsia="宋体" w:cs="宋体"/>
          <w:sz w:val="21"/>
          <w:szCs w:val="21"/>
          <w:highlight w:val="none"/>
          <w:lang w:val="en-US" w:eastAsia="zh-CN"/>
        </w:rPr>
        <w:t>中</w:t>
      </w:r>
      <w:r>
        <w:rPr>
          <w:rFonts w:hint="eastAsia" w:ascii="宋体" w:hAnsi="宋体" w:eastAsia="宋体"/>
          <w:color w:val="auto"/>
          <w:szCs w:val="21"/>
          <w:highlight w:val="none"/>
          <w:lang w:val="en-US" w:eastAsia="zh-CN"/>
        </w:rPr>
        <w:t>涉及的</w:t>
      </w:r>
      <w:r>
        <w:rPr>
          <w:rFonts w:hint="eastAsia" w:ascii="宋体" w:hAnsi="宋体" w:eastAsia="宋体" w:cs="宋体"/>
          <w:color w:val="auto"/>
          <w:sz w:val="21"/>
          <w:szCs w:val="21"/>
          <w:highlight w:val="none"/>
          <w:lang w:val="en-US" w:eastAsia="zh-CN"/>
        </w:rPr>
        <w:t>收集、转运、处理等流程</w:t>
      </w:r>
      <w:r>
        <w:rPr>
          <w:rFonts w:hint="eastAsia" w:ascii="宋体" w:hAnsi="宋体" w:eastAsia="宋体"/>
          <w:color w:val="auto"/>
          <w:szCs w:val="21"/>
          <w:highlight w:val="none"/>
          <w:lang w:val="en-US" w:eastAsia="zh-CN"/>
        </w:rPr>
        <w:t>和我市</w:t>
      </w:r>
      <w:r>
        <w:rPr>
          <w:rFonts w:hint="eastAsia" w:ascii="宋体" w:hAnsi="宋体" w:eastAsia="宋体" w:cs="宋体"/>
          <w:sz w:val="21"/>
          <w:szCs w:val="21"/>
          <w:highlight w:val="none"/>
        </w:rPr>
        <w:t>农药包装废弃物</w:t>
      </w:r>
      <w:r>
        <w:rPr>
          <w:rFonts w:hint="eastAsia" w:ascii="宋体" w:hAnsi="宋体" w:eastAsia="宋体" w:cs="宋体"/>
          <w:sz w:val="21"/>
          <w:szCs w:val="21"/>
          <w:highlight w:val="none"/>
          <w:lang w:val="en-US" w:eastAsia="zh-CN"/>
        </w:rPr>
        <w:t>及</w:t>
      </w:r>
      <w:r>
        <w:rPr>
          <w:rFonts w:hint="eastAsia" w:ascii="宋体" w:hAnsi="宋体" w:eastAsia="宋体" w:cs="宋体"/>
          <w:sz w:val="21"/>
          <w:szCs w:val="21"/>
          <w:highlight w:val="none"/>
        </w:rPr>
        <w:t>废旧农膜</w:t>
      </w:r>
      <w:r>
        <w:rPr>
          <w:rFonts w:hint="eastAsia" w:ascii="宋体" w:hAnsi="宋体" w:eastAsia="宋体" w:cs="宋体"/>
          <w:color w:val="auto"/>
          <w:sz w:val="21"/>
          <w:szCs w:val="21"/>
          <w:highlight w:val="none"/>
          <w:lang w:val="en-US" w:eastAsia="zh-CN"/>
        </w:rPr>
        <w:t>分布情况</w:t>
      </w:r>
      <w:r>
        <w:rPr>
          <w:rFonts w:hint="eastAsia" w:ascii="宋体" w:hAnsi="宋体" w:eastAsia="宋体" w:cs="宋体"/>
          <w:sz w:val="21"/>
          <w:szCs w:val="21"/>
          <w:highlight w:val="none"/>
          <w:lang w:val="en-US" w:eastAsia="zh-CN"/>
        </w:rPr>
        <w:t>，并</w:t>
      </w:r>
      <w:r>
        <w:rPr>
          <w:rFonts w:hint="eastAsia" w:ascii="宋体" w:hAnsi="宋体" w:eastAsia="宋体" w:cs="宋体"/>
          <w:sz w:val="21"/>
          <w:szCs w:val="21"/>
          <w:highlight w:val="none"/>
        </w:rPr>
        <w:t>针对采购需求提供合理建议</w:t>
      </w:r>
      <w:r>
        <w:rPr>
          <w:rFonts w:hint="eastAsia" w:ascii="宋体" w:hAnsi="宋体" w:eastAsia="宋体" w:cs="宋体"/>
          <w:sz w:val="21"/>
          <w:szCs w:val="21"/>
          <w:highlight w:val="none"/>
          <w:lang w:val="en-US" w:eastAsia="zh-CN"/>
        </w:rPr>
        <w:t>至甲方处。</w:t>
      </w:r>
    </w:p>
    <w:p w14:paraId="4AB14B68">
      <w:pPr>
        <w:pStyle w:val="24"/>
        <w:widowControl/>
        <w:numPr>
          <w:ilvl w:val="0"/>
          <w:numId w:val="102"/>
        </w:numPr>
        <w:snapToGrid w:val="0"/>
        <w:spacing w:line="360" w:lineRule="auto"/>
        <w:ind w:firstLineChars="0"/>
        <w:contextualSpacing/>
        <w:rPr>
          <w:rFonts w:hint="default"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乙方</w:t>
      </w:r>
      <w:r>
        <w:rPr>
          <w:rFonts w:hint="default" w:ascii="宋体" w:hAnsi="宋体" w:eastAsia="宋体" w:cs="宋体"/>
          <w:iCs/>
          <w:color w:val="auto"/>
          <w:sz w:val="21"/>
          <w:szCs w:val="21"/>
          <w:highlight w:val="none"/>
          <w:lang w:val="en-US" w:eastAsia="zh-CN"/>
        </w:rPr>
        <w:t>针对本项目制定</w:t>
      </w:r>
      <w:r>
        <w:rPr>
          <w:rFonts w:hint="eastAsia" w:ascii="宋体" w:hAnsi="宋体" w:eastAsia="宋体" w:cs="宋体"/>
          <w:iCs/>
          <w:color w:val="auto"/>
          <w:sz w:val="21"/>
          <w:szCs w:val="21"/>
          <w:highlight w:val="none"/>
          <w:lang w:val="en-US" w:eastAsia="zh-CN"/>
        </w:rPr>
        <w:t>完善且详细的</w:t>
      </w:r>
      <w:r>
        <w:rPr>
          <w:rFonts w:hint="default" w:ascii="宋体" w:hAnsi="宋体" w:eastAsia="宋体" w:cs="宋体"/>
          <w:iCs/>
          <w:color w:val="auto"/>
          <w:sz w:val="21"/>
          <w:szCs w:val="21"/>
          <w:highlight w:val="none"/>
          <w:lang w:val="en-US" w:eastAsia="zh-CN"/>
        </w:rPr>
        <w:t>服务质量保障方案</w:t>
      </w:r>
      <w:r>
        <w:rPr>
          <w:rFonts w:hint="eastAsia" w:ascii="宋体" w:hAnsi="宋体" w:eastAsia="宋体" w:cs="宋体"/>
          <w:iCs/>
          <w:color w:val="auto"/>
          <w:sz w:val="21"/>
          <w:szCs w:val="21"/>
          <w:highlight w:val="none"/>
          <w:lang w:val="en-US" w:eastAsia="zh-CN"/>
        </w:rPr>
        <w:t>，</w:t>
      </w:r>
      <w:r>
        <w:rPr>
          <w:rFonts w:hint="default" w:ascii="宋体" w:hAnsi="宋体" w:eastAsia="宋体" w:cs="宋体"/>
          <w:iCs/>
          <w:color w:val="auto"/>
          <w:sz w:val="21"/>
          <w:szCs w:val="21"/>
          <w:highlight w:val="none"/>
          <w:lang w:val="en-US" w:eastAsia="zh-CN"/>
        </w:rPr>
        <w:t>包括但不限于服务质量目标、质量保证体系及措施、流程规范程度、服务质量保障措施</w:t>
      </w:r>
      <w:r>
        <w:rPr>
          <w:rFonts w:hint="eastAsia" w:ascii="宋体" w:hAnsi="宋体" w:eastAsia="宋体" w:cs="宋体"/>
          <w:iCs/>
          <w:color w:val="auto"/>
          <w:sz w:val="21"/>
          <w:szCs w:val="21"/>
          <w:highlight w:val="none"/>
          <w:lang w:val="en-US" w:eastAsia="zh-CN"/>
        </w:rPr>
        <w:t>等内容。</w:t>
      </w:r>
    </w:p>
    <w:p w14:paraId="4C8C3E27">
      <w:pPr>
        <w:pStyle w:val="24"/>
        <w:widowControl/>
        <w:numPr>
          <w:ilvl w:val="0"/>
          <w:numId w:val="102"/>
        </w:numPr>
        <w:snapToGrid w:val="0"/>
        <w:spacing w:line="360" w:lineRule="auto"/>
        <w:ind w:firstLineChars="0"/>
        <w:contextualSpacing/>
        <w:rPr>
          <w:rFonts w:hint="default" w:ascii="宋体" w:hAnsi="宋体" w:eastAsia="宋体" w:cs="宋体"/>
          <w:iCs/>
          <w:color w:val="auto"/>
          <w:sz w:val="21"/>
          <w:szCs w:val="21"/>
          <w:highlight w:val="none"/>
          <w:lang w:val="en-US" w:eastAsia="zh-CN"/>
        </w:rPr>
      </w:pPr>
      <w:r>
        <w:rPr>
          <w:rFonts w:hint="default" w:ascii="宋体" w:hAnsi="宋体" w:eastAsia="宋体"/>
          <w:color w:val="000000" w:themeColor="text1"/>
          <w:szCs w:val="21"/>
          <w:highlight w:val="none"/>
          <w:lang w:val="en-US" w:eastAsia="zh-CN"/>
          <w14:textFill>
            <w14:solidFill>
              <w14:schemeClr w14:val="tx1"/>
            </w14:solidFill>
          </w14:textFill>
        </w:rPr>
        <w:t>根据</w:t>
      </w:r>
      <w:r>
        <w:rPr>
          <w:rFonts w:hint="eastAsia" w:ascii="宋体" w:hAnsi="宋体" w:eastAsia="宋体"/>
          <w:color w:val="000000" w:themeColor="text1"/>
          <w:szCs w:val="21"/>
          <w:highlight w:val="none"/>
          <w:lang w:val="en-US" w:eastAsia="zh-CN"/>
          <w14:textFill>
            <w14:solidFill>
              <w14:schemeClr w14:val="tx1"/>
            </w14:solidFill>
          </w14:textFill>
        </w:rPr>
        <w:t>乙方</w:t>
      </w:r>
      <w:r>
        <w:rPr>
          <w:rFonts w:hint="default" w:ascii="宋体" w:hAnsi="宋体" w:eastAsia="宋体"/>
          <w:color w:val="000000" w:themeColor="text1"/>
          <w:szCs w:val="21"/>
          <w:highlight w:val="none"/>
          <w:lang w:val="en-US" w:eastAsia="zh-CN"/>
          <w14:textFill>
            <w14:solidFill>
              <w14:schemeClr w14:val="tx1"/>
            </w14:solidFill>
          </w14:textFill>
        </w:rPr>
        <w:t>对本项目制定的应急预案</w:t>
      </w:r>
      <w:r>
        <w:rPr>
          <w:rFonts w:hint="eastAsia" w:ascii="宋体" w:hAnsi="宋体" w:eastAsia="宋体"/>
          <w:color w:val="000000" w:themeColor="text1"/>
          <w:szCs w:val="21"/>
          <w:highlight w:val="none"/>
          <w:lang w:val="en-US" w:eastAsia="zh-CN"/>
          <w14:textFill>
            <w14:solidFill>
              <w14:schemeClr w14:val="tx1"/>
            </w14:solidFill>
          </w14:textFill>
        </w:rPr>
        <w:t>，如</w:t>
      </w:r>
      <w:r>
        <w:rPr>
          <w:rFonts w:hint="default" w:ascii="宋体" w:hAnsi="宋体" w:eastAsia="宋体"/>
          <w:color w:val="000000" w:themeColor="text1"/>
          <w:szCs w:val="21"/>
          <w:highlight w:val="none"/>
          <w:lang w:val="en-US" w:eastAsia="zh-CN"/>
          <w14:textFill>
            <w14:solidFill>
              <w14:schemeClr w14:val="tx1"/>
            </w14:solidFill>
          </w14:textFill>
        </w:rPr>
        <w:t>环境污染、人员伤害、天气恶劣、运输车辆故障等，服务中可能发生的各类紧急情况的预判及预防措施</w:t>
      </w:r>
      <w:r>
        <w:rPr>
          <w:rFonts w:hint="eastAsia" w:ascii="宋体" w:hAnsi="宋体" w:eastAsia="宋体"/>
          <w:color w:val="000000" w:themeColor="text1"/>
          <w:szCs w:val="21"/>
          <w:highlight w:val="none"/>
          <w:lang w:val="en-US" w:eastAsia="zh-CN"/>
          <w14:textFill>
            <w14:solidFill>
              <w14:schemeClr w14:val="tx1"/>
            </w14:solidFill>
          </w14:textFill>
        </w:rPr>
        <w:t>，保障项目按质按量完成履约。</w:t>
      </w:r>
    </w:p>
    <w:p w14:paraId="1AA43A8D">
      <w:pPr>
        <w:pStyle w:val="24"/>
        <w:numPr>
          <w:ilvl w:val="0"/>
          <w:numId w:val="84"/>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lang w:val="en-US" w:eastAsia="zh-CN"/>
          <w14:textFill>
            <w14:solidFill>
              <w14:schemeClr w14:val="tx1"/>
            </w14:solidFill>
          </w14:textFill>
        </w:rPr>
        <w:t>考核要求</w:t>
      </w:r>
    </w:p>
    <w:p w14:paraId="29F08D2B">
      <w:pPr>
        <w:pStyle w:val="34"/>
        <w:keepNext w:val="0"/>
        <w:keepLines w:val="0"/>
        <w:pageBreakBefore w:val="0"/>
        <w:numPr>
          <w:ilvl w:val="0"/>
          <w:numId w:val="103"/>
        </w:numPr>
        <w:kinsoku/>
        <w:wordWrap/>
        <w:overflowPunct/>
        <w:topLinePunct w:val="0"/>
        <w:autoSpaceDE/>
        <w:autoSpaceDN/>
        <w:bidi w:val="0"/>
        <w:adjustRightInd/>
        <w:snapToGrid/>
        <w:spacing w:before="0" w:line="400" w:lineRule="exact"/>
        <w:ind w:left="425" w:leftChars="0" w:hanging="425" w:firstLineChars="0"/>
        <w:textAlignment w:val="auto"/>
        <w:rPr>
          <w:rFonts w:hint="eastAsia" w:ascii="宋体" w:hAnsi="宋体" w:eastAsia="宋体"/>
          <w:b/>
          <w:color w:val="000000" w:themeColor="text1"/>
          <w:spacing w:val="20"/>
          <w:szCs w:val="21"/>
          <w14:textFill>
            <w14:solidFill>
              <w14:schemeClr w14:val="tx1"/>
            </w14:solidFill>
          </w14:textFill>
        </w:rPr>
      </w:pPr>
      <w:r>
        <w:rPr>
          <w:rFonts w:hint="eastAsia" w:eastAsia="宋体" w:cs="宋体"/>
          <w:sz w:val="21"/>
          <w:szCs w:val="21"/>
          <w:highlight w:val="none"/>
          <w:lang w:val="en-US" w:eastAsia="zh-CN"/>
        </w:rPr>
        <w:t>乙方</w:t>
      </w:r>
      <w:r>
        <w:rPr>
          <w:rFonts w:hint="eastAsia" w:ascii="宋体" w:hAnsi="宋体" w:eastAsia="宋体" w:cs="宋体"/>
          <w:sz w:val="21"/>
          <w:szCs w:val="21"/>
          <w:highlight w:val="none"/>
          <w:lang w:val="en-US" w:eastAsia="zh-CN"/>
        </w:rPr>
        <w:t>在每轮回收处理结束后，需对各转运点的收集、转运、处理等情况及存在问题向</w:t>
      </w:r>
      <w:r>
        <w:rPr>
          <w:rFonts w:hint="eastAsia" w:eastAsia="宋体" w:cs="宋体"/>
          <w:sz w:val="21"/>
          <w:szCs w:val="21"/>
          <w:highlight w:val="none"/>
          <w:lang w:val="en-US" w:eastAsia="zh-CN"/>
        </w:rPr>
        <w:t>甲方</w:t>
      </w:r>
      <w:r>
        <w:rPr>
          <w:rFonts w:hint="eastAsia" w:ascii="宋体" w:hAnsi="宋体" w:eastAsia="宋体" w:cs="宋体"/>
          <w:sz w:val="21"/>
          <w:szCs w:val="21"/>
          <w:highlight w:val="none"/>
          <w:lang w:val="en-US" w:eastAsia="zh-CN"/>
        </w:rPr>
        <w:t>进行</w:t>
      </w:r>
      <w:r>
        <w:rPr>
          <w:rFonts w:hint="eastAsia" w:ascii="宋体" w:hAnsi="宋体" w:eastAsia="宋体" w:cs="宋体"/>
          <w:color w:val="auto"/>
          <w:sz w:val="21"/>
          <w:szCs w:val="21"/>
          <w:highlight w:val="none"/>
          <w:lang w:val="en-US" w:eastAsia="zh-CN"/>
        </w:rPr>
        <w:t>汇报，</w:t>
      </w:r>
      <w:r>
        <w:rPr>
          <w:rFonts w:hint="eastAsia" w:eastAsia="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不定时对收运数量进行核实抽查，一经发现造假，</w:t>
      </w:r>
      <w:r>
        <w:rPr>
          <w:rFonts w:hint="eastAsia" w:eastAsia="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有权无偿终止合同。如项目进度明显滞后或回收处理工作推动不力，</w:t>
      </w:r>
      <w:r>
        <w:rPr>
          <w:rFonts w:hint="eastAsia" w:eastAsia="宋体" w:cs="宋体"/>
          <w:color w:val="auto"/>
          <w:sz w:val="21"/>
          <w:szCs w:val="21"/>
          <w:highlight w:val="none"/>
          <w:lang w:val="en-US" w:eastAsia="zh-CN"/>
        </w:rPr>
        <w:t>乙方</w:t>
      </w:r>
      <w:r>
        <w:rPr>
          <w:rFonts w:hint="eastAsia" w:ascii="宋体" w:hAnsi="宋体" w:eastAsia="宋体" w:cs="宋体"/>
          <w:color w:val="auto"/>
          <w:sz w:val="21"/>
          <w:szCs w:val="21"/>
          <w:highlight w:val="none"/>
          <w:lang w:val="en-US" w:eastAsia="zh-CN"/>
        </w:rPr>
        <w:t>应按要求及时整改到位，相同问题再次发生的，</w:t>
      </w:r>
      <w:r>
        <w:rPr>
          <w:rFonts w:hint="eastAsia" w:eastAsia="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有权无偿终止合同。</w:t>
      </w:r>
    </w:p>
    <w:p w14:paraId="6160161E">
      <w:pPr>
        <w:pStyle w:val="24"/>
        <w:numPr>
          <w:ilvl w:val="0"/>
          <w:numId w:val="84"/>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 xml:space="preserve">分包与转包 </w:t>
      </w:r>
    </w:p>
    <w:p w14:paraId="696064F7">
      <w:pPr>
        <w:pStyle w:val="24"/>
        <w:numPr>
          <w:ilvl w:val="0"/>
          <w:numId w:val="104"/>
        </w:numPr>
        <w:ind w:firstLineChars="0"/>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严禁转包</w:t>
      </w:r>
      <w:r>
        <w:rPr>
          <w:rFonts w:hint="eastAsia" w:ascii="宋体" w:hAnsi="宋体" w:eastAsia="宋体"/>
          <w:color w:val="000000" w:themeColor="text1"/>
          <w:szCs w:val="21"/>
          <w:highlight w:val="none"/>
          <w:lang w:eastAsia="zh-CN"/>
          <w14:textFill>
            <w14:solidFill>
              <w14:schemeClr w14:val="tx1"/>
            </w14:solidFill>
          </w14:textFill>
        </w:rPr>
        <w:t>、</w:t>
      </w:r>
      <w:r>
        <w:rPr>
          <w:rFonts w:hint="eastAsia" w:ascii="宋体" w:hAnsi="宋体" w:eastAsia="宋体"/>
          <w:color w:val="000000" w:themeColor="text1"/>
          <w:szCs w:val="21"/>
          <w:highlight w:val="none"/>
          <w14:textFill>
            <w14:solidFill>
              <w14:schemeClr w14:val="tx1"/>
            </w14:solidFill>
          </w14:textFill>
        </w:rPr>
        <w:t>分包</w:t>
      </w:r>
      <w:r>
        <w:rPr>
          <w:rFonts w:hint="eastAsia" w:ascii="宋体" w:hAnsi="宋体" w:eastAsia="宋体"/>
          <w:color w:val="000000" w:themeColor="text1"/>
          <w:szCs w:val="21"/>
          <w:highlight w:val="none"/>
          <w:lang w:eastAsia="zh-CN"/>
          <w14:textFill>
            <w14:solidFill>
              <w14:schemeClr w14:val="tx1"/>
            </w14:solidFill>
          </w14:textFill>
        </w:rPr>
        <w:t>。</w:t>
      </w:r>
    </w:p>
    <w:p w14:paraId="76F03BDF">
      <w:pPr>
        <w:pStyle w:val="24"/>
        <w:numPr>
          <w:ilvl w:val="0"/>
          <w:numId w:val="84"/>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违约责任</w:t>
      </w:r>
    </w:p>
    <w:p w14:paraId="2D4025DE">
      <w:pPr>
        <w:pStyle w:val="29"/>
        <w:numPr>
          <w:ilvl w:val="0"/>
          <w:numId w:val="105"/>
        </w:numPr>
        <w:tabs>
          <w:tab w:val="left" w:pos="840"/>
        </w:tabs>
        <w:ind w:left="425" w:hanging="425" w:firstLineChars="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乙方违反合同及招标文件约定的有关义务，对甲方造成经济损失的，应给予甲方经济赔偿；如造成重大损失的，甲方有权终止合同。</w:t>
      </w:r>
    </w:p>
    <w:p w14:paraId="7FDBF05E">
      <w:pPr>
        <w:pStyle w:val="29"/>
        <w:numPr>
          <w:ilvl w:val="0"/>
          <w:numId w:val="105"/>
        </w:numPr>
        <w:tabs>
          <w:tab w:val="left" w:pos="840"/>
        </w:tabs>
        <w:ind w:left="425" w:hanging="425" w:firstLineChars="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除合同规定外，如果乙方没有按照合同规定的时间交付或完成，甲方可要求乙方支付违约金。从逾期之日起每日按本合同总价</w:t>
      </w:r>
      <w:r>
        <w:rPr>
          <w:rFonts w:hint="eastAsia" w:ascii="宋体" w:hAnsi="宋体" w:cs="Times New Roman"/>
          <w:color w:val="000000" w:themeColor="text1"/>
          <w:szCs w:val="21"/>
          <w:highlight w:val="none"/>
          <w:u w:val="single"/>
          <w14:textFill>
            <w14:solidFill>
              <w14:schemeClr w14:val="tx1"/>
            </w14:solidFill>
          </w14:textFill>
        </w:rPr>
        <w:t xml:space="preserve"> 3 </w:t>
      </w:r>
      <w:r>
        <w:rPr>
          <w:rFonts w:hint="eastAsia" w:ascii="宋体" w:hAnsi="宋体" w:cs="Times New Roman"/>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的数额向甲方支付违约金；逾期15天或以上的，甲方有权终止合同，要求乙方一次性支付合同总金额</w:t>
      </w:r>
      <w:r>
        <w:rPr>
          <w:rFonts w:hint="eastAsia" w:ascii="宋体" w:hAnsi="宋体"/>
          <w:color w:val="000000" w:themeColor="text1"/>
          <w:szCs w:val="21"/>
          <w:highlight w:val="none"/>
          <w:u w:val="single"/>
          <w14:textFill>
            <w14:solidFill>
              <w14:schemeClr w14:val="tx1"/>
            </w14:solidFill>
          </w14:textFill>
        </w:rPr>
        <w:t xml:space="preserve"> 20 %</w:t>
      </w:r>
      <w:r>
        <w:rPr>
          <w:rFonts w:hint="eastAsia" w:ascii="宋体" w:hAnsi="宋体"/>
          <w:color w:val="000000" w:themeColor="text1"/>
          <w:szCs w:val="21"/>
          <w:highlight w:val="none"/>
          <w14:textFill>
            <w14:solidFill>
              <w14:schemeClr w14:val="tx1"/>
            </w14:solidFill>
          </w14:textFill>
        </w:rPr>
        <w:t>违约金，并且给甲方造成的经济损失由乙方承担赔偿责任。</w:t>
      </w:r>
    </w:p>
    <w:p w14:paraId="1177C447">
      <w:pPr>
        <w:pStyle w:val="29"/>
        <w:numPr>
          <w:ilvl w:val="0"/>
          <w:numId w:val="105"/>
        </w:numPr>
        <w:tabs>
          <w:tab w:val="left" w:pos="840"/>
        </w:tabs>
        <w:ind w:left="425" w:hanging="425" w:firstLineChars="0"/>
        <w:rPr>
          <w:rFonts w:hint="eastAsia" w:ascii="宋体" w:hAnsi="宋体"/>
          <w:color w:val="000000" w:themeColor="text1"/>
          <w:szCs w:val="21"/>
          <w:highlight w:val="none"/>
          <w14:textFill>
            <w14:solidFill>
              <w14:schemeClr w14:val="tx1"/>
            </w14:solidFill>
          </w14:textFill>
        </w:rPr>
      </w:pPr>
      <w:r>
        <w:rPr>
          <w:rFonts w:hint="eastAsia" w:ascii="宋体" w:hAnsi="宋体" w:cstheme="minorBidi"/>
          <w:color w:val="000000" w:themeColor="text1"/>
          <w:szCs w:val="21"/>
          <w:highlight w:val="none"/>
          <w14:textFill>
            <w14:solidFill>
              <w14:schemeClr w14:val="tx1"/>
            </w14:solidFill>
          </w14:textFill>
        </w:rPr>
        <w:t>因乙方</w:t>
      </w:r>
      <w:r>
        <w:rPr>
          <w:rFonts w:hint="eastAsia" w:ascii="宋体" w:hAnsi="宋体" w:cstheme="minorBidi"/>
          <w:color w:val="000000" w:themeColor="text1"/>
          <w:szCs w:val="21"/>
          <w:highlight w:val="none"/>
          <w:lang w:eastAsia="zh-CN"/>
          <w14:textFill>
            <w14:solidFill>
              <w14:schemeClr w14:val="tx1"/>
            </w14:solidFill>
          </w14:textFill>
        </w:rPr>
        <w:t>出现转包或未</w:t>
      </w:r>
      <w:r>
        <w:rPr>
          <w:rFonts w:hint="eastAsia" w:ascii="宋体" w:hAnsi="宋体" w:eastAsia="宋体"/>
          <w:color w:val="000000" w:themeColor="text1"/>
          <w:szCs w:val="21"/>
          <w:highlight w:val="none"/>
          <w14:textFill>
            <w14:solidFill>
              <w14:schemeClr w14:val="tx1"/>
            </w14:solidFill>
          </w14:textFill>
        </w:rPr>
        <w:t>经甲方书面同意</w:t>
      </w:r>
      <w:r>
        <w:rPr>
          <w:rFonts w:hint="eastAsia" w:ascii="宋体" w:hAnsi="宋体"/>
          <w:color w:val="000000" w:themeColor="text1"/>
          <w:szCs w:val="21"/>
          <w:highlight w:val="none"/>
          <w:lang w:eastAsia="zh-CN"/>
          <w14:textFill>
            <w14:solidFill>
              <w14:schemeClr w14:val="tx1"/>
            </w14:solidFill>
          </w14:textFill>
        </w:rPr>
        <w:t>进行</w:t>
      </w:r>
      <w:r>
        <w:rPr>
          <w:rFonts w:hint="eastAsia" w:ascii="宋体" w:hAnsi="宋体" w:eastAsia="宋体"/>
          <w:color w:val="000000" w:themeColor="text1"/>
          <w:szCs w:val="21"/>
          <w:highlight w:val="none"/>
          <w14:textFill>
            <w14:solidFill>
              <w14:schemeClr w14:val="tx1"/>
            </w14:solidFill>
          </w14:textFill>
        </w:rPr>
        <w:t>分包</w:t>
      </w:r>
      <w:r>
        <w:rPr>
          <w:rFonts w:hint="eastAsia" w:ascii="宋体" w:hAnsi="宋体"/>
          <w:color w:val="000000" w:themeColor="text1"/>
          <w:szCs w:val="21"/>
          <w:highlight w:val="none"/>
          <w:lang w:eastAsia="zh-CN"/>
          <w14:textFill>
            <w14:solidFill>
              <w14:schemeClr w14:val="tx1"/>
            </w14:solidFill>
          </w14:textFill>
        </w:rPr>
        <w:t>等行为，</w:t>
      </w:r>
      <w:r>
        <w:rPr>
          <w:rFonts w:hint="eastAsia" w:ascii="宋体" w:hAnsi="宋体" w:eastAsia="宋体"/>
          <w:color w:val="000000" w:themeColor="text1"/>
          <w:szCs w:val="21"/>
          <w:highlight w:val="none"/>
          <w14:textFill>
            <w14:solidFill>
              <w14:schemeClr w14:val="tx1"/>
            </w14:solidFill>
          </w14:textFill>
        </w:rPr>
        <w:t>甲方</w:t>
      </w:r>
      <w:r>
        <w:rPr>
          <w:rFonts w:hint="eastAsia" w:ascii="宋体" w:hAnsi="宋体"/>
          <w:color w:val="000000" w:themeColor="text1"/>
          <w:szCs w:val="21"/>
          <w:highlight w:val="none"/>
          <w:lang w:eastAsia="zh-CN"/>
          <w14:textFill>
            <w14:solidFill>
              <w14:schemeClr w14:val="tx1"/>
            </w14:solidFill>
          </w14:textFill>
        </w:rPr>
        <w:t>有权要求立即停止相关行为，</w:t>
      </w:r>
      <w:r>
        <w:rPr>
          <w:rFonts w:hint="eastAsia" w:ascii="宋体" w:hAnsi="宋体" w:cstheme="minorBidi"/>
          <w:color w:val="000000" w:themeColor="text1"/>
          <w:szCs w:val="21"/>
          <w:highlight w:val="none"/>
          <w14:textFill>
            <w14:solidFill>
              <w14:schemeClr w14:val="tx1"/>
            </w14:solidFill>
          </w14:textFill>
        </w:rPr>
        <w:t>乙方</w:t>
      </w:r>
      <w:r>
        <w:rPr>
          <w:rFonts w:hint="eastAsia" w:ascii="宋体" w:hAnsi="宋体" w:cstheme="minorBidi"/>
          <w:color w:val="000000" w:themeColor="text1"/>
          <w:szCs w:val="21"/>
          <w:highlight w:val="none"/>
          <w:lang w:eastAsia="zh-CN"/>
          <w14:textFill>
            <w14:solidFill>
              <w14:schemeClr w14:val="tx1"/>
            </w14:solidFill>
          </w14:textFill>
        </w:rPr>
        <w:t>须在</w:t>
      </w:r>
      <w:r>
        <w:rPr>
          <w:rFonts w:hint="eastAsia" w:ascii="宋体" w:hAnsi="宋体" w:cstheme="minorBidi"/>
          <w:color w:val="000000" w:themeColor="text1"/>
          <w:szCs w:val="21"/>
          <w:highlight w:val="none"/>
          <w:lang w:val="en-US" w:eastAsia="zh-CN"/>
          <w14:textFill>
            <w14:solidFill>
              <w14:schemeClr w14:val="tx1"/>
            </w14:solidFill>
          </w14:textFill>
        </w:rPr>
        <w:t>15日内完成整改。若</w:t>
      </w:r>
      <w:r>
        <w:rPr>
          <w:rFonts w:hint="eastAsia" w:ascii="宋体" w:hAnsi="宋体" w:cstheme="minorBidi"/>
          <w:color w:val="000000" w:themeColor="text1"/>
          <w:szCs w:val="21"/>
          <w:highlight w:val="none"/>
          <w14:textFill>
            <w14:solidFill>
              <w14:schemeClr w14:val="tx1"/>
            </w14:solidFill>
          </w14:textFill>
        </w:rPr>
        <w:t>乙方</w:t>
      </w:r>
      <w:r>
        <w:rPr>
          <w:rFonts w:hint="eastAsia" w:ascii="宋体" w:hAnsi="宋体" w:cstheme="minorBidi"/>
          <w:color w:val="000000" w:themeColor="text1"/>
          <w:szCs w:val="21"/>
          <w:highlight w:val="none"/>
          <w:lang w:eastAsia="zh-CN"/>
          <w14:textFill>
            <w14:solidFill>
              <w14:schemeClr w14:val="tx1"/>
            </w14:solidFill>
          </w14:textFill>
        </w:rPr>
        <w:t>再次出现转包、未</w:t>
      </w:r>
      <w:r>
        <w:rPr>
          <w:rFonts w:hint="eastAsia" w:ascii="宋体" w:hAnsi="宋体" w:eastAsia="宋体"/>
          <w:color w:val="000000" w:themeColor="text1"/>
          <w:szCs w:val="21"/>
          <w:highlight w:val="none"/>
          <w14:textFill>
            <w14:solidFill>
              <w14:schemeClr w14:val="tx1"/>
            </w14:solidFill>
          </w14:textFill>
        </w:rPr>
        <w:t>经甲方书面同意</w:t>
      </w:r>
      <w:r>
        <w:rPr>
          <w:rFonts w:hint="eastAsia" w:ascii="宋体" w:hAnsi="宋体"/>
          <w:color w:val="000000" w:themeColor="text1"/>
          <w:szCs w:val="21"/>
          <w:highlight w:val="none"/>
          <w:lang w:eastAsia="zh-CN"/>
          <w14:textFill>
            <w14:solidFill>
              <w14:schemeClr w14:val="tx1"/>
            </w14:solidFill>
          </w14:textFill>
        </w:rPr>
        <w:t>进行</w:t>
      </w:r>
      <w:r>
        <w:rPr>
          <w:rFonts w:hint="eastAsia" w:ascii="宋体" w:hAnsi="宋体" w:eastAsia="宋体"/>
          <w:color w:val="000000" w:themeColor="text1"/>
          <w:szCs w:val="21"/>
          <w:highlight w:val="none"/>
          <w14:textFill>
            <w14:solidFill>
              <w14:schemeClr w14:val="tx1"/>
            </w14:solidFill>
          </w14:textFill>
        </w:rPr>
        <w:t>分包</w:t>
      </w:r>
      <w:r>
        <w:rPr>
          <w:rFonts w:hint="eastAsia" w:ascii="宋体" w:hAnsi="宋体"/>
          <w:color w:val="000000" w:themeColor="text1"/>
          <w:szCs w:val="21"/>
          <w:highlight w:val="none"/>
          <w:lang w:eastAsia="zh-CN"/>
          <w14:textFill>
            <w14:solidFill>
              <w14:schemeClr w14:val="tx1"/>
            </w14:solidFill>
          </w14:textFill>
        </w:rPr>
        <w:t>等行为或整改不到位，</w:t>
      </w:r>
      <w:r>
        <w:rPr>
          <w:rFonts w:hint="eastAsia" w:ascii="宋体" w:hAnsi="宋体" w:eastAsia="宋体"/>
          <w:color w:val="000000" w:themeColor="text1"/>
          <w:szCs w:val="21"/>
          <w:highlight w:val="none"/>
          <w14:textFill>
            <w14:solidFill>
              <w14:schemeClr w14:val="tx1"/>
            </w14:solidFill>
          </w14:textFill>
        </w:rPr>
        <w:t>甲方</w:t>
      </w:r>
      <w:r>
        <w:rPr>
          <w:rFonts w:hint="eastAsia" w:ascii="宋体" w:hAnsi="宋体"/>
          <w:color w:val="000000" w:themeColor="text1"/>
          <w:szCs w:val="21"/>
          <w:highlight w:val="none"/>
          <w:lang w:eastAsia="zh-CN"/>
          <w14:textFill>
            <w14:solidFill>
              <w14:schemeClr w14:val="tx1"/>
            </w14:solidFill>
          </w14:textFill>
        </w:rPr>
        <w:t>有权终止合同，</w:t>
      </w:r>
      <w:r>
        <w:rPr>
          <w:rFonts w:hint="eastAsia" w:ascii="宋体" w:hAnsi="宋体" w:cstheme="minorBidi"/>
          <w:color w:val="000000" w:themeColor="text1"/>
          <w:szCs w:val="21"/>
          <w:highlight w:val="none"/>
          <w14:textFill>
            <w14:solidFill>
              <w14:schemeClr w14:val="tx1"/>
            </w14:solidFill>
          </w14:textFill>
        </w:rPr>
        <w:t>乙方应向甲方</w:t>
      </w:r>
      <w:r>
        <w:rPr>
          <w:rFonts w:hint="eastAsia" w:ascii="宋体" w:hAnsi="宋体" w:cstheme="minorBidi"/>
          <w:color w:val="000000" w:themeColor="text1"/>
          <w:szCs w:val="21"/>
          <w:highlight w:val="none"/>
          <w:lang w:eastAsia="zh-CN"/>
          <w14:textFill>
            <w14:solidFill>
              <w14:schemeClr w14:val="tx1"/>
            </w14:solidFill>
          </w14:textFill>
        </w:rPr>
        <w:t>退还已支付的核减已完成工作量后的</w:t>
      </w:r>
      <w:r>
        <w:rPr>
          <w:rFonts w:hint="eastAsia" w:ascii="宋体" w:hAnsi="宋体" w:cstheme="minorBidi"/>
          <w:color w:val="000000" w:themeColor="text1"/>
          <w:szCs w:val="21"/>
          <w:highlight w:val="none"/>
          <w14:textFill>
            <w14:solidFill>
              <w14:schemeClr w14:val="tx1"/>
            </w14:solidFill>
          </w14:textFill>
        </w:rPr>
        <w:t>合同</w:t>
      </w:r>
      <w:r>
        <w:rPr>
          <w:rFonts w:hint="eastAsia" w:ascii="宋体" w:hAnsi="宋体" w:cstheme="minorBidi"/>
          <w:color w:val="000000" w:themeColor="text1"/>
          <w:szCs w:val="21"/>
          <w:highlight w:val="none"/>
          <w:lang w:eastAsia="zh-CN"/>
          <w14:textFill>
            <w14:solidFill>
              <w14:schemeClr w14:val="tx1"/>
            </w14:solidFill>
          </w14:textFill>
        </w:rPr>
        <w:t>余款，支付合同</w:t>
      </w:r>
      <w:r>
        <w:rPr>
          <w:rFonts w:hint="eastAsia" w:ascii="宋体" w:hAnsi="宋体" w:cstheme="minorBidi"/>
          <w:color w:val="000000" w:themeColor="text1"/>
          <w:szCs w:val="21"/>
          <w:highlight w:val="none"/>
          <w14:textFill>
            <w14:solidFill>
              <w14:schemeClr w14:val="tx1"/>
            </w14:solidFill>
          </w14:textFill>
        </w:rPr>
        <w:t>总价</w:t>
      </w:r>
      <w:r>
        <w:rPr>
          <w:rFonts w:hint="eastAsia" w:ascii="宋体" w:hAnsi="宋体" w:cstheme="minorBidi"/>
          <w:color w:val="000000" w:themeColor="text1"/>
          <w:szCs w:val="21"/>
          <w:highlight w:val="none"/>
          <w:u w:val="single"/>
          <w14:textFill>
            <w14:solidFill>
              <w14:schemeClr w14:val="tx1"/>
            </w14:solidFill>
          </w14:textFill>
        </w:rPr>
        <w:t xml:space="preserve"> 20 %</w:t>
      </w:r>
      <w:r>
        <w:rPr>
          <w:rFonts w:hint="eastAsia" w:ascii="宋体" w:hAnsi="宋体" w:cstheme="minorBidi"/>
          <w:color w:val="000000" w:themeColor="text1"/>
          <w:szCs w:val="21"/>
          <w:highlight w:val="none"/>
          <w14:textFill>
            <w14:solidFill>
              <w14:schemeClr w14:val="tx1"/>
            </w14:solidFill>
          </w14:textFill>
        </w:rPr>
        <w:t>的违约金，并且给甲方造成的经济损失由乙方承担赔偿责任。</w:t>
      </w:r>
    </w:p>
    <w:p w14:paraId="70E8100C">
      <w:pPr>
        <w:pStyle w:val="29"/>
        <w:numPr>
          <w:ilvl w:val="0"/>
          <w:numId w:val="105"/>
        </w:numPr>
        <w:tabs>
          <w:tab w:val="left" w:pos="840"/>
        </w:tabs>
        <w:ind w:left="425" w:hanging="425" w:firstLineChars="0"/>
        <w:rPr>
          <w:rFonts w:hint="eastAsia" w:ascii="宋体" w:hAnsi="宋体" w:cstheme="minorBidi"/>
          <w:color w:val="000000" w:themeColor="text1"/>
          <w:szCs w:val="21"/>
          <w:highlight w:val="none"/>
          <w14:textFill>
            <w14:solidFill>
              <w14:schemeClr w14:val="tx1"/>
            </w14:solidFill>
          </w14:textFill>
        </w:rPr>
      </w:pPr>
      <w:r>
        <w:rPr>
          <w:rFonts w:hint="eastAsia" w:ascii="宋体" w:hAnsi="宋体" w:cstheme="minorBidi"/>
          <w:color w:val="000000" w:themeColor="text1"/>
          <w:szCs w:val="21"/>
          <w:highlight w:val="none"/>
          <w14:textFill>
            <w14:solidFill>
              <w14:schemeClr w14:val="tx1"/>
            </w14:solidFill>
          </w14:textFill>
        </w:rPr>
        <w:t>因乙方原因导致本合同解除或是无法履行的，乙方应向甲方支付合同总价</w:t>
      </w:r>
      <w:r>
        <w:rPr>
          <w:rFonts w:hint="eastAsia" w:ascii="宋体" w:hAnsi="宋体" w:cstheme="minorBidi"/>
          <w:color w:val="000000" w:themeColor="text1"/>
          <w:szCs w:val="21"/>
          <w:highlight w:val="none"/>
          <w:u w:val="single"/>
          <w14:textFill>
            <w14:solidFill>
              <w14:schemeClr w14:val="tx1"/>
            </w14:solidFill>
          </w14:textFill>
        </w:rPr>
        <w:t xml:space="preserve"> 20 %</w:t>
      </w:r>
      <w:r>
        <w:rPr>
          <w:rFonts w:hint="eastAsia" w:ascii="宋体" w:hAnsi="宋体" w:cstheme="minorBidi"/>
          <w:color w:val="000000" w:themeColor="text1"/>
          <w:szCs w:val="21"/>
          <w:highlight w:val="none"/>
          <w14:textFill>
            <w14:solidFill>
              <w14:schemeClr w14:val="tx1"/>
            </w14:solidFill>
          </w14:textFill>
        </w:rPr>
        <w:t>的违约金，并且给甲方造成的经济损失由乙方承担赔偿责任。</w:t>
      </w:r>
    </w:p>
    <w:p w14:paraId="567BEB34">
      <w:pPr>
        <w:pStyle w:val="29"/>
        <w:numPr>
          <w:ilvl w:val="0"/>
          <w:numId w:val="105"/>
        </w:numPr>
        <w:tabs>
          <w:tab w:val="left" w:pos="840"/>
        </w:tabs>
        <w:ind w:left="425" w:hanging="425" w:firstLineChars="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甲方有权从未支付的款项或是履约保证金中直接扣除乙方的违约金，不足的部分由乙方另行补足。</w:t>
      </w:r>
    </w:p>
    <w:p w14:paraId="1EF332DF">
      <w:pPr>
        <w:pStyle w:val="24"/>
        <w:numPr>
          <w:ilvl w:val="0"/>
          <w:numId w:val="84"/>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争议的解决办法</w:t>
      </w:r>
    </w:p>
    <w:p w14:paraId="5E5206A1">
      <w:pPr>
        <w:numPr>
          <w:ilvl w:val="0"/>
          <w:numId w:val="106"/>
        </w:numPr>
        <w:ind w:left="425" w:hanging="42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凡与本合同有关而引起的一切争议，甲乙双方应首先通过友好协商解决，如协商不成，双方同意向东莞市第一人民法院提出诉讼解决。因守约方为实现合同权利而支出的律师费、诉讼费、申请费等一切费用，由违约方承担。</w:t>
      </w:r>
    </w:p>
    <w:p w14:paraId="1279823A">
      <w:pPr>
        <w:numPr>
          <w:ilvl w:val="0"/>
          <w:numId w:val="106"/>
        </w:numPr>
        <w:ind w:left="425" w:hanging="42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在进行法院审理期间，除提交法院审理的事项外，合同其他部分仍继续履行。</w:t>
      </w:r>
    </w:p>
    <w:p w14:paraId="1B19EA7C">
      <w:pPr>
        <w:numPr>
          <w:ilvl w:val="0"/>
          <w:numId w:val="106"/>
        </w:numPr>
        <w:ind w:left="425" w:hanging="42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本合同按照中华人民共和国的法律进行解释。</w:t>
      </w:r>
    </w:p>
    <w:p w14:paraId="4DB57722">
      <w:pPr>
        <w:pStyle w:val="24"/>
        <w:numPr>
          <w:ilvl w:val="0"/>
          <w:numId w:val="84"/>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不可抗力</w:t>
      </w:r>
    </w:p>
    <w:p w14:paraId="3D1CAFF3">
      <w:pPr>
        <w:numPr>
          <w:ilvl w:val="0"/>
          <w:numId w:val="107"/>
        </w:numPr>
        <w:ind w:left="425" w:hanging="42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32FB6905">
      <w:pPr>
        <w:numPr>
          <w:ilvl w:val="0"/>
          <w:numId w:val="107"/>
        </w:numPr>
        <w:ind w:left="425" w:hanging="42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0C53179F">
      <w:pPr>
        <w:pStyle w:val="24"/>
        <w:numPr>
          <w:ilvl w:val="0"/>
          <w:numId w:val="84"/>
        </w:numPr>
        <w:tabs>
          <w:tab w:val="left" w:pos="567"/>
        </w:tabs>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合同生效</w:t>
      </w:r>
    </w:p>
    <w:p w14:paraId="7352D5B8">
      <w:pPr>
        <w:pStyle w:val="24"/>
        <w:numPr>
          <w:ilvl w:val="0"/>
          <w:numId w:val="108"/>
        </w:numPr>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本合同由双方法定代表人或委托代理人签字盖章后立即生效，具有同等法律效力，服务期为合同签订日至</w:t>
      </w:r>
      <w:r>
        <w:rPr>
          <w:rFonts w:hint="eastAsia" w:ascii="宋体" w:hAnsi="宋体" w:eastAsia="宋体"/>
          <w:color w:val="000000" w:themeColor="text1"/>
          <w:szCs w:val="21"/>
          <w:u w:val="single"/>
          <w14:textFill>
            <w14:solidFill>
              <w14:schemeClr w14:val="tx1"/>
            </w14:solidFill>
          </w14:textFill>
        </w:rPr>
        <w:t xml:space="preserve">      年    月    日</w:t>
      </w:r>
      <w:r>
        <w:rPr>
          <w:rFonts w:hint="eastAsia" w:ascii="宋体" w:hAnsi="宋体" w:eastAsia="宋体"/>
          <w:color w:val="000000" w:themeColor="text1"/>
          <w:szCs w:val="21"/>
          <w14:textFill>
            <w14:solidFill>
              <w14:schemeClr w14:val="tx1"/>
            </w14:solidFill>
          </w14:textFill>
        </w:rPr>
        <w:t>，合同有效期随服务期结束而自然终止；</w:t>
      </w:r>
    </w:p>
    <w:p w14:paraId="777BAEEF">
      <w:pPr>
        <w:pStyle w:val="24"/>
        <w:numPr>
          <w:ilvl w:val="0"/>
          <w:numId w:val="108"/>
        </w:numPr>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本合同一式</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份，其中甲方</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份、乙方</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份，采购代理机构</w:t>
      </w:r>
      <w:r>
        <w:rPr>
          <w:rFonts w:hint="eastAsia" w:ascii="宋体" w:hAnsi="宋体" w:eastAsia="宋体"/>
          <w:color w:val="000000" w:themeColor="text1"/>
          <w:szCs w:val="21"/>
          <w:u w:val="single"/>
          <w14:textFill>
            <w14:solidFill>
              <w14:schemeClr w14:val="tx1"/>
            </w14:solidFill>
          </w14:textFill>
        </w:rPr>
        <w:t xml:space="preserve">  壹  </w:t>
      </w:r>
      <w:r>
        <w:rPr>
          <w:rFonts w:hint="eastAsia" w:ascii="宋体" w:hAnsi="宋体" w:eastAsia="宋体"/>
          <w:color w:val="000000" w:themeColor="text1"/>
          <w:szCs w:val="21"/>
          <w14:textFill>
            <w14:solidFill>
              <w14:schemeClr w14:val="tx1"/>
            </w14:solidFill>
          </w14:textFill>
        </w:rPr>
        <w:t>份（须在合同签订之日起5个工作日内递交）</w:t>
      </w:r>
    </w:p>
    <w:p w14:paraId="04A82BAF">
      <w:pPr>
        <w:pStyle w:val="24"/>
        <w:numPr>
          <w:ilvl w:val="0"/>
          <w:numId w:val="84"/>
        </w:numPr>
        <w:tabs>
          <w:tab w:val="left" w:pos="567"/>
        </w:tabs>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其它</w:t>
      </w:r>
    </w:p>
    <w:p w14:paraId="484EE8C5">
      <w:pPr>
        <w:pStyle w:val="24"/>
        <w:numPr>
          <w:ilvl w:val="0"/>
          <w:numId w:val="109"/>
        </w:numPr>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本合同未尽事宜，双方可签订补充合同，补充合同与所有附件均为合同的有效组成部分，与本合同具有同等法律效力；</w:t>
      </w:r>
    </w:p>
    <w:p w14:paraId="287CCBE3">
      <w:pPr>
        <w:pStyle w:val="24"/>
        <w:numPr>
          <w:ilvl w:val="0"/>
          <w:numId w:val="109"/>
        </w:numPr>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在执行本合同的过程中，所有经甲乙双方签署确认的文件（包括会议纪要、补充协议、往来信函、合同附件等）即成为本合同的有效组成部分，其生效日期为双方签字盖章或确认之日期；</w:t>
      </w:r>
    </w:p>
    <w:p w14:paraId="76660835">
      <w:pPr>
        <w:pStyle w:val="24"/>
        <w:numPr>
          <w:ilvl w:val="0"/>
          <w:numId w:val="109"/>
        </w:numPr>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本合同合计</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页A4纸张，缺页之合同为无效合同。</w:t>
      </w:r>
    </w:p>
    <w:p w14:paraId="27C9F255">
      <w:pPr>
        <w:rPr>
          <w:rFonts w:hint="eastAsia" w:ascii="宋体" w:hAnsi="宋体" w:eastAsia="宋体"/>
          <w:color w:val="000000" w:themeColor="text1"/>
          <w:szCs w:val="21"/>
          <w14:textFill>
            <w14:solidFill>
              <w14:schemeClr w14:val="tx1"/>
            </w14:solidFill>
          </w14:textFill>
        </w:rPr>
      </w:pPr>
    </w:p>
    <w:p w14:paraId="7A3C38BD">
      <w:pPr>
        <w:pStyle w:val="2"/>
        <w:rPr>
          <w:rFonts w:hint="eastAsia" w:ascii="宋体" w:hAnsi="宋体" w:eastAsia="宋体"/>
          <w:color w:val="000000" w:themeColor="text1"/>
          <w:szCs w:val="21"/>
          <w14:textFill>
            <w14:solidFill>
              <w14:schemeClr w14:val="tx1"/>
            </w14:solidFill>
          </w14:textFill>
        </w:rPr>
      </w:pPr>
    </w:p>
    <w:p w14:paraId="41E37F83">
      <w:pPr>
        <w:rPr>
          <w:rFonts w:hint="eastAsia"/>
        </w:rPr>
      </w:pP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6FF5D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DB4F38A">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甲方（盖章）：</w:t>
            </w:r>
          </w:p>
        </w:tc>
        <w:tc>
          <w:tcPr>
            <w:tcW w:w="2500" w:type="pct"/>
          </w:tcPr>
          <w:p w14:paraId="2C10FC9F">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乙方(盖章)：</w:t>
            </w:r>
          </w:p>
        </w:tc>
      </w:tr>
      <w:tr w14:paraId="40274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A72771B">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甲方代表人(签字)：</w:t>
            </w:r>
          </w:p>
        </w:tc>
        <w:tc>
          <w:tcPr>
            <w:tcW w:w="2500" w:type="pct"/>
          </w:tcPr>
          <w:p w14:paraId="40889C5D">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乙方代表人(签字)：</w:t>
            </w:r>
          </w:p>
        </w:tc>
      </w:tr>
      <w:tr w14:paraId="6F72A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0294846">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签字日期：</w:t>
            </w:r>
          </w:p>
        </w:tc>
        <w:tc>
          <w:tcPr>
            <w:tcW w:w="2500" w:type="pct"/>
          </w:tcPr>
          <w:p w14:paraId="7B2CE8BB">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签字日期：</w:t>
            </w:r>
          </w:p>
        </w:tc>
      </w:tr>
      <w:tr w14:paraId="462E3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6431B4D">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p>
        </w:tc>
        <w:tc>
          <w:tcPr>
            <w:tcW w:w="2500" w:type="pct"/>
          </w:tcPr>
          <w:p w14:paraId="122F5B38">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p>
        </w:tc>
      </w:tr>
      <w:tr w14:paraId="178B1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3D519F0">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p>
        </w:tc>
        <w:tc>
          <w:tcPr>
            <w:tcW w:w="2500" w:type="pct"/>
          </w:tcPr>
          <w:p w14:paraId="0447928A">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p>
        </w:tc>
      </w:tr>
      <w:tr w14:paraId="58F37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A8727DA">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传真：</w:t>
            </w:r>
          </w:p>
        </w:tc>
        <w:tc>
          <w:tcPr>
            <w:tcW w:w="2500" w:type="pct"/>
          </w:tcPr>
          <w:p w14:paraId="48040347">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传真：</w:t>
            </w:r>
          </w:p>
        </w:tc>
      </w:tr>
      <w:tr w14:paraId="25331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90CBFC8">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开户银行：</w:t>
            </w:r>
          </w:p>
        </w:tc>
        <w:tc>
          <w:tcPr>
            <w:tcW w:w="2500" w:type="pct"/>
          </w:tcPr>
          <w:p w14:paraId="71D956FF">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开户银行：</w:t>
            </w:r>
          </w:p>
        </w:tc>
      </w:tr>
      <w:tr w14:paraId="41B90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76C0A9B">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银行账户：</w:t>
            </w:r>
          </w:p>
        </w:tc>
        <w:tc>
          <w:tcPr>
            <w:tcW w:w="2500" w:type="pct"/>
          </w:tcPr>
          <w:p w14:paraId="18E846F8">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银行账户：</w:t>
            </w:r>
          </w:p>
        </w:tc>
      </w:tr>
    </w:tbl>
    <w:p w14:paraId="6CCF74C6">
      <w:pPr>
        <w:pageBreakBefore/>
        <w:widowControl/>
        <w:jc w:val="center"/>
        <w:outlineLvl w:val="1"/>
        <w:rPr>
          <w:rFonts w:ascii="Calibri" w:hAnsi="Calibri" w:eastAsia="宋体" w:cs="Times New Roman"/>
          <w:kern w:val="0"/>
          <w:sz w:val="20"/>
          <w:szCs w:val="20"/>
          <w:lang w:eastAsia="zh-Hans"/>
        </w:rPr>
      </w:pPr>
      <w:bookmarkStart w:id="34" w:name="_Toc169799784"/>
      <w:bookmarkStart w:id="35" w:name="_Toc169807545"/>
      <w:r>
        <w:rPr>
          <w:rFonts w:ascii="Calibri" w:hAnsi="Calibri" w:eastAsia="宋体" w:cs="Times New Roman"/>
          <w:b/>
          <w:kern w:val="0"/>
          <w:sz w:val="36"/>
          <w:szCs w:val="20"/>
          <w:lang w:eastAsia="zh-Hans"/>
        </w:rPr>
        <w:t>第六章 投标文件格式</w:t>
      </w:r>
      <w:bookmarkEnd w:id="34"/>
      <w:bookmarkEnd w:id="35"/>
    </w:p>
    <w:p w14:paraId="6E64B7AB">
      <w:pPr>
        <w:widowControl/>
        <w:jc w:val="left"/>
        <w:rPr>
          <w:rFonts w:ascii="Calibri" w:hAnsi="Calibri" w:eastAsia="宋体" w:cs="Times New Roman"/>
          <w:kern w:val="0"/>
          <w:sz w:val="20"/>
          <w:szCs w:val="20"/>
          <w:lang w:eastAsia="zh-Hans"/>
        </w:rPr>
      </w:pPr>
    </w:p>
    <w:p w14:paraId="45A1297C">
      <w:pPr>
        <w:spacing w:before="652" w:beforeLines="150"/>
        <w:jc w:val="center"/>
        <w:rPr>
          <w:rFonts w:hint="eastAsia" w:ascii="宋体" w:hAnsi="宋体" w:eastAsia="宋体"/>
          <w:b/>
          <w:bCs/>
          <w:sz w:val="72"/>
          <w:szCs w:val="72"/>
          <w:lang w:eastAsia="zh-CN"/>
        </w:rPr>
      </w:pPr>
      <w:bookmarkStart w:id="36" w:name="_Toc169799785"/>
      <w:r>
        <w:rPr>
          <w:rFonts w:hint="eastAsia" w:ascii="宋体" w:hAnsi="宋体" w:eastAsia="宋体"/>
          <w:b/>
          <w:bCs/>
          <w:sz w:val="72"/>
          <w:szCs w:val="72"/>
          <w:lang w:eastAsia="zh-CN"/>
        </w:rPr>
        <w:t>2025年东莞市农药包装废弃物与废旧农膜回收处理项目（二次采购）</w:t>
      </w:r>
    </w:p>
    <w:p w14:paraId="4875A7CD">
      <w:pPr>
        <w:spacing w:before="652" w:beforeLines="150"/>
        <w:jc w:val="center"/>
        <w:rPr>
          <w:rFonts w:hint="eastAsia" w:ascii="宋体" w:hAnsi="宋体" w:eastAsia="宋体"/>
          <w:b/>
          <w:bCs/>
          <w:spacing w:val="20"/>
          <w:sz w:val="80"/>
          <w:szCs w:val="80"/>
        </w:rPr>
      </w:pPr>
      <w:r>
        <w:rPr>
          <w:rFonts w:ascii="宋体" w:hAnsi="宋体" w:eastAsia="宋体"/>
          <w:b/>
          <w:bCs/>
          <w:spacing w:val="20"/>
          <w:sz w:val="80"/>
          <w:szCs w:val="80"/>
        </w:rPr>
        <w:t>投标文件</w:t>
      </w:r>
      <w:bookmarkEnd w:id="36"/>
    </w:p>
    <w:p w14:paraId="26B5B858">
      <w:pPr>
        <w:jc w:val="center"/>
        <w:rPr>
          <w:rFonts w:hint="eastAsia" w:ascii="宋体" w:hAnsi="宋体" w:eastAsia="宋体"/>
          <w:b/>
          <w:bCs/>
        </w:rPr>
      </w:pPr>
      <w:bookmarkStart w:id="37" w:name="_Toc169799786"/>
      <w:r>
        <w:rPr>
          <w:rFonts w:ascii="宋体" w:hAnsi="宋体" w:eastAsia="宋体"/>
          <w:b/>
          <w:bCs/>
          <w:sz w:val="44"/>
          <w:szCs w:val="48"/>
        </w:rPr>
        <w:t>（正本/副本）</w:t>
      </w:r>
      <w:bookmarkEnd w:id="37"/>
      <w:r>
        <w:rPr>
          <w:rFonts w:ascii="宋体" w:hAnsi="宋体" w:eastAsia="宋体"/>
          <w:b/>
          <w:bCs/>
        </w:rPr>
        <w:br w:type="textWrapping"/>
      </w:r>
    </w:p>
    <w:p w14:paraId="729251CD">
      <w:pPr>
        <w:keepNext w:val="0"/>
        <w:keepLines w:val="0"/>
        <w:pageBreakBefore w:val="0"/>
        <w:widowControl/>
        <w:kinsoku/>
        <w:wordWrap/>
        <w:overflowPunct/>
        <w:topLinePunct w:val="0"/>
        <w:autoSpaceDE/>
        <w:autoSpaceDN/>
        <w:bidi w:val="0"/>
        <w:adjustRightInd/>
        <w:snapToGrid/>
        <w:spacing w:before="2612" w:beforeLines="600" w:line="360" w:lineRule="auto"/>
        <w:ind w:firstLine="1558" w:firstLineChars="485"/>
        <w:jc w:val="left"/>
        <w:textAlignment w:val="auto"/>
        <w:outlineLvl w:val="3"/>
        <w:rPr>
          <w:rFonts w:hint="eastAsia" w:ascii="宋体" w:hAnsi="宋体" w:eastAsia="宋体" w:cs="Times New Roman"/>
          <w:kern w:val="0"/>
          <w:sz w:val="32"/>
          <w:szCs w:val="32"/>
          <w:lang w:eastAsia="zh-CN"/>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lang w:eastAsia="zh-CN"/>
        </w:rPr>
        <w:t>ZHDGZC2025070-1</w:t>
      </w:r>
    </w:p>
    <w:p w14:paraId="6E0AE3BA">
      <w:pPr>
        <w:widowControl/>
        <w:spacing w:line="360" w:lineRule="auto"/>
        <w:ind w:firstLine="1558" w:firstLineChars="485"/>
        <w:jc w:val="left"/>
        <w:outlineLvl w:val="3"/>
        <w:rPr>
          <w:rFonts w:hint="eastAsia"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24CFC1F6">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026E6303">
      <w:pPr>
        <w:widowControl/>
        <w:jc w:val="left"/>
        <w:rPr>
          <w:rFonts w:ascii="Calibri" w:hAnsi="Calibri" w:eastAsia="宋体" w:cs="Times New Roman"/>
          <w:kern w:val="0"/>
          <w:sz w:val="20"/>
          <w:szCs w:val="20"/>
        </w:rPr>
      </w:pPr>
    </w:p>
    <w:p w14:paraId="3DDC0592">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投标文件目录</w:t>
      </w:r>
    </w:p>
    <w:p w14:paraId="76CE1473">
      <w:pPr>
        <w:widowControl/>
        <w:numPr>
          <w:ilvl w:val="0"/>
          <w:numId w:val="110"/>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投标函</w:t>
      </w:r>
    </w:p>
    <w:p w14:paraId="3F9B463A">
      <w:pPr>
        <w:widowControl/>
        <w:numPr>
          <w:ilvl w:val="0"/>
          <w:numId w:val="110"/>
        </w:numPr>
        <w:ind w:left="0" w:leftChars="0" w:firstLine="420" w:firstLineChars="0"/>
        <w:jc w:val="left"/>
        <w:rPr>
          <w:rFonts w:ascii="Calibri" w:hAnsi="Calibri" w:eastAsia="宋体" w:cs="Times New Roman"/>
          <w:kern w:val="0"/>
          <w:szCs w:val="21"/>
        </w:rPr>
      </w:pPr>
      <w:r>
        <w:rPr>
          <w:rFonts w:ascii="Calibri" w:hAnsi="Calibri" w:eastAsia="宋体" w:cs="Times New Roman"/>
          <w:kern w:val="0"/>
          <w:szCs w:val="21"/>
          <w:lang w:eastAsia="zh-Hans"/>
        </w:rPr>
        <w:t>开标一览表</w:t>
      </w:r>
    </w:p>
    <w:p w14:paraId="11DFACB0">
      <w:pPr>
        <w:widowControl/>
        <w:numPr>
          <w:ilvl w:val="0"/>
          <w:numId w:val="110"/>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lang w:eastAsia="zh-Hans"/>
        </w:rPr>
        <w:t>中小企业声明函</w:t>
      </w:r>
    </w:p>
    <w:p w14:paraId="45CABB0A">
      <w:pPr>
        <w:widowControl/>
        <w:numPr>
          <w:ilvl w:val="0"/>
          <w:numId w:val="110"/>
        </w:numPr>
        <w:ind w:left="0" w:leftChars="0" w:firstLine="420" w:firstLineChars="0"/>
        <w:jc w:val="left"/>
        <w:rPr>
          <w:rFonts w:ascii="Calibri" w:hAnsi="Calibri" w:eastAsia="宋体" w:cs="Times New Roman"/>
          <w:kern w:val="0"/>
          <w:szCs w:val="21"/>
        </w:rPr>
      </w:pPr>
      <w:r>
        <w:rPr>
          <w:rFonts w:ascii="Calibri" w:hAnsi="Calibri" w:eastAsia="宋体" w:cs="Times New Roman"/>
          <w:kern w:val="0"/>
          <w:szCs w:val="21"/>
          <w:lang w:eastAsia="zh-Hans"/>
        </w:rPr>
        <w:t>政策适用性说明</w:t>
      </w:r>
    </w:p>
    <w:p w14:paraId="55487186">
      <w:pPr>
        <w:widowControl/>
        <w:numPr>
          <w:ilvl w:val="0"/>
          <w:numId w:val="110"/>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rPr>
        <w:t>联合体共同投标协议书</w:t>
      </w:r>
    </w:p>
    <w:p w14:paraId="33D91877">
      <w:pPr>
        <w:widowControl/>
        <w:numPr>
          <w:ilvl w:val="0"/>
          <w:numId w:val="110"/>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法定代表人证明书</w:t>
      </w:r>
    </w:p>
    <w:p w14:paraId="2932B4C4">
      <w:pPr>
        <w:widowControl/>
        <w:numPr>
          <w:ilvl w:val="0"/>
          <w:numId w:val="110"/>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法定代表人授权</w:t>
      </w:r>
      <w:r>
        <w:rPr>
          <w:rFonts w:hint="eastAsia" w:ascii="Calibri" w:hAnsi="Calibri" w:eastAsia="宋体" w:cs="Times New Roman"/>
          <w:kern w:val="0"/>
          <w:szCs w:val="21"/>
          <w:lang w:eastAsia="zh-Hans"/>
        </w:rPr>
        <w:t>委托</w:t>
      </w:r>
      <w:r>
        <w:rPr>
          <w:rFonts w:ascii="Calibri" w:hAnsi="Calibri" w:eastAsia="宋体" w:cs="Times New Roman"/>
          <w:kern w:val="0"/>
          <w:szCs w:val="21"/>
          <w:lang w:eastAsia="zh-Hans"/>
        </w:rPr>
        <w:t>书</w:t>
      </w:r>
    </w:p>
    <w:p w14:paraId="6E10553C">
      <w:pPr>
        <w:widowControl/>
        <w:numPr>
          <w:ilvl w:val="0"/>
          <w:numId w:val="110"/>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rPr>
        <w:t>资格条件承诺函</w:t>
      </w:r>
    </w:p>
    <w:p w14:paraId="6875640E">
      <w:pPr>
        <w:widowControl/>
        <w:numPr>
          <w:ilvl w:val="0"/>
          <w:numId w:val="110"/>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提供具有独立承担民事责任的能力的证明材料</w:t>
      </w:r>
    </w:p>
    <w:p w14:paraId="07C211FB">
      <w:pPr>
        <w:widowControl/>
        <w:numPr>
          <w:ilvl w:val="0"/>
          <w:numId w:val="110"/>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lang w:eastAsia="zh-Hans"/>
        </w:rPr>
        <w:t>拟投入本项目设备情况表</w:t>
      </w:r>
    </w:p>
    <w:p w14:paraId="6DB9FD64">
      <w:pPr>
        <w:widowControl/>
        <w:numPr>
          <w:ilvl w:val="0"/>
          <w:numId w:val="110"/>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项目技术服务人员情况表</w:t>
      </w:r>
    </w:p>
    <w:p w14:paraId="2061535F">
      <w:pPr>
        <w:widowControl/>
        <w:numPr>
          <w:ilvl w:val="0"/>
          <w:numId w:val="110"/>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项目负责人简历表</w:t>
      </w:r>
    </w:p>
    <w:p w14:paraId="17F67A23">
      <w:pPr>
        <w:widowControl/>
        <w:numPr>
          <w:ilvl w:val="0"/>
          <w:numId w:val="110"/>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投标人业绩情况表</w:t>
      </w:r>
    </w:p>
    <w:p w14:paraId="6CBFFA6D">
      <w:pPr>
        <w:widowControl/>
        <w:numPr>
          <w:ilvl w:val="0"/>
          <w:numId w:val="110"/>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技术和服务要求响应表</w:t>
      </w:r>
    </w:p>
    <w:p w14:paraId="6D4040CF">
      <w:pPr>
        <w:widowControl/>
        <w:numPr>
          <w:ilvl w:val="0"/>
          <w:numId w:val="110"/>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商务条件响应表</w:t>
      </w:r>
    </w:p>
    <w:p w14:paraId="148A9326">
      <w:pPr>
        <w:widowControl/>
        <w:numPr>
          <w:ilvl w:val="0"/>
          <w:numId w:val="110"/>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lang w:eastAsia="zh-Hans"/>
        </w:rPr>
        <w:t>各类证明材料</w:t>
      </w:r>
    </w:p>
    <w:p w14:paraId="0FFB6F1A">
      <w:pPr>
        <w:widowControl/>
        <w:numPr>
          <w:ilvl w:val="0"/>
          <w:numId w:val="110"/>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采购代理服务费支付承诺书</w:t>
      </w:r>
    </w:p>
    <w:p w14:paraId="2B5B4E3E">
      <w:pPr>
        <w:widowControl/>
        <w:numPr>
          <w:ilvl w:val="0"/>
          <w:numId w:val="110"/>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询问函、质疑函、投诉书格式</w:t>
      </w:r>
    </w:p>
    <w:p w14:paraId="41B7F171">
      <w:pPr>
        <w:widowControl/>
        <w:numPr>
          <w:ilvl w:val="0"/>
          <w:numId w:val="110"/>
        </w:numPr>
        <w:ind w:left="0" w:leftChars="0" w:firstLine="420"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项目实施方案、质量保证及售后服务承诺等</w:t>
      </w:r>
    </w:p>
    <w:p w14:paraId="4BDDE74B">
      <w:pPr>
        <w:widowControl/>
        <w:jc w:val="left"/>
        <w:rPr>
          <w:rFonts w:ascii="Calibri" w:hAnsi="Calibri" w:eastAsia="宋体" w:cs="Times New Roman"/>
          <w:kern w:val="0"/>
          <w:sz w:val="20"/>
          <w:szCs w:val="20"/>
        </w:rPr>
      </w:pPr>
    </w:p>
    <w:p w14:paraId="027BAB7B">
      <w:pPr>
        <w:widowControl/>
        <w:jc w:val="left"/>
        <w:rPr>
          <w:rFonts w:ascii="Calibri" w:hAnsi="Calibri" w:eastAsia="宋体" w:cs="Times New Roman"/>
          <w:kern w:val="0"/>
          <w:sz w:val="20"/>
          <w:szCs w:val="20"/>
          <w:lang w:eastAsia="zh-Hans"/>
        </w:rPr>
      </w:pPr>
    </w:p>
    <w:p w14:paraId="6913EAB6">
      <w:pPr>
        <w:pageBreakBefore/>
        <w:rPr>
          <w:rFonts w:hint="eastAsia" w:ascii="宋体" w:hAnsi="宋体" w:eastAsia="宋体"/>
          <w:b/>
          <w:bCs/>
        </w:rPr>
      </w:pPr>
      <w:r>
        <w:rPr>
          <w:rFonts w:hint="eastAsia" w:ascii="宋体" w:hAnsi="宋体" w:eastAsia="宋体"/>
          <w:b/>
          <w:bCs/>
          <w:sz w:val="24"/>
          <w:szCs w:val="28"/>
        </w:rPr>
        <w:t>资格、符合性审查索引表格式</w:t>
      </w:r>
    </w:p>
    <w:p w14:paraId="05A6A598">
      <w:pPr>
        <w:keepLines/>
        <w:tabs>
          <w:tab w:val="left" w:pos="284"/>
          <w:tab w:val="left" w:pos="426"/>
          <w:tab w:val="left" w:pos="709"/>
        </w:tabs>
        <w:spacing w:before="217" w:beforeLines="50" w:after="217" w:afterLines="50"/>
        <w:jc w:val="center"/>
        <w:rPr>
          <w:rFonts w:hint="eastAsia" w:ascii="宋体" w:hAnsi="宋体" w:eastAsia="宋体"/>
          <w:b/>
          <w:bCs/>
          <w:szCs w:val="21"/>
        </w:rPr>
      </w:pPr>
      <w:r>
        <w:rPr>
          <w:rFonts w:hint="eastAsia" w:ascii="宋体" w:hAnsi="宋体" w:eastAsia="宋体"/>
          <w:b/>
          <w:bCs/>
          <w:sz w:val="28"/>
          <w:szCs w:val="28"/>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76B29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3F917BF">
            <w:pPr>
              <w:spacing w:line="360" w:lineRule="auto"/>
              <w:jc w:val="left"/>
              <w:rPr>
                <w:rFonts w:hint="eastAsia" w:ascii="宋体" w:hAnsi="宋体" w:eastAsia="宋体"/>
                <w:b/>
                <w:bCs/>
                <w:color w:val="000000" w:themeColor="text1"/>
                <w:spacing w:val="-10"/>
                <w:szCs w:val="21"/>
                <w14:textFill>
                  <w14:solidFill>
                    <w14:schemeClr w14:val="tx1"/>
                  </w14:solidFill>
                </w14:textFill>
              </w:rPr>
            </w:pPr>
            <w:r>
              <w:rPr>
                <w:rFonts w:hint="eastAsia" w:ascii="宋体" w:hAnsi="宋体" w:eastAsia="宋体" w:cs="Times New Roman"/>
                <w:b/>
                <w:color w:val="000000" w:themeColor="text1"/>
                <w:spacing w:val="20"/>
                <w:sz w:val="24"/>
                <w:szCs w:val="24"/>
                <w14:textFill>
                  <w14:solidFill>
                    <w14:schemeClr w14:val="tx1"/>
                  </w14:solidFill>
                </w14:textFill>
              </w:rPr>
              <w:t>资格性审查</w:t>
            </w:r>
          </w:p>
        </w:tc>
      </w:tr>
      <w:tr w14:paraId="5187C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30F785D4">
            <w:pPr>
              <w:spacing w:line="360" w:lineRule="auto"/>
              <w:jc w:val="center"/>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24B43140">
            <w:pPr>
              <w:spacing w:line="360" w:lineRule="auto"/>
              <w:ind w:left="211" w:hanging="211" w:hangingChars="100"/>
              <w:jc w:val="center"/>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5E482AC9">
            <w:pPr>
              <w:spacing w:line="360" w:lineRule="auto"/>
              <w:jc w:val="center"/>
              <w:rPr>
                <w:rFonts w:hint="eastAsia" w:ascii="宋体" w:hAnsi="宋体" w:eastAsia="宋体"/>
                <w:b/>
                <w:bCs/>
                <w:color w:val="000000" w:themeColor="text1"/>
                <w:spacing w:val="-10"/>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59E2D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0A8B87">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1</w:t>
            </w:r>
          </w:p>
        </w:tc>
        <w:tc>
          <w:tcPr>
            <w:tcW w:w="3124" w:type="pct"/>
            <w:tcBorders>
              <w:tl2br w:val="nil"/>
            </w:tcBorders>
            <w:vAlign w:val="center"/>
          </w:tcPr>
          <w:p w14:paraId="4698C592">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4ADAAC61">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0202C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DAFBE52">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2</w:t>
            </w:r>
          </w:p>
        </w:tc>
        <w:tc>
          <w:tcPr>
            <w:tcW w:w="3124" w:type="pct"/>
            <w:vAlign w:val="center"/>
          </w:tcPr>
          <w:p w14:paraId="455DD261">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0CD5A8EF">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6EFCD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DDFE7C3">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3</w:t>
            </w:r>
          </w:p>
        </w:tc>
        <w:tc>
          <w:tcPr>
            <w:tcW w:w="3124" w:type="pct"/>
            <w:vAlign w:val="center"/>
          </w:tcPr>
          <w:p w14:paraId="09D69D53">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75759FFC">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2ECEF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FBCFF18">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w:t>
            </w:r>
          </w:p>
        </w:tc>
        <w:tc>
          <w:tcPr>
            <w:tcW w:w="3124" w:type="pct"/>
            <w:vAlign w:val="center"/>
          </w:tcPr>
          <w:p w14:paraId="25CC3AB1">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096DF286">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05E29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202918E4">
            <w:pPr>
              <w:spacing w:line="360" w:lineRule="auto"/>
              <w:jc w:val="left"/>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sz w:val="24"/>
                <w:szCs w:val="24"/>
              </w:rPr>
              <w:t>符合性审查</w:t>
            </w:r>
          </w:p>
        </w:tc>
      </w:tr>
      <w:tr w14:paraId="4B3BB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A143C94">
            <w:pPr>
              <w:spacing w:line="360" w:lineRule="auto"/>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vAlign w:val="center"/>
          </w:tcPr>
          <w:p w14:paraId="05692C24">
            <w:pPr>
              <w:spacing w:line="360" w:lineRule="auto"/>
              <w:jc w:val="center"/>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73E16B0A">
            <w:pPr>
              <w:spacing w:line="360" w:lineRule="auto"/>
              <w:jc w:val="center"/>
              <w:rPr>
                <w:rFonts w:hint="eastAsia" w:ascii="宋体" w:hAnsi="宋体" w:eastAsia="宋体"/>
                <w:b/>
                <w:bCs/>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E2A1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931C4A">
            <w:pPr>
              <w:spacing w:line="360" w:lineRule="auto"/>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3124" w:type="pct"/>
            <w:vAlign w:val="center"/>
          </w:tcPr>
          <w:p w14:paraId="3F2DC783">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3FCDAF1A">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r w14:paraId="1E883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0702E41">
            <w:pPr>
              <w:spacing w:line="360" w:lineRule="auto"/>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3124" w:type="pct"/>
            <w:vAlign w:val="center"/>
          </w:tcPr>
          <w:p w14:paraId="6BD2E774">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17D0355F">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r w14:paraId="54653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32C91AF">
            <w:pPr>
              <w:spacing w:line="360" w:lineRule="auto"/>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p>
        </w:tc>
        <w:tc>
          <w:tcPr>
            <w:tcW w:w="3124" w:type="pct"/>
            <w:vAlign w:val="center"/>
          </w:tcPr>
          <w:p w14:paraId="4C18F4E6">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699E47EF">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r w14:paraId="550F1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20A39B6">
            <w:pPr>
              <w:spacing w:line="360" w:lineRule="auto"/>
              <w:jc w:val="center"/>
              <w:rPr>
                <w:rFonts w:hint="eastAsia"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w:t>
            </w:r>
          </w:p>
        </w:tc>
        <w:tc>
          <w:tcPr>
            <w:tcW w:w="3124" w:type="pct"/>
            <w:vAlign w:val="center"/>
          </w:tcPr>
          <w:p w14:paraId="69866075">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7AEDEA1A">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bl>
    <w:p w14:paraId="2933BC83">
      <w:pPr>
        <w:spacing w:before="217" w:beforeLines="50" w:line="360" w:lineRule="auto"/>
        <w:rPr>
          <w:rFonts w:hint="eastAsia" w:ascii="宋体" w:hAnsi="宋体" w:eastAsia="宋体"/>
          <w:color w:val="000000" w:themeColor="text1"/>
          <w:spacing w:val="-6"/>
          <w:szCs w:val="21"/>
          <w14:textFill>
            <w14:solidFill>
              <w14:schemeClr w14:val="tx1"/>
            </w14:solidFill>
          </w14:textFill>
        </w:rPr>
      </w:pPr>
      <w:r>
        <w:rPr>
          <w:rFonts w:hint="eastAsia" w:ascii="宋体" w:hAnsi="宋体" w:eastAsia="宋体"/>
          <w:color w:val="000000" w:themeColor="text1"/>
          <w:spacing w:val="-6"/>
          <w:szCs w:val="21"/>
          <w14:textFill>
            <w14:solidFill>
              <w14:schemeClr w14:val="tx1"/>
            </w14:solidFill>
          </w14:textFill>
        </w:rPr>
        <w:t>注：</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审查内容</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 xml:space="preserve">按招标文件《第四章 </w:t>
      </w:r>
      <w:r>
        <w:rPr>
          <w:rFonts w:ascii="宋体" w:hAnsi="宋体" w:eastAsia="宋体"/>
          <w:color w:val="000000" w:themeColor="text1"/>
          <w:spacing w:val="-6"/>
          <w:szCs w:val="21"/>
          <w14:textFill>
            <w14:solidFill>
              <w14:schemeClr w14:val="tx1"/>
            </w14:solidFill>
          </w14:textFill>
        </w:rPr>
        <w:t>评标</w:t>
      </w:r>
      <w:r>
        <w:rPr>
          <w:rFonts w:hint="eastAsia" w:ascii="宋体" w:hAnsi="宋体" w:eastAsia="宋体"/>
          <w:color w:val="000000" w:themeColor="text1"/>
          <w:spacing w:val="-6"/>
          <w:szCs w:val="21"/>
          <w14:textFill>
            <w14:solidFill>
              <w14:schemeClr w14:val="tx1"/>
            </w14:solidFill>
          </w14:textFill>
        </w:rPr>
        <w:t>》之</w:t>
      </w:r>
      <w:r>
        <w:rPr>
          <w:rFonts w:ascii="宋体" w:hAnsi="宋体" w:eastAsia="宋体" w:cs="Times New Roman"/>
          <w:b/>
          <w:bCs/>
          <w:spacing w:val="-6"/>
          <w:kern w:val="0"/>
          <w:szCs w:val="21"/>
          <w:u w:val="single"/>
          <w:lang w:eastAsia="zh-Hans"/>
        </w:rPr>
        <w:t>表一资格性审查表</w:t>
      </w:r>
      <w:r>
        <w:rPr>
          <w:rFonts w:hint="eastAsia" w:ascii="宋体" w:hAnsi="宋体" w:eastAsia="宋体" w:cs="Times New Roman"/>
          <w:b/>
          <w:bCs/>
          <w:spacing w:val="-6"/>
          <w:kern w:val="0"/>
          <w:szCs w:val="21"/>
          <w:u w:val="single"/>
          <w:lang w:eastAsia="zh-Hans"/>
        </w:rPr>
        <w:t>、</w:t>
      </w:r>
      <w:r>
        <w:rPr>
          <w:rFonts w:hint="eastAsia" w:ascii="宋体" w:hAnsi="宋体" w:eastAsia="宋体"/>
          <w:b/>
          <w:bCs/>
          <w:color w:val="000000" w:themeColor="text1"/>
          <w:spacing w:val="-6"/>
          <w:szCs w:val="21"/>
          <w:u w:val="single"/>
          <w14:textFill>
            <w14:solidFill>
              <w14:schemeClr w14:val="tx1"/>
            </w14:solidFill>
          </w14:textFill>
        </w:rPr>
        <w:t>表二符合性审查表</w:t>
      </w:r>
      <w:r>
        <w:rPr>
          <w:rFonts w:hint="eastAsia" w:ascii="宋体" w:hAnsi="宋体" w:eastAsia="宋体"/>
          <w:color w:val="000000" w:themeColor="text1"/>
          <w:spacing w:val="-6"/>
          <w:szCs w:val="21"/>
          <w14:textFill>
            <w14:solidFill>
              <w14:schemeClr w14:val="tx1"/>
            </w14:solidFill>
          </w14:textFill>
        </w:rPr>
        <w:t>相对应条款填写。</w:t>
      </w:r>
    </w:p>
    <w:p w14:paraId="62641D2A">
      <w:pPr>
        <w:pageBreakBefore/>
        <w:tabs>
          <w:tab w:val="left" w:pos="284"/>
          <w:tab w:val="left" w:pos="426"/>
          <w:tab w:val="left" w:pos="709"/>
        </w:tabs>
        <w:jc w:val="left"/>
        <w:rPr>
          <w:rFonts w:hint="eastAsia" w:ascii="宋体" w:hAnsi="宋体" w:eastAsia="宋体"/>
          <w:b/>
          <w:bCs/>
          <w:szCs w:val="21"/>
        </w:rPr>
      </w:pPr>
      <w:bookmarkStart w:id="38" w:name="_Hlk169787866"/>
      <w:r>
        <w:rPr>
          <w:rFonts w:ascii="宋体" w:hAnsi="宋体" w:eastAsia="宋体"/>
          <w:b/>
          <w:bCs/>
          <w:sz w:val="24"/>
          <w:szCs w:val="24"/>
        </w:rPr>
        <w:t>详细评审</w:t>
      </w:r>
      <w:r>
        <w:rPr>
          <w:rFonts w:hint="eastAsia" w:ascii="宋体" w:hAnsi="宋体" w:eastAsia="宋体"/>
          <w:b/>
          <w:bCs/>
          <w:sz w:val="24"/>
          <w:szCs w:val="24"/>
        </w:rPr>
        <w:t>索引表</w:t>
      </w:r>
      <w:bookmarkEnd w:id="38"/>
      <w:r>
        <w:rPr>
          <w:rFonts w:hint="eastAsia" w:ascii="宋体" w:hAnsi="宋体" w:eastAsia="宋体"/>
          <w:b/>
          <w:bCs/>
          <w:sz w:val="24"/>
          <w:szCs w:val="24"/>
        </w:rPr>
        <w:t>格式</w:t>
      </w:r>
    </w:p>
    <w:p w14:paraId="465FA011">
      <w:pPr>
        <w:spacing w:before="435" w:beforeLines="100" w:after="435" w:afterLines="100"/>
        <w:jc w:val="center"/>
        <w:rPr>
          <w:rFonts w:hint="eastAsia" w:ascii="宋体" w:hAnsi="宋体" w:eastAsia="宋体"/>
          <w:b/>
          <w:color w:val="000000" w:themeColor="text1"/>
          <w:spacing w:val="20"/>
          <w:szCs w:val="21"/>
          <w14:textFill>
            <w14:solidFill>
              <w14:schemeClr w14:val="tx1"/>
            </w14:solidFill>
          </w14:textFill>
        </w:rPr>
      </w:pPr>
      <w:r>
        <w:rPr>
          <w:rFonts w:ascii="宋体" w:hAnsi="宋体" w:eastAsia="宋体"/>
          <w:b/>
          <w:color w:val="000000" w:themeColor="text1"/>
          <w:spacing w:val="20"/>
          <w:sz w:val="28"/>
          <w:szCs w:val="28"/>
          <w14:textFill>
            <w14:solidFill>
              <w14:schemeClr w14:val="tx1"/>
            </w14:solidFill>
          </w14:textFill>
        </w:rPr>
        <w:t>详细评审</w:t>
      </w:r>
      <w:r>
        <w:rPr>
          <w:rFonts w:hint="eastAsia" w:ascii="宋体" w:hAnsi="宋体" w:eastAsia="宋体"/>
          <w:b/>
          <w:color w:val="000000" w:themeColor="text1"/>
          <w:spacing w:val="20"/>
          <w:sz w:val="28"/>
          <w:szCs w:val="28"/>
          <w14:textFill>
            <w14:solidFill>
              <w14:schemeClr w14:val="tx1"/>
            </w14:solidFill>
          </w14:textFill>
        </w:rPr>
        <w:t>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D29F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2603EC2">
            <w:pPr>
              <w:spacing w:line="360" w:lineRule="auto"/>
              <w:jc w:val="center"/>
              <w:rPr>
                <w:rFonts w:hint="eastAsia"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商务评审细则</w:t>
            </w:r>
          </w:p>
        </w:tc>
      </w:tr>
      <w:tr w14:paraId="669C1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ACDE39C">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3B69D61A">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7587444A">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36A77EB8">
            <w:pPr>
              <w:spacing w:line="360" w:lineRule="auto"/>
              <w:jc w:val="center"/>
              <w:rPr>
                <w:rFonts w:hint="eastAsia"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01803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11AE71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228EB55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3FA4CA36">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2106EEBD">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56391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69DF67">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4B8A404B">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082CB66E">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656D153E">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1B5B7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1E900B9">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0F633B6D">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62F2B1D6">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0B02BB84">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3AEEB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8D341DE">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225BC0C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0E1A8B05">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11114DDD">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76E67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5B3F556C">
            <w:pPr>
              <w:spacing w:line="360" w:lineRule="auto"/>
              <w:jc w:val="center"/>
              <w:rPr>
                <w:rFonts w:hint="eastAsia"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技术评审细则</w:t>
            </w:r>
          </w:p>
        </w:tc>
      </w:tr>
      <w:tr w14:paraId="40A47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83A2C83">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0DB18B64">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2C69A8D0">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5E12C51D">
            <w:pPr>
              <w:spacing w:line="360" w:lineRule="auto"/>
              <w:jc w:val="center"/>
              <w:rPr>
                <w:rFonts w:hint="eastAsia"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7520F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DAF211">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634AA819">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0148DB77">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29E8B51B">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0A8B0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E2A6F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036FB76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54AF220A">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2347B87E">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2E0FB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0A5B69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1858989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577DBED2">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1CD31DB7">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7E6F1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AFB7E44">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7BFC30D6">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71D34F39">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3739B32D">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2EC0B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783B9CF">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3F9434A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43756B9D">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37947303">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710DC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9F83A62">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5FB63C16">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4137217D">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7CAED5C8">
            <w:pPr>
              <w:spacing w:line="360" w:lineRule="auto"/>
              <w:jc w:val="center"/>
              <w:rPr>
                <w:rFonts w:hint="eastAsia" w:ascii="宋体" w:hAnsi="宋体" w:eastAsia="宋体"/>
                <w:b/>
                <w:color w:val="000000" w:themeColor="text1"/>
                <w:szCs w:val="21"/>
                <w14:textFill>
                  <w14:solidFill>
                    <w14:schemeClr w14:val="tx1"/>
                  </w14:solidFill>
                </w14:textFill>
              </w:rPr>
            </w:pPr>
          </w:p>
        </w:tc>
      </w:tr>
    </w:tbl>
    <w:p w14:paraId="5ACAED60">
      <w:pPr>
        <w:spacing w:before="217" w:beforeLines="50" w:line="36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注：按招标文件</w:t>
      </w:r>
      <w:r>
        <w:rPr>
          <w:rFonts w:ascii="宋体" w:hAnsi="宋体" w:eastAsia="宋体"/>
          <w:color w:val="000000" w:themeColor="text1"/>
          <w:szCs w:val="21"/>
          <w14:textFill>
            <w14:solidFill>
              <w14:schemeClr w14:val="tx1"/>
            </w14:solidFill>
          </w14:textFill>
        </w:rPr>
        <w:t>《第四章 评标》之</w:t>
      </w:r>
      <w:r>
        <w:rPr>
          <w:rFonts w:ascii="宋体" w:hAnsi="宋体" w:eastAsia="宋体"/>
          <w:b/>
          <w:bCs/>
          <w:color w:val="000000" w:themeColor="text1"/>
          <w:szCs w:val="21"/>
          <w:u w:val="single"/>
          <w14:textFill>
            <w14:solidFill>
              <w14:schemeClr w14:val="tx1"/>
            </w14:solidFill>
          </w14:textFill>
        </w:rPr>
        <w:t>详细评审</w:t>
      </w:r>
      <w:r>
        <w:rPr>
          <w:rFonts w:hint="eastAsia" w:ascii="宋体" w:hAnsi="宋体" w:eastAsia="宋体"/>
          <w:b/>
          <w:bCs/>
          <w:color w:val="000000" w:themeColor="text1"/>
          <w:szCs w:val="21"/>
          <w:u w:val="single"/>
          <w14:textFill>
            <w14:solidFill>
              <w14:schemeClr w14:val="tx1"/>
            </w14:solidFill>
          </w14:textFill>
        </w:rPr>
        <w:t>表</w:t>
      </w:r>
      <w:r>
        <w:rPr>
          <w:rFonts w:hint="eastAsia" w:ascii="宋体" w:hAnsi="宋体" w:eastAsia="宋体"/>
          <w:color w:val="000000" w:themeColor="text1"/>
          <w:szCs w:val="21"/>
          <w14:textFill>
            <w14:solidFill>
              <w14:schemeClr w14:val="tx1"/>
            </w14:solidFill>
          </w14:textFill>
        </w:rPr>
        <w:t>相对应条款填写。</w:t>
      </w:r>
    </w:p>
    <w:p w14:paraId="4DFB881F">
      <w:pPr>
        <w:pageBreakBefore/>
        <w:rPr>
          <w:rFonts w:hint="eastAsia" w:ascii="宋体" w:hAnsi="宋体" w:eastAsia="宋体"/>
          <w:b/>
          <w:bCs/>
        </w:rPr>
      </w:pPr>
      <w:bookmarkStart w:id="39" w:name="_Toc169799787"/>
      <w:r>
        <w:rPr>
          <w:rFonts w:ascii="宋体" w:hAnsi="宋体" w:eastAsia="宋体"/>
          <w:b/>
          <w:bCs/>
          <w:sz w:val="24"/>
          <w:szCs w:val="28"/>
        </w:rPr>
        <w:t>格式一：</w:t>
      </w:r>
      <w:bookmarkEnd w:id="39"/>
    </w:p>
    <w:p w14:paraId="7642FB62">
      <w:pPr>
        <w:widowControl/>
        <w:spacing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投标函</w:t>
      </w:r>
    </w:p>
    <w:p w14:paraId="47F3FD58">
      <w:pPr>
        <w:widowControl/>
        <w:spacing w:after="217" w:afterLines="50"/>
        <w:jc w:val="left"/>
        <w:rPr>
          <w:rFonts w:ascii="Calibri" w:hAnsi="Calibri" w:eastAsia="宋体" w:cs="Times New Roman"/>
          <w:b/>
          <w:bCs/>
          <w:kern w:val="0"/>
          <w:sz w:val="20"/>
          <w:szCs w:val="20"/>
          <w:lang w:eastAsia="zh-Hans"/>
        </w:rPr>
      </w:pPr>
      <w:r>
        <w:rPr>
          <w:rFonts w:ascii="Calibri" w:hAnsi="Calibri" w:eastAsia="宋体" w:cs="Times New Roman"/>
          <w:b/>
          <w:bCs/>
          <w:kern w:val="0"/>
          <w:sz w:val="20"/>
          <w:szCs w:val="20"/>
          <w:lang w:eastAsia="zh-Hans"/>
        </w:rPr>
        <w:t>致</w:t>
      </w:r>
      <w:r>
        <w:rPr>
          <w:rFonts w:hint="eastAsia" w:ascii="Calibri" w:hAnsi="Calibri" w:eastAsia="宋体" w:cs="Times New Roman"/>
          <w:b/>
          <w:bCs/>
          <w:kern w:val="0"/>
          <w:sz w:val="20"/>
          <w:szCs w:val="20"/>
          <w:lang w:eastAsia="zh-Hans"/>
        </w:rPr>
        <w:t>：</w:t>
      </w:r>
      <w:r>
        <w:rPr>
          <w:rFonts w:ascii="Calibri" w:hAnsi="Calibri" w:eastAsia="宋体" w:cs="Times New Roman"/>
          <w:b/>
          <w:bCs/>
          <w:kern w:val="0"/>
          <w:sz w:val="20"/>
          <w:szCs w:val="20"/>
          <w:lang w:eastAsia="zh-Hans"/>
        </w:rPr>
        <w:t>广东智汇城市招标采购有限公司</w:t>
      </w:r>
    </w:p>
    <w:p w14:paraId="2BF21779">
      <w:pPr>
        <w:widowControl/>
        <w:ind w:firstLine="200"/>
        <w:jc w:val="left"/>
        <w:rPr>
          <w:rFonts w:ascii="Calibri" w:hAnsi="Calibri" w:eastAsia="宋体" w:cs="Times New Roman"/>
          <w:color w:val="auto"/>
          <w:kern w:val="0"/>
          <w:szCs w:val="21"/>
          <w:lang w:eastAsia="zh-Hans"/>
        </w:rPr>
      </w:pPr>
      <w:r>
        <w:rPr>
          <w:rFonts w:ascii="Calibri" w:hAnsi="Calibri" w:eastAsia="宋体" w:cs="Times New Roman"/>
          <w:kern w:val="0"/>
          <w:szCs w:val="21"/>
          <w:lang w:eastAsia="zh-Hans"/>
        </w:rPr>
        <w:t>你方组织的</w:t>
      </w:r>
      <w:r>
        <w:rPr>
          <w:rFonts w:hint="eastAsia" w:ascii="Calibri" w:hAnsi="Calibri" w:eastAsia="宋体" w:cs="Times New Roman"/>
          <w:kern w:val="0"/>
          <w:szCs w:val="21"/>
          <w:u w:val="single"/>
        </w:rPr>
        <w:t xml:space="preserve">    （项目名称）        </w:t>
      </w:r>
      <w:r>
        <w:rPr>
          <w:rFonts w:hint="eastAsia" w:ascii="Calibri" w:hAnsi="Calibri" w:eastAsia="宋体" w:cs="Times New Roman"/>
          <w:color w:val="auto"/>
          <w:kern w:val="0"/>
          <w:szCs w:val="21"/>
          <w:u w:val="single"/>
        </w:rPr>
        <w:t xml:space="preserve">  </w:t>
      </w:r>
      <w:r>
        <w:rPr>
          <w:rFonts w:ascii="Calibri" w:hAnsi="Calibri" w:eastAsia="宋体" w:cs="Times New Roman"/>
          <w:color w:val="auto"/>
          <w:kern w:val="0"/>
          <w:szCs w:val="21"/>
          <w:lang w:eastAsia="zh-Hans"/>
        </w:rPr>
        <w:t>项目的招标</w:t>
      </w:r>
      <w:r>
        <w:rPr>
          <w:rFonts w:hint="eastAsia" w:ascii="Calibri" w:hAnsi="Calibri" w:eastAsia="宋体" w:cs="Times New Roman"/>
          <w:color w:val="auto"/>
          <w:kern w:val="0"/>
          <w:szCs w:val="21"/>
          <w:lang w:eastAsia="zh-Hans"/>
        </w:rPr>
        <w:t>（</w:t>
      </w:r>
      <w:r>
        <w:rPr>
          <w:rFonts w:ascii="Calibri" w:hAnsi="Calibri" w:eastAsia="宋体" w:cs="Times New Roman"/>
          <w:color w:val="auto"/>
          <w:kern w:val="0"/>
          <w:szCs w:val="21"/>
          <w:lang w:eastAsia="zh-Hans"/>
        </w:rPr>
        <w:t>项目编号为：</w:t>
      </w:r>
      <w:r>
        <w:rPr>
          <w:rFonts w:hint="eastAsia" w:ascii="Calibri" w:hAnsi="Calibri" w:eastAsia="宋体" w:cs="Times New Roman"/>
          <w:color w:val="auto"/>
          <w:kern w:val="0"/>
          <w:szCs w:val="21"/>
          <w:u w:val="single"/>
        </w:rPr>
        <w:t xml:space="preserve">               </w:t>
      </w:r>
      <w:r>
        <w:rPr>
          <w:rFonts w:hint="eastAsia" w:ascii="Calibri" w:hAnsi="Calibri" w:eastAsia="宋体" w:cs="Times New Roman"/>
          <w:color w:val="auto"/>
          <w:kern w:val="0"/>
          <w:szCs w:val="21"/>
        </w:rPr>
        <w:t>）</w:t>
      </w:r>
      <w:r>
        <w:rPr>
          <w:rFonts w:ascii="Calibri" w:hAnsi="Calibri" w:eastAsia="宋体" w:cs="Times New Roman"/>
          <w:color w:val="auto"/>
          <w:kern w:val="0"/>
          <w:szCs w:val="21"/>
          <w:lang w:eastAsia="zh-Hans"/>
        </w:rPr>
        <w:t>，我方愿参与投标。</w:t>
      </w:r>
    </w:p>
    <w:p w14:paraId="24A5E9D7">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我方确认收到贵方提供的</w:t>
      </w:r>
      <w:r>
        <w:rPr>
          <w:rFonts w:hint="eastAsia" w:ascii="宋体" w:hAnsi="宋体" w:eastAsia="宋体" w:cs="Times New Roman"/>
          <w:color w:val="auto"/>
          <w:kern w:val="0"/>
          <w:szCs w:val="21"/>
          <w:u w:val="single"/>
        </w:rPr>
        <w:t xml:space="preserve">      （项目名称）        </w:t>
      </w:r>
      <w:r>
        <w:rPr>
          <w:rFonts w:ascii="宋体" w:hAnsi="宋体" w:eastAsia="宋体" w:cs="Times New Roman"/>
          <w:color w:val="auto"/>
          <w:kern w:val="0"/>
          <w:szCs w:val="21"/>
          <w:lang w:eastAsia="zh-Hans"/>
        </w:rPr>
        <w:t>项目的招标文件的全部内容。</w:t>
      </w:r>
    </w:p>
    <w:p w14:paraId="685886DE">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410105A0">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u w:val="single"/>
          <w:lang w:eastAsia="zh-Hans"/>
        </w:rPr>
        <w:t>(投标人名称)</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作为投标人正式授权</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u w:val="single"/>
          <w:lang w:eastAsia="zh-Hans"/>
        </w:rPr>
        <w:t>(授权代表全名</w:t>
      </w:r>
      <w:r>
        <w:rPr>
          <w:rFonts w:hint="eastAsia" w:ascii="宋体" w:hAnsi="宋体" w:eastAsia="宋体" w:cs="Times New Roman"/>
          <w:color w:val="auto"/>
          <w:kern w:val="0"/>
          <w:szCs w:val="21"/>
          <w:u w:val="single"/>
          <w:lang w:eastAsia="zh-CN"/>
        </w:rPr>
        <w:t>，</w:t>
      </w:r>
      <w:r>
        <w:rPr>
          <w:rFonts w:ascii="宋体" w:hAnsi="宋体" w:eastAsia="宋体" w:cs="Times New Roman"/>
          <w:color w:val="auto"/>
          <w:kern w:val="0"/>
          <w:szCs w:val="21"/>
          <w:u w:val="single"/>
          <w:lang w:eastAsia="zh-Hans"/>
        </w:rPr>
        <w:t>职务)</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代表我方全权处理有关本投标的一切事宜。</w:t>
      </w:r>
    </w:p>
    <w:p w14:paraId="564DE68A">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我方已完全明白招标文件的所有条款要求，并申明如下：</w:t>
      </w:r>
    </w:p>
    <w:p w14:paraId="53ADE9D3">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（一）按招标文件提供的全部货物与相关服务的投标总价详见《开标一览表》。</w:t>
      </w:r>
    </w:p>
    <w:p w14:paraId="6BFFF6C4">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D2D6CFE">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（三）我方明白并同意，在规定的开标日之后，投标有效期之内撤回投标或中标后不按规定与采购人签订合同或不提交履约保证金</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则贵方将不予退还投标保证金。</w:t>
      </w:r>
    </w:p>
    <w:p w14:paraId="036B05CE">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（四）我方愿意向贵方提供任何与本项报价有关的数据、情况和技术资料。若贵方需要，我方愿意提供我方作出的一切承诺的证明材料。</w:t>
      </w:r>
    </w:p>
    <w:p w14:paraId="00E431B0">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（五）我方理解贵方不一定接受最低投标价或任何贵方可能收到的投标。</w:t>
      </w:r>
    </w:p>
    <w:p w14:paraId="6FA31C62">
      <w:pPr>
        <w:widowControl/>
        <w:ind w:firstLine="200"/>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（六）我方如果中标，</w:t>
      </w:r>
      <w:r>
        <w:rPr>
          <w:rFonts w:hint="eastAsia" w:ascii="宋体" w:hAnsi="宋体" w:eastAsia="宋体" w:cs="Times New Roman"/>
          <w:color w:val="auto"/>
          <w:kern w:val="0"/>
          <w:szCs w:val="21"/>
          <w:lang w:eastAsia="zh-Hans"/>
        </w:rPr>
        <w:t>将严格履行合同规定的责任和义务，保证于合同签字生效后按照约定时间完成项目，并交付采购人验收。</w:t>
      </w:r>
    </w:p>
    <w:p w14:paraId="13EA0D14">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（七）我方作为法律、财务和运作上独立于采购人、采购代理机构的投标人，在此保证所提交的所有文件和全部说明是真实的和正确的。</w:t>
      </w:r>
    </w:p>
    <w:p w14:paraId="6B2D5084">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756A784B">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九</w:t>
      </w:r>
      <w:r>
        <w:rPr>
          <w:rFonts w:ascii="宋体" w:hAnsi="宋体" w:eastAsia="宋体" w:cs="Times New Roman"/>
          <w:color w:val="auto"/>
          <w:kern w:val="0"/>
          <w:szCs w:val="21"/>
          <w:lang w:eastAsia="zh-Hans"/>
        </w:rPr>
        <w:t>）我方对在本函及投标文件中所作的所有承诺承担法律责任。</w:t>
      </w:r>
    </w:p>
    <w:p w14:paraId="69B5BF7B">
      <w:pPr>
        <w:widowControl/>
        <w:ind w:firstLine="200"/>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我方如果中标，</w:t>
      </w:r>
      <w:r>
        <w:rPr>
          <w:rFonts w:ascii="宋体" w:hAnsi="宋体" w:eastAsia="宋体" w:cs="Times New Roman"/>
          <w:color w:val="auto"/>
          <w:kern w:val="0"/>
          <w:szCs w:val="21"/>
          <w:lang w:eastAsia="zh-Hans"/>
        </w:rPr>
        <w:t>同意按招标文件规定向采购代理机构缴纳</w:t>
      </w:r>
      <w:r>
        <w:rPr>
          <w:rFonts w:hint="eastAsia" w:ascii="宋体" w:hAnsi="宋体" w:eastAsia="宋体" w:cs="Times New Roman"/>
          <w:color w:val="auto"/>
          <w:kern w:val="0"/>
          <w:szCs w:val="21"/>
          <w:lang w:eastAsia="zh-Hans"/>
        </w:rPr>
        <w:t>招标代理</w:t>
      </w:r>
      <w:r>
        <w:rPr>
          <w:rFonts w:ascii="宋体" w:hAnsi="宋体" w:eastAsia="宋体" w:cs="Times New Roman"/>
          <w:color w:val="auto"/>
          <w:kern w:val="0"/>
          <w:szCs w:val="21"/>
          <w:lang w:eastAsia="zh-Hans"/>
        </w:rPr>
        <w:t>服务费。</w:t>
      </w:r>
    </w:p>
    <w:p w14:paraId="0D94CF9A">
      <w:pPr>
        <w:widowControl/>
        <w:spacing w:after="870" w:afterLines="200"/>
        <w:ind w:firstLine="198"/>
        <w:jc w:val="left"/>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（十一）</w:t>
      </w:r>
      <w:r>
        <w:rPr>
          <w:rFonts w:ascii="宋体" w:hAnsi="宋体" w:eastAsia="宋体" w:cs="Times New Roman"/>
          <w:color w:val="auto"/>
          <w:kern w:val="0"/>
          <w:szCs w:val="21"/>
          <w:lang w:eastAsia="zh-Hans"/>
        </w:rPr>
        <w:t>所有与本招标有关的函件请发往下列地址：</w:t>
      </w:r>
    </w:p>
    <w:p w14:paraId="11CC68F8">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邮政编码：</w:t>
      </w:r>
      <w:r>
        <w:rPr>
          <w:rFonts w:hint="eastAsia" w:ascii="宋体" w:hAnsi="宋体" w:eastAsia="宋体" w:cs="Times New Roman"/>
          <w:kern w:val="0"/>
          <w:szCs w:val="21"/>
          <w:u w:val="single"/>
        </w:rPr>
        <w:t xml:space="preserve">                               </w:t>
      </w:r>
    </w:p>
    <w:p w14:paraId="5B067B82">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电 话：</w:t>
      </w:r>
      <w:r>
        <w:rPr>
          <w:rFonts w:hint="eastAsia" w:ascii="宋体" w:hAnsi="宋体" w:eastAsia="宋体" w:cs="Times New Roman"/>
          <w:kern w:val="0"/>
          <w:szCs w:val="21"/>
          <w:u w:val="single"/>
        </w:rPr>
        <w:t xml:space="preserve">                                </w:t>
      </w:r>
    </w:p>
    <w:p w14:paraId="7788620A">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传 真：</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电子邮箱：</w:t>
      </w:r>
      <w:r>
        <w:rPr>
          <w:rFonts w:hint="eastAsia" w:ascii="宋体" w:hAnsi="宋体" w:eastAsia="宋体" w:cs="Times New Roman"/>
          <w:kern w:val="0"/>
          <w:szCs w:val="21"/>
          <w:u w:val="single"/>
        </w:rPr>
        <w:t xml:space="preserve">                               </w:t>
      </w:r>
    </w:p>
    <w:p w14:paraId="5D10CFA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代表姓名</w:t>
      </w:r>
      <w:r>
        <w:rPr>
          <w:rFonts w:hint="eastAsia"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 务：</w:t>
      </w:r>
      <w:r>
        <w:rPr>
          <w:rFonts w:hint="eastAsia" w:ascii="宋体" w:hAnsi="宋体" w:eastAsia="宋体" w:cs="Times New Roman"/>
          <w:kern w:val="0"/>
          <w:szCs w:val="21"/>
          <w:u w:val="single"/>
        </w:rPr>
        <w:t xml:space="preserve">                                  </w:t>
      </w:r>
    </w:p>
    <w:p w14:paraId="36CB964E">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投标人法定代表人（或法定代表人授权代表）签字或盖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5980F588">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投标人名称（盖章）：</w:t>
      </w:r>
      <w:r>
        <w:rPr>
          <w:rFonts w:hint="eastAsia" w:ascii="宋体" w:hAnsi="宋体" w:eastAsia="宋体" w:cs="Times New Roman"/>
          <w:kern w:val="0"/>
          <w:szCs w:val="21"/>
          <w:u w:val="single"/>
        </w:rPr>
        <w:t xml:space="preserve">                                  </w:t>
      </w:r>
    </w:p>
    <w:p w14:paraId="033370E3">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月</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586248C">
      <w:pPr>
        <w:widowControl/>
        <w:jc w:val="left"/>
        <w:rPr>
          <w:rFonts w:ascii="Calibri" w:hAnsi="Calibri" w:eastAsia="宋体" w:cs="Times New Roman"/>
          <w:kern w:val="0"/>
          <w:sz w:val="20"/>
          <w:szCs w:val="20"/>
          <w:lang w:eastAsia="zh-Hans"/>
        </w:rPr>
      </w:pPr>
    </w:p>
    <w:p w14:paraId="6144DBA6">
      <w:pPr>
        <w:pageBreakBefore/>
        <w:rPr>
          <w:rFonts w:ascii="Calibri" w:hAnsi="Calibri" w:eastAsia="宋体" w:cs="Times New Roman"/>
          <w:kern w:val="0"/>
          <w:sz w:val="20"/>
          <w:szCs w:val="20"/>
          <w:lang w:eastAsia="zh-Hans"/>
        </w:rPr>
      </w:pPr>
      <w:bookmarkStart w:id="40" w:name="_Toc169799788"/>
      <w:r>
        <w:rPr>
          <w:rFonts w:ascii="宋体" w:hAnsi="宋体" w:eastAsia="宋体"/>
          <w:b/>
          <w:bCs/>
          <w:sz w:val="24"/>
          <w:szCs w:val="28"/>
        </w:rPr>
        <w:t>格式二：</w:t>
      </w:r>
      <w:bookmarkEnd w:id="40"/>
    </w:p>
    <w:p w14:paraId="0B3E1560">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开标一览表</w:t>
      </w:r>
      <w:r>
        <w:rPr>
          <w:rFonts w:ascii="Calibri" w:hAnsi="Calibri" w:eastAsia="宋体" w:cs="Times New Roman"/>
          <w:kern w:val="0"/>
          <w:sz w:val="20"/>
          <w:szCs w:val="20"/>
          <w:lang w:eastAsia="zh-Hans"/>
        </w:rPr>
        <w:br w:type="textWrapping"/>
      </w:r>
    </w:p>
    <w:p w14:paraId="080301E8">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项目编号：</w:t>
      </w:r>
    </w:p>
    <w:p w14:paraId="396D7B1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项目名称：</w:t>
      </w:r>
    </w:p>
    <w:p w14:paraId="2F84FC53">
      <w:pPr>
        <w:widowControl/>
        <w:jc w:val="left"/>
        <w:rPr>
          <w:rFonts w:ascii="Calibri" w:hAnsi="Calibri" w:eastAsia="宋体" w:cs="Times New Roman"/>
          <w:kern w:val="0"/>
          <w:szCs w:val="21"/>
        </w:rPr>
      </w:pPr>
      <w:r>
        <w:rPr>
          <w:rFonts w:ascii="Calibri" w:hAnsi="Calibri" w:eastAsia="宋体" w:cs="Times New Roman"/>
          <w:kern w:val="0"/>
          <w:szCs w:val="21"/>
          <w:lang w:eastAsia="zh-Hans"/>
        </w:rPr>
        <w:t>投标人名称：</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286"/>
        <w:gridCol w:w="1521"/>
        <w:gridCol w:w="1536"/>
        <w:gridCol w:w="3300"/>
        <w:gridCol w:w="1217"/>
      </w:tblGrid>
      <w:tr w14:paraId="4F581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426" w:type="dxa"/>
            <w:vAlign w:val="center"/>
          </w:tcPr>
          <w:p w14:paraId="35D4165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序号</w:t>
            </w:r>
          </w:p>
        </w:tc>
        <w:tc>
          <w:tcPr>
            <w:tcW w:w="1286" w:type="dxa"/>
            <w:vAlign w:val="center"/>
          </w:tcPr>
          <w:p w14:paraId="482A548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名称</w:t>
            </w:r>
          </w:p>
        </w:tc>
        <w:tc>
          <w:tcPr>
            <w:tcW w:w="1521" w:type="dxa"/>
            <w:vAlign w:val="center"/>
          </w:tcPr>
          <w:p w14:paraId="27189EC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总价（元）</w:t>
            </w:r>
          </w:p>
        </w:tc>
        <w:tc>
          <w:tcPr>
            <w:tcW w:w="1536" w:type="dxa"/>
            <w:vAlign w:val="center"/>
          </w:tcPr>
          <w:p w14:paraId="4341443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单价（元）</w:t>
            </w:r>
          </w:p>
        </w:tc>
        <w:tc>
          <w:tcPr>
            <w:tcW w:w="3300" w:type="dxa"/>
            <w:vAlign w:val="center"/>
          </w:tcPr>
          <w:p w14:paraId="481462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报价说明</w:t>
            </w:r>
          </w:p>
        </w:tc>
        <w:tc>
          <w:tcPr>
            <w:tcW w:w="1217" w:type="dxa"/>
            <w:vAlign w:val="center"/>
          </w:tcPr>
          <w:p w14:paraId="67F88E9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备注</w:t>
            </w:r>
          </w:p>
        </w:tc>
      </w:tr>
      <w:tr w14:paraId="220F5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7" w:hRule="atLeast"/>
          <w:jc w:val="center"/>
        </w:trPr>
        <w:tc>
          <w:tcPr>
            <w:tcW w:w="426" w:type="dxa"/>
            <w:vAlign w:val="center"/>
          </w:tcPr>
          <w:p w14:paraId="2D6B45E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1</w:t>
            </w:r>
          </w:p>
        </w:tc>
        <w:tc>
          <w:tcPr>
            <w:tcW w:w="1286" w:type="dxa"/>
            <w:vAlign w:val="center"/>
          </w:tcPr>
          <w:p w14:paraId="3A28D62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假农药、劣质农药、过期农药及罚没农药收运及处理费</w:t>
            </w:r>
          </w:p>
        </w:tc>
        <w:tc>
          <w:tcPr>
            <w:tcW w:w="1521" w:type="dxa"/>
            <w:vAlign w:val="center"/>
          </w:tcPr>
          <w:p w14:paraId="49B2642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p>
        </w:tc>
        <w:tc>
          <w:tcPr>
            <w:tcW w:w="1536" w:type="dxa"/>
            <w:vAlign w:val="center"/>
          </w:tcPr>
          <w:p w14:paraId="30BED0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元/200千克</w:t>
            </w:r>
          </w:p>
        </w:tc>
        <w:tc>
          <w:tcPr>
            <w:tcW w:w="3300" w:type="dxa"/>
            <w:vAlign w:val="center"/>
          </w:tcPr>
          <w:p w14:paraId="27B481D6">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收运我市假农药、劣质农药、过期农药以及罚没农药并进行无害化处理。转运处理量上限为1吨。</w:t>
            </w:r>
          </w:p>
        </w:tc>
        <w:tc>
          <w:tcPr>
            <w:tcW w:w="1217" w:type="dxa"/>
            <w:vAlign w:val="center"/>
          </w:tcPr>
          <w:p w14:paraId="5D7230A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p>
        </w:tc>
      </w:tr>
      <w:tr w14:paraId="13F53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ins w:id="0" w:author="DGNJ3" w:date="2025-08-25T14:11:24Z"/>
        </w:trPr>
        <w:tc>
          <w:tcPr>
            <w:tcW w:w="9286" w:type="dxa"/>
            <w:gridSpan w:val="6"/>
            <w:vAlign w:val="center"/>
          </w:tcPr>
          <w:p w14:paraId="7FAC2CB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sz w:val="21"/>
                <w:szCs w:val="21"/>
                <w:highlight w:val="none"/>
                <w:lang w:val="en-US" w:eastAsia="zh-CN"/>
              </w:rPr>
              <w:t>农药包装废弃物及废旧农膜</w:t>
            </w:r>
          </w:p>
        </w:tc>
      </w:tr>
      <w:tr w14:paraId="5AB8B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426" w:type="dxa"/>
            <w:vAlign w:val="center"/>
          </w:tcPr>
          <w:p w14:paraId="0E0E69C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w:t>
            </w:r>
          </w:p>
        </w:tc>
        <w:tc>
          <w:tcPr>
            <w:tcW w:w="1286" w:type="dxa"/>
            <w:vAlign w:val="center"/>
          </w:tcPr>
          <w:p w14:paraId="1254C7A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回收奖励金</w:t>
            </w:r>
          </w:p>
        </w:tc>
        <w:tc>
          <w:tcPr>
            <w:tcW w:w="1521" w:type="dxa"/>
            <w:vAlign w:val="center"/>
          </w:tcPr>
          <w:p w14:paraId="49698CA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175,000.00</w:t>
            </w:r>
          </w:p>
        </w:tc>
        <w:tc>
          <w:tcPr>
            <w:tcW w:w="1536" w:type="dxa"/>
            <w:vAlign w:val="center"/>
          </w:tcPr>
          <w:p w14:paraId="23403E4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农药包装废弃物回收奖励金5000元/吨；</w:t>
            </w:r>
          </w:p>
          <w:p w14:paraId="1CA3B86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废旧农膜回收奖励金2000元/吨</w:t>
            </w:r>
          </w:p>
        </w:tc>
        <w:tc>
          <w:tcPr>
            <w:tcW w:w="3300" w:type="dxa"/>
            <w:vAlign w:val="center"/>
          </w:tcPr>
          <w:p w14:paraId="1A0CA29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回收农药包装废弃物27吨、奖励金5000元/吨，废旧农膜20吨、奖励金2000元/吨。</w:t>
            </w:r>
          </w:p>
          <w:p w14:paraId="64FBB3C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default"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回收奖励金总额上限175，000.00元，达到上限后，即停止发放。</w:t>
            </w:r>
          </w:p>
        </w:tc>
        <w:tc>
          <w:tcPr>
            <w:tcW w:w="1217" w:type="dxa"/>
            <w:vAlign w:val="center"/>
          </w:tcPr>
          <w:p w14:paraId="14414D4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p>
        </w:tc>
      </w:tr>
      <w:tr w14:paraId="18A44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6" w:hRule="atLeast"/>
          <w:jc w:val="center"/>
        </w:trPr>
        <w:tc>
          <w:tcPr>
            <w:tcW w:w="426" w:type="dxa"/>
            <w:vAlign w:val="center"/>
          </w:tcPr>
          <w:p w14:paraId="733727D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3</w:t>
            </w:r>
          </w:p>
        </w:tc>
        <w:tc>
          <w:tcPr>
            <w:tcW w:w="1286" w:type="dxa"/>
            <w:vAlign w:val="center"/>
          </w:tcPr>
          <w:p w14:paraId="52638E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转运运输费</w:t>
            </w:r>
          </w:p>
        </w:tc>
        <w:tc>
          <w:tcPr>
            <w:tcW w:w="1521" w:type="dxa"/>
            <w:vAlign w:val="center"/>
          </w:tcPr>
          <w:p w14:paraId="6AE1CDC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p>
        </w:tc>
        <w:tc>
          <w:tcPr>
            <w:tcW w:w="1536" w:type="dxa"/>
            <w:vAlign w:val="center"/>
          </w:tcPr>
          <w:p w14:paraId="67E906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元/个次</w:t>
            </w:r>
          </w:p>
        </w:tc>
        <w:tc>
          <w:tcPr>
            <w:tcW w:w="3300" w:type="dxa"/>
            <w:vAlign w:val="center"/>
          </w:tcPr>
          <w:p w14:paraId="051BBAF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采用“定期回收+应急处理”的模式，对转运点开展收运工作，合同期内全市转运约800个次。</w:t>
            </w:r>
          </w:p>
        </w:tc>
        <w:tc>
          <w:tcPr>
            <w:tcW w:w="1217" w:type="dxa"/>
            <w:vAlign w:val="center"/>
          </w:tcPr>
          <w:p w14:paraId="596F6DA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p>
        </w:tc>
      </w:tr>
      <w:tr w14:paraId="23D81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jc w:val="center"/>
        </w:trPr>
        <w:tc>
          <w:tcPr>
            <w:tcW w:w="426" w:type="dxa"/>
            <w:vAlign w:val="center"/>
          </w:tcPr>
          <w:p w14:paraId="4365614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4</w:t>
            </w:r>
          </w:p>
        </w:tc>
        <w:tc>
          <w:tcPr>
            <w:tcW w:w="1286" w:type="dxa"/>
            <w:vAlign w:val="center"/>
          </w:tcPr>
          <w:p w14:paraId="2A2D4D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回收处理</w:t>
            </w:r>
          </w:p>
          <w:p w14:paraId="2E2B3B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服务费</w:t>
            </w:r>
          </w:p>
        </w:tc>
        <w:tc>
          <w:tcPr>
            <w:tcW w:w="1521" w:type="dxa"/>
            <w:vAlign w:val="center"/>
          </w:tcPr>
          <w:p w14:paraId="23B24D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vertAlign w:val="baseline"/>
                <w:lang w:val="en-US" w:eastAsia="zh-CN"/>
              </w:rPr>
            </w:pPr>
          </w:p>
        </w:tc>
        <w:tc>
          <w:tcPr>
            <w:tcW w:w="1536" w:type="dxa"/>
            <w:vAlign w:val="center"/>
          </w:tcPr>
          <w:p w14:paraId="5989CAB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b w:val="0"/>
                <w:bCs w:val="0"/>
                <w:color w:val="auto"/>
                <w:lang w:val="en-US" w:eastAsia="zh-CN"/>
              </w:rPr>
            </w:pP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元/吨</w:t>
            </w:r>
          </w:p>
        </w:tc>
        <w:tc>
          <w:tcPr>
            <w:tcW w:w="3300" w:type="dxa"/>
            <w:vAlign w:val="center"/>
          </w:tcPr>
          <w:p w14:paraId="2130AF4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lang w:val="en-US" w:eastAsia="zh-CN"/>
              </w:rPr>
              <w:t>回收处理总量约47吨，其中农药包装废弃物约27吨、废旧农膜约20吨。</w:t>
            </w:r>
          </w:p>
        </w:tc>
        <w:tc>
          <w:tcPr>
            <w:tcW w:w="1217" w:type="dxa"/>
            <w:vAlign w:val="center"/>
          </w:tcPr>
          <w:p w14:paraId="15DE4990">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p>
        </w:tc>
      </w:tr>
      <w:tr w14:paraId="70108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712" w:type="dxa"/>
            <w:gridSpan w:val="2"/>
            <w:vAlign w:val="center"/>
          </w:tcPr>
          <w:p w14:paraId="2EBE1D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1"/>
                <w:szCs w:val="21"/>
                <w:highlight w:val="none"/>
                <w:vertAlign w:val="baseline"/>
                <w:lang w:val="en-US" w:eastAsia="zh-CN"/>
              </w:rPr>
            </w:pPr>
            <w:r>
              <w:rPr>
                <w:rFonts w:hint="eastAsia" w:ascii="宋体" w:hAnsi="宋体" w:eastAsia="宋体" w:cs="宋体"/>
                <w:b w:val="0"/>
                <w:bCs w:val="0"/>
                <w:color w:val="auto"/>
                <w:sz w:val="21"/>
                <w:szCs w:val="21"/>
                <w:highlight w:val="none"/>
                <w:lang w:val="en-US" w:eastAsia="zh-CN"/>
              </w:rPr>
              <w:t>合计（元）</w:t>
            </w:r>
          </w:p>
        </w:tc>
        <w:tc>
          <w:tcPr>
            <w:tcW w:w="7574" w:type="dxa"/>
            <w:gridSpan w:val="4"/>
            <w:vAlign w:val="center"/>
          </w:tcPr>
          <w:p w14:paraId="3489CB9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b w:val="0"/>
                <w:bCs w:val="0"/>
                <w:color w:val="auto"/>
                <w:sz w:val="21"/>
                <w:szCs w:val="21"/>
                <w:highlight w:val="none"/>
                <w:u w:val="single"/>
                <w:lang w:val="en-US" w:eastAsia="zh-CN"/>
              </w:rPr>
            </w:pPr>
            <w:r>
              <w:rPr>
                <w:rFonts w:hint="eastAsia" w:ascii="宋体" w:hAnsi="宋体" w:eastAsia="宋体" w:cs="宋体"/>
                <w:b w:val="0"/>
                <w:bCs w:val="0"/>
                <w:color w:val="auto"/>
                <w:sz w:val="21"/>
                <w:szCs w:val="21"/>
                <w:highlight w:val="none"/>
                <w:lang w:val="en-US" w:eastAsia="zh-CN"/>
              </w:rPr>
              <w:t>小写：</w:t>
            </w: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 xml:space="preserve"> 大写：</w:t>
            </w:r>
            <w:r>
              <w:rPr>
                <w:rFonts w:hint="eastAsia" w:ascii="宋体" w:hAnsi="宋体" w:eastAsia="宋体" w:cs="宋体"/>
                <w:b w:val="0"/>
                <w:bCs w:val="0"/>
                <w:color w:val="auto"/>
                <w:sz w:val="21"/>
                <w:szCs w:val="21"/>
                <w:highlight w:val="none"/>
                <w:u w:val="single"/>
                <w:lang w:val="en-US" w:eastAsia="zh-CN"/>
              </w:rPr>
              <w:t xml:space="preserve">                </w:t>
            </w:r>
          </w:p>
        </w:tc>
      </w:tr>
      <w:tr w14:paraId="2893A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9286" w:type="dxa"/>
            <w:gridSpan w:val="6"/>
            <w:vAlign w:val="center"/>
          </w:tcPr>
          <w:p w14:paraId="17CEDE66">
            <w:pPr>
              <w:pStyle w:val="24"/>
              <w:numPr>
                <w:ilvl w:val="0"/>
                <w:numId w:val="0"/>
              </w:numPr>
              <w:snapToGrid w:val="0"/>
              <w:spacing w:line="360" w:lineRule="auto"/>
              <w:contextualSpacing/>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备注：</w:t>
            </w:r>
          </w:p>
          <w:p w14:paraId="5189300C">
            <w:pPr>
              <w:snapToGrid/>
              <w:spacing w:line="400" w:lineRule="exact"/>
              <w:ind w:firstLine="422" w:firstLineChars="200"/>
              <w:contextualSpacing/>
              <w:rPr>
                <w:rFonts w:hint="default" w:ascii="宋体" w:hAnsi="宋体" w:eastAsia="宋体" w:cs="宋体"/>
                <w:b/>
                <w:bCs/>
                <w:color w:val="auto"/>
                <w:sz w:val="21"/>
                <w:szCs w:val="21"/>
                <w:highlight w:val="none"/>
                <w:u w:val="single"/>
                <w:lang w:val="en-US" w:eastAsia="zh-CN"/>
              </w:rPr>
            </w:pPr>
            <w:r>
              <w:rPr>
                <w:rFonts w:hint="eastAsia" w:ascii="宋体" w:hAnsi="宋体" w:eastAsia="宋体" w:cs="宋体"/>
                <w:b/>
                <w:bCs/>
                <w:color w:val="auto"/>
                <w:sz w:val="21"/>
                <w:szCs w:val="21"/>
                <w:highlight w:val="none"/>
                <w:u w:val="single"/>
                <w:lang w:val="en-US" w:eastAsia="zh-CN"/>
              </w:rPr>
              <w:t>1.“回收奖励金”为固定单价，即农药包装废弃物回收奖励金5000元/吨，废旧农膜回收奖励金2000元/吨，不得进行修改。</w:t>
            </w:r>
            <w:r>
              <w:rPr>
                <w:rFonts w:hint="eastAsia" w:ascii="宋体" w:hAnsi="宋体" w:eastAsia="宋体" w:cs="宋体"/>
                <w:b w:val="0"/>
                <w:bCs w:val="0"/>
                <w:color w:val="auto"/>
                <w:sz w:val="21"/>
                <w:szCs w:val="21"/>
                <w:highlight w:val="none"/>
                <w:lang w:val="en-US" w:eastAsia="zh-CN"/>
              </w:rPr>
              <w:t>回收奖励金总额上限175，000.00元，达到上限后，即停止发放。</w:t>
            </w:r>
          </w:p>
          <w:p w14:paraId="7950BE84">
            <w:pPr>
              <w:pStyle w:val="24"/>
              <w:snapToGrid w:val="0"/>
              <w:spacing w:line="360" w:lineRule="auto"/>
              <w:contextualSpacing/>
              <w:rPr>
                <w:rFonts w:hint="eastAsia" w:ascii="宋体" w:hAnsi="宋体" w:eastAsia="宋体" w:cs="宋体"/>
                <w:b w:val="0"/>
                <w:bCs w:val="0"/>
                <w:lang w:val="en-US" w:eastAsia="zh-CN"/>
              </w:rPr>
            </w:pPr>
            <w:r>
              <w:rPr>
                <w:rFonts w:hint="eastAsia" w:ascii="宋体" w:hAnsi="宋体" w:eastAsia="宋体" w:cs="宋体"/>
                <w:b w:val="0"/>
                <w:bCs w:val="0"/>
                <w:color w:val="auto"/>
                <w:sz w:val="21"/>
                <w:szCs w:val="21"/>
                <w:highlight w:val="none"/>
                <w:lang w:val="en-US" w:eastAsia="zh-CN"/>
              </w:rPr>
              <w:t>2.投标人需填报“假农药、劣质农药、过期农药及罚没农药收运及处理费”“转运运输费”“回收处理服务费”分项总价及单价，假农药、劣质农药、过期农药及罚没农药收运及处理费总价=假农药、劣质农药、过期农药及罚没农药收运及处理费单价×5，转运运输费总价=转运运输费单价×800个次，回收处理服务费总价=回收处理服务费单价×47吨。</w:t>
            </w:r>
          </w:p>
          <w:p w14:paraId="04BA89B2">
            <w:pPr>
              <w:pStyle w:val="24"/>
              <w:snapToGrid w:val="0"/>
              <w:spacing w:line="360" w:lineRule="auto"/>
              <w:contextualSpacing/>
              <w:rPr>
                <w:rFonts w:hint="eastAsia"/>
                <w:b w:val="0"/>
                <w:bCs w:val="0"/>
                <w:lang w:val="en-US" w:eastAsia="zh-CN"/>
              </w:rPr>
            </w:pPr>
            <w:r>
              <w:rPr>
                <w:rFonts w:hint="eastAsia" w:ascii="宋体" w:hAnsi="宋体" w:eastAsia="宋体" w:cs="宋体"/>
                <w:iCs/>
                <w:color w:val="auto"/>
                <w:sz w:val="21"/>
                <w:szCs w:val="21"/>
                <w:highlight w:val="none"/>
                <w:lang w:val="en-US" w:eastAsia="zh-CN"/>
              </w:rPr>
              <w:t>3.本项目</w:t>
            </w:r>
            <w:r>
              <w:rPr>
                <w:rFonts w:hint="eastAsia" w:ascii="宋体" w:hAnsi="宋体" w:eastAsia="宋体" w:cs="宋体"/>
                <w:b w:val="0"/>
                <w:bCs w:val="0"/>
                <w:color w:val="auto"/>
                <w:sz w:val="21"/>
                <w:szCs w:val="21"/>
                <w:highlight w:val="none"/>
                <w:lang w:val="en-US" w:eastAsia="zh-CN"/>
              </w:rPr>
              <w:t>假农药、劣质农药、过期农药及罚没农药收运及处理量、农药包装废弃物及废旧农膜转运个次及回收处理</w:t>
            </w:r>
            <w:r>
              <w:rPr>
                <w:rFonts w:hint="eastAsia" w:ascii="宋体" w:hAnsi="宋体" w:eastAsia="宋体" w:cs="宋体"/>
                <w:iCs/>
                <w:color w:val="auto"/>
                <w:sz w:val="21"/>
                <w:szCs w:val="21"/>
                <w:highlight w:val="none"/>
                <w:lang w:val="en-US" w:eastAsia="zh-CN"/>
              </w:rPr>
              <w:t>量存在不可控因素，如</w:t>
            </w:r>
            <w:r>
              <w:rPr>
                <w:rFonts w:hint="eastAsia" w:ascii="宋体" w:hAnsi="宋体" w:eastAsia="宋体" w:cs="宋体"/>
                <w:iCs/>
                <w:color w:val="auto"/>
                <w:sz w:val="21"/>
                <w:szCs w:val="21"/>
                <w:lang w:val="en-US" w:eastAsia="zh-CN"/>
              </w:rPr>
              <w:t>合同期满后</w:t>
            </w:r>
            <w:r>
              <w:rPr>
                <w:rFonts w:hint="eastAsia" w:ascii="宋体" w:hAnsi="宋体" w:eastAsia="宋体" w:cs="宋体"/>
                <w:iCs/>
                <w:color w:val="auto"/>
                <w:sz w:val="21"/>
                <w:szCs w:val="21"/>
                <w:highlight w:val="none"/>
                <w:lang w:val="en-US" w:eastAsia="zh-CN"/>
              </w:rPr>
              <w:t>还有未使用完合同价款的（含对应回收奖励金），中标人需在合同终止后10个工作日内无条件把余款退回至采购人指定账户。</w:t>
            </w:r>
          </w:p>
        </w:tc>
      </w:tr>
    </w:tbl>
    <w:p w14:paraId="3F260CC6">
      <w:pPr>
        <w:widowControl/>
        <w:jc w:val="left"/>
        <w:rPr>
          <w:rFonts w:ascii="Calibri" w:hAnsi="Calibri" w:eastAsia="宋体" w:cs="Times New Roman"/>
          <w:kern w:val="0"/>
          <w:szCs w:val="21"/>
        </w:rPr>
      </w:pPr>
    </w:p>
    <w:p w14:paraId="5B6FDB91">
      <w:pPr>
        <w:widowControl/>
        <w:jc w:val="left"/>
        <w:rPr>
          <w:rFonts w:ascii="Calibri" w:hAnsi="Calibri" w:eastAsia="宋体" w:cs="Times New Roman"/>
          <w:kern w:val="0"/>
          <w:szCs w:val="21"/>
        </w:rPr>
      </w:pPr>
    </w:p>
    <w:p w14:paraId="579E5FB5">
      <w:pPr>
        <w:pStyle w:val="2"/>
        <w:rPr>
          <w:rFonts w:hint="eastAsia" w:ascii="宋体" w:hAnsi="宋体" w:eastAsia="宋体" w:cs="宋体"/>
          <w:kern w:val="0"/>
          <w:szCs w:val="21"/>
        </w:rPr>
      </w:pPr>
    </w:p>
    <w:p w14:paraId="074186C7">
      <w:pPr>
        <w:rPr>
          <w:rFonts w:hint="eastAsia" w:ascii="宋体" w:hAnsi="宋体" w:eastAsia="宋体" w:cs="宋体"/>
          <w:kern w:val="0"/>
          <w:szCs w:val="21"/>
        </w:rPr>
      </w:pPr>
      <w:r>
        <w:rPr>
          <w:rFonts w:hint="eastAsia" w:ascii="宋体" w:hAnsi="宋体" w:eastAsia="宋体" w:cs="宋体"/>
          <w:kern w:val="0"/>
          <w:szCs w:val="21"/>
        </w:rPr>
        <w:t>1）投标总价栏须用文字和数字两种方式表示的投标总价。</w:t>
      </w:r>
    </w:p>
    <w:p w14:paraId="644ACFC2">
      <w:pPr>
        <w:rPr>
          <w:rFonts w:hint="eastAsia" w:ascii="宋体" w:hAnsi="宋体" w:eastAsia="宋体" w:cs="宋体"/>
          <w:kern w:val="0"/>
          <w:szCs w:val="21"/>
        </w:rPr>
      </w:pPr>
      <w:r>
        <w:rPr>
          <w:rFonts w:hint="eastAsia" w:ascii="宋体" w:hAnsi="宋体" w:eastAsia="宋体" w:cs="宋体"/>
          <w:kern w:val="0"/>
          <w:szCs w:val="21"/>
        </w:rPr>
        <w:t>2）开标一览表内容与投标文件中相应内容不一致的，以开标一览表为准。</w:t>
      </w:r>
    </w:p>
    <w:p w14:paraId="52A33B7B">
      <w:pPr>
        <w:rPr>
          <w:rFonts w:hint="eastAsia" w:ascii="宋体" w:hAnsi="宋体" w:eastAsia="宋体" w:cs="宋体"/>
          <w:kern w:val="0"/>
          <w:szCs w:val="21"/>
        </w:rPr>
      </w:pPr>
      <w:r>
        <w:rPr>
          <w:rFonts w:hint="eastAsia" w:ascii="宋体" w:hAnsi="宋体" w:eastAsia="宋体" w:cs="宋体"/>
          <w:kern w:val="0"/>
          <w:szCs w:val="21"/>
        </w:rPr>
        <w:t>3）大写金额和小写金额不一致的，以大写金额为准。</w:t>
      </w:r>
    </w:p>
    <w:p w14:paraId="0E87297F">
      <w:pPr>
        <w:pStyle w:val="2"/>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7D16D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364" w:type="dxa"/>
          </w:tcPr>
          <w:p w14:paraId="7ACCEA4A">
            <w:pPr>
              <w:overflowPunct w:val="0"/>
              <w:adjustRightInd w:val="0"/>
              <w:spacing w:line="30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投标人名称（加盖公章）：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62FF6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05C5C502">
            <w:pPr>
              <w:spacing w:line="30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投标人法定代表人（或被授权人）签字或盖私章：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7B2C0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32F7C287">
            <w:pPr>
              <w:spacing w:line="30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日期：</w:t>
            </w:r>
            <w:r>
              <w:rPr>
                <w:rFonts w:ascii="宋体" w:hAnsi="宋体" w:eastAsia="宋体"/>
                <w:color w:val="000000" w:themeColor="text1"/>
                <w:szCs w:val="21"/>
                <w14:textFill>
                  <w14:solidFill>
                    <w14:schemeClr w14:val="tx1"/>
                  </w14:solidFill>
                </w14:textFill>
              </w:rPr>
              <w:t xml:space="preserve">    年   月   日</w:t>
            </w:r>
          </w:p>
        </w:tc>
      </w:tr>
    </w:tbl>
    <w:p w14:paraId="49646519">
      <w:pPr>
        <w:widowControl/>
        <w:jc w:val="left"/>
        <w:rPr>
          <w:rFonts w:ascii="Calibri" w:hAnsi="Calibri" w:eastAsia="宋体" w:cs="Times New Roman"/>
          <w:kern w:val="0"/>
          <w:sz w:val="20"/>
          <w:szCs w:val="20"/>
          <w:lang w:eastAsia="zh-Hans"/>
        </w:rPr>
      </w:pPr>
    </w:p>
    <w:p w14:paraId="1901C49E">
      <w:pPr>
        <w:widowControl/>
        <w:jc w:val="left"/>
        <w:rPr>
          <w:rFonts w:ascii="Calibri" w:hAnsi="Calibri" w:eastAsia="宋体" w:cs="Times New Roman"/>
          <w:kern w:val="0"/>
          <w:sz w:val="20"/>
          <w:szCs w:val="20"/>
          <w:lang w:eastAsia="zh-Hans"/>
        </w:rPr>
      </w:pPr>
    </w:p>
    <w:p w14:paraId="498F04D0">
      <w:pPr>
        <w:pageBreakBefore/>
        <w:rPr>
          <w:rFonts w:ascii="Calibri" w:hAnsi="Calibri" w:eastAsia="宋体" w:cs="Times New Roman"/>
          <w:kern w:val="0"/>
          <w:sz w:val="20"/>
          <w:szCs w:val="20"/>
          <w:lang w:eastAsia="zh-Hans"/>
        </w:rPr>
      </w:pPr>
      <w:bookmarkStart w:id="41" w:name="_Toc169799789"/>
      <w:r>
        <w:rPr>
          <w:rFonts w:ascii="宋体" w:hAnsi="宋体" w:eastAsia="宋体"/>
          <w:b/>
          <w:bCs/>
          <w:sz w:val="24"/>
          <w:szCs w:val="28"/>
        </w:rPr>
        <w:t>格式</w:t>
      </w:r>
      <w:r>
        <w:rPr>
          <w:rFonts w:hint="eastAsia" w:ascii="宋体" w:hAnsi="宋体" w:eastAsia="宋体"/>
          <w:b/>
          <w:bCs/>
          <w:sz w:val="24"/>
          <w:szCs w:val="28"/>
          <w:lang w:val="en-US" w:eastAsia="zh-CN"/>
        </w:rPr>
        <w:t>三</w:t>
      </w:r>
      <w:r>
        <w:rPr>
          <w:rFonts w:ascii="宋体" w:hAnsi="宋体" w:eastAsia="宋体"/>
          <w:b/>
          <w:bCs/>
          <w:sz w:val="24"/>
          <w:szCs w:val="28"/>
        </w:rPr>
        <w:t>：</w:t>
      </w:r>
      <w:bookmarkEnd w:id="41"/>
    </w:p>
    <w:p w14:paraId="5CD17C42">
      <w:pPr>
        <w:widowControl/>
        <w:spacing w:before="217" w:beforeLines="50" w:after="217" w:afterLines="50"/>
        <w:jc w:val="center"/>
        <w:outlineLvl w:val="3"/>
        <w:rPr>
          <w:rFonts w:hint="eastAsia" w:ascii="宋体" w:hAnsi="宋体" w:eastAsia="宋体" w:cs="Times New Roman"/>
          <w:kern w:val="0"/>
          <w:szCs w:val="21"/>
          <w:lang w:eastAsia="zh-Hans"/>
        </w:rPr>
      </w:pPr>
      <w:r>
        <w:rPr>
          <w:rFonts w:ascii="宋体" w:hAnsi="宋体" w:eastAsia="宋体" w:cs="Times New Roman"/>
          <w:b/>
          <w:kern w:val="0"/>
          <w:sz w:val="32"/>
          <w:szCs w:val="32"/>
          <w:lang w:eastAsia="zh-Hans"/>
        </w:rPr>
        <w:t>中小企业声明函（工程、服务）</w:t>
      </w:r>
    </w:p>
    <w:p w14:paraId="12047A30">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本公司（联合体）郑重声明，根据《政府采购促进中小企业发展管理办法》（财库﹝2020﹞46号）的规定，本公司（联合体）参加</w:t>
      </w:r>
      <w:r>
        <w:rPr>
          <w:rFonts w:ascii="宋体" w:hAnsi="宋体" w:eastAsia="宋体" w:cs="Times New Roman"/>
          <w:kern w:val="0"/>
          <w:szCs w:val="21"/>
          <w:u w:val="single"/>
          <w:lang w:eastAsia="zh-Hans"/>
        </w:rPr>
        <w:t>（单位名称）</w:t>
      </w:r>
      <w:r>
        <w:rPr>
          <w:rFonts w:ascii="宋体" w:hAnsi="宋体" w:eastAsia="宋体" w:cs="Times New Roman"/>
          <w:kern w:val="0"/>
          <w:szCs w:val="21"/>
          <w:lang w:eastAsia="zh-Hans"/>
        </w:rPr>
        <w:t>的</w:t>
      </w:r>
      <w:r>
        <w:rPr>
          <w:rFonts w:ascii="宋体" w:hAnsi="宋体" w:eastAsia="宋体" w:cs="Times New Roman"/>
          <w:kern w:val="0"/>
          <w:szCs w:val="21"/>
          <w:u w:val="single"/>
          <w:lang w:eastAsia="zh-Hans"/>
        </w:rPr>
        <w:t>（项目名称）</w:t>
      </w:r>
      <w:r>
        <w:rPr>
          <w:rFonts w:ascii="宋体" w:hAnsi="宋体" w:eastAsia="宋体" w:cs="Times New Roman"/>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3D75D525">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行业；承建（承接）企业为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，从业人员___________人，营业收入为______________万元，资产总额为_____________万元1，属于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65B32381">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行业；承建（承接）企业为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，从业人员__________________人，营业收入为__________________万元，资产总额为__________________万元</w:t>
      </w:r>
      <w:r>
        <w:rPr>
          <w:rFonts w:ascii="宋体" w:hAnsi="宋体" w:eastAsia="宋体" w:cs="Times New Roman"/>
          <w:kern w:val="0"/>
          <w:szCs w:val="21"/>
          <w:vertAlign w:val="super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2850E5E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1E896287">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以上企业，不属于大企业的分支机构，不存在控股股东为大企业的情形，也不存在与大企业的负责人为同一人的情形。</w:t>
      </w:r>
    </w:p>
    <w:p w14:paraId="4A7CFB4C">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本企业对上述声明内容的真实性负责。如有虚假，将依法承担相应责任。</w:t>
      </w:r>
    </w:p>
    <w:p w14:paraId="64FF6E68">
      <w:pPr>
        <w:widowControl/>
        <w:spacing w:before="1087" w:beforeLines="250"/>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企业名称（盖章）：__________________</w:t>
      </w:r>
    </w:p>
    <w:p w14:paraId="66439CF0">
      <w:pPr>
        <w:widowControl/>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3C9723A">
      <w:pPr>
        <w:widowControl/>
        <w:ind w:right="840"/>
        <w:rPr>
          <w:rFonts w:ascii="宋体" w:hAnsi="宋体" w:eastAsia="宋体" w:cs="Times New Roman"/>
          <w:kern w:val="0"/>
          <w:szCs w:val="21"/>
          <w:lang w:eastAsia="zh-Hans"/>
        </w:rPr>
      </w:pPr>
    </w:p>
    <w:p w14:paraId="3B7FD1B1">
      <w:pPr>
        <w:widowControl/>
        <w:ind w:right="840"/>
        <w:rPr>
          <w:rFonts w:hint="eastAsia" w:ascii="宋体" w:hAnsi="宋体" w:eastAsia="宋体" w:cs="Times New Roman"/>
          <w:kern w:val="0"/>
          <w:szCs w:val="21"/>
          <w:lang w:eastAsia="zh-Hans"/>
        </w:rPr>
      </w:pPr>
      <w:r>
        <w:rPr>
          <w:rFonts w:ascii="宋体" w:hAnsi="宋体" w:eastAsia="宋体" w:cs="Times New Roman"/>
          <w:kern w:val="0"/>
          <w:szCs w:val="21"/>
          <w:lang w:eastAsia="zh-Hans"/>
        </w:rPr>
        <w:t>1：从业人员、营业收入、资产总额填报上一年度数据，无上一年度数据的新成立企业可不填报。</w:t>
      </w:r>
    </w:p>
    <w:p w14:paraId="72A8AD0F">
      <w:pPr>
        <w:widowControl/>
        <w:jc w:val="left"/>
        <w:rPr>
          <w:rFonts w:hint="eastAsia" w:ascii="宋体" w:hAnsi="宋体" w:eastAsia="宋体" w:cs="Times New Roman"/>
          <w:kern w:val="0"/>
          <w:szCs w:val="21"/>
          <w:lang w:eastAsia="zh-Hans"/>
        </w:rPr>
      </w:pPr>
    </w:p>
    <w:p w14:paraId="0C1A2FD1">
      <w:pPr>
        <w:pageBreakBefore/>
        <w:rPr>
          <w:rFonts w:ascii="Calibri" w:hAnsi="Calibri" w:eastAsia="宋体" w:cs="Times New Roman"/>
          <w:kern w:val="0"/>
          <w:szCs w:val="21"/>
          <w:lang w:eastAsia="zh-Hans"/>
        </w:rPr>
      </w:pPr>
      <w:bookmarkStart w:id="42" w:name="_Toc169799793"/>
      <w:r>
        <w:rPr>
          <w:rFonts w:ascii="宋体" w:hAnsi="宋体" w:eastAsia="宋体"/>
          <w:b/>
          <w:bCs/>
          <w:sz w:val="24"/>
          <w:szCs w:val="28"/>
        </w:rPr>
        <w:t>格式</w:t>
      </w:r>
      <w:r>
        <w:rPr>
          <w:rFonts w:hint="eastAsia" w:ascii="宋体" w:hAnsi="宋体" w:eastAsia="宋体"/>
          <w:b/>
          <w:bCs/>
          <w:sz w:val="24"/>
          <w:szCs w:val="28"/>
          <w:lang w:val="en-US" w:eastAsia="zh-CN"/>
        </w:rPr>
        <w:t>四</w:t>
      </w:r>
      <w:r>
        <w:rPr>
          <w:rFonts w:ascii="宋体" w:hAnsi="宋体" w:eastAsia="宋体"/>
          <w:b/>
          <w:bCs/>
          <w:sz w:val="24"/>
          <w:szCs w:val="28"/>
        </w:rPr>
        <w:t>：</w:t>
      </w:r>
      <w:bookmarkEnd w:id="42"/>
    </w:p>
    <w:p w14:paraId="42EB88FB">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政策适用性说明</w:t>
      </w:r>
    </w:p>
    <w:p w14:paraId="22E5AFB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0C962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6F2DD9C">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54" w:type="pct"/>
            <w:vAlign w:val="center"/>
          </w:tcPr>
          <w:p w14:paraId="2E5A25F8">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主要产品/技术名称（规格型号、注册商标）</w:t>
            </w:r>
          </w:p>
        </w:tc>
        <w:tc>
          <w:tcPr>
            <w:tcW w:w="614" w:type="pct"/>
            <w:vAlign w:val="center"/>
          </w:tcPr>
          <w:p w14:paraId="64135AE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制造商(开发商)</w:t>
            </w:r>
          </w:p>
        </w:tc>
        <w:tc>
          <w:tcPr>
            <w:tcW w:w="614" w:type="pct"/>
            <w:vAlign w:val="center"/>
          </w:tcPr>
          <w:p w14:paraId="2F0AD3B8">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制造商企业类型</w:t>
            </w:r>
          </w:p>
        </w:tc>
        <w:tc>
          <w:tcPr>
            <w:tcW w:w="613" w:type="pct"/>
            <w:vAlign w:val="center"/>
          </w:tcPr>
          <w:p w14:paraId="40C54FB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节能产品</w:t>
            </w:r>
          </w:p>
        </w:tc>
        <w:tc>
          <w:tcPr>
            <w:tcW w:w="614" w:type="pct"/>
            <w:vAlign w:val="center"/>
          </w:tcPr>
          <w:p w14:paraId="29449C43">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环境标志产品</w:t>
            </w:r>
          </w:p>
        </w:tc>
        <w:tc>
          <w:tcPr>
            <w:tcW w:w="540" w:type="pct"/>
            <w:vAlign w:val="center"/>
          </w:tcPr>
          <w:p w14:paraId="277F4092">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认证证书编号</w:t>
            </w:r>
          </w:p>
        </w:tc>
        <w:tc>
          <w:tcPr>
            <w:tcW w:w="624" w:type="pct"/>
            <w:vAlign w:val="center"/>
          </w:tcPr>
          <w:p w14:paraId="6380CEB7">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该产品报价在总报价中占比（%）</w:t>
            </w:r>
          </w:p>
        </w:tc>
      </w:tr>
      <w:tr w14:paraId="79076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18C6E023">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954" w:type="pct"/>
            <w:vAlign w:val="center"/>
          </w:tcPr>
          <w:p w14:paraId="3D225058">
            <w:pPr>
              <w:jc w:val="center"/>
              <w:rPr>
                <w:rFonts w:hint="eastAsia" w:ascii="宋体" w:hAnsi="宋体" w:eastAsia="宋体" w:cs="Times New Roman"/>
                <w:szCs w:val="21"/>
              </w:rPr>
            </w:pPr>
          </w:p>
        </w:tc>
        <w:tc>
          <w:tcPr>
            <w:tcW w:w="614" w:type="pct"/>
            <w:vAlign w:val="center"/>
          </w:tcPr>
          <w:p w14:paraId="647B7308">
            <w:pPr>
              <w:jc w:val="center"/>
              <w:rPr>
                <w:rFonts w:hint="eastAsia" w:ascii="宋体" w:hAnsi="宋体" w:eastAsia="宋体" w:cs="Times New Roman"/>
                <w:szCs w:val="21"/>
              </w:rPr>
            </w:pPr>
          </w:p>
        </w:tc>
        <w:tc>
          <w:tcPr>
            <w:tcW w:w="614" w:type="pct"/>
            <w:vAlign w:val="center"/>
          </w:tcPr>
          <w:p w14:paraId="20DDBB4D">
            <w:pPr>
              <w:jc w:val="center"/>
              <w:rPr>
                <w:rFonts w:hint="eastAsia" w:ascii="宋体" w:hAnsi="宋体" w:eastAsia="宋体" w:cs="Times New Roman"/>
                <w:szCs w:val="21"/>
              </w:rPr>
            </w:pPr>
          </w:p>
        </w:tc>
        <w:tc>
          <w:tcPr>
            <w:tcW w:w="613" w:type="pct"/>
            <w:vAlign w:val="center"/>
          </w:tcPr>
          <w:p w14:paraId="37400A20">
            <w:pPr>
              <w:jc w:val="center"/>
              <w:rPr>
                <w:rFonts w:hint="eastAsia" w:ascii="宋体" w:hAnsi="宋体" w:eastAsia="宋体" w:cs="Times New Roman"/>
                <w:szCs w:val="21"/>
              </w:rPr>
            </w:pPr>
          </w:p>
        </w:tc>
        <w:tc>
          <w:tcPr>
            <w:tcW w:w="614" w:type="pct"/>
            <w:vAlign w:val="center"/>
          </w:tcPr>
          <w:p w14:paraId="00524AC3">
            <w:pPr>
              <w:jc w:val="center"/>
              <w:rPr>
                <w:rFonts w:hint="eastAsia" w:ascii="宋体" w:hAnsi="宋体" w:eastAsia="宋体" w:cs="Times New Roman"/>
                <w:szCs w:val="21"/>
              </w:rPr>
            </w:pPr>
          </w:p>
        </w:tc>
        <w:tc>
          <w:tcPr>
            <w:tcW w:w="540" w:type="pct"/>
            <w:vAlign w:val="center"/>
          </w:tcPr>
          <w:p w14:paraId="59C1D7D0">
            <w:pPr>
              <w:jc w:val="center"/>
              <w:rPr>
                <w:rFonts w:hint="eastAsia" w:ascii="宋体" w:hAnsi="宋体" w:eastAsia="宋体" w:cs="Times New Roman"/>
                <w:szCs w:val="21"/>
              </w:rPr>
            </w:pPr>
          </w:p>
        </w:tc>
        <w:tc>
          <w:tcPr>
            <w:tcW w:w="624" w:type="pct"/>
            <w:vAlign w:val="center"/>
          </w:tcPr>
          <w:p w14:paraId="22A63E25">
            <w:pPr>
              <w:jc w:val="center"/>
              <w:rPr>
                <w:rFonts w:hint="eastAsia" w:ascii="宋体" w:hAnsi="宋体" w:eastAsia="宋体" w:cs="Times New Roman"/>
                <w:szCs w:val="21"/>
              </w:rPr>
            </w:pPr>
          </w:p>
        </w:tc>
      </w:tr>
      <w:tr w14:paraId="52131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093FC0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954" w:type="pct"/>
            <w:vAlign w:val="center"/>
          </w:tcPr>
          <w:p w14:paraId="27930AB4">
            <w:pPr>
              <w:jc w:val="center"/>
              <w:rPr>
                <w:rFonts w:hint="eastAsia" w:ascii="宋体" w:hAnsi="宋体" w:eastAsia="宋体" w:cs="Times New Roman"/>
                <w:szCs w:val="21"/>
              </w:rPr>
            </w:pPr>
          </w:p>
        </w:tc>
        <w:tc>
          <w:tcPr>
            <w:tcW w:w="614" w:type="pct"/>
            <w:vAlign w:val="center"/>
          </w:tcPr>
          <w:p w14:paraId="55D3CA88">
            <w:pPr>
              <w:jc w:val="center"/>
              <w:rPr>
                <w:rFonts w:hint="eastAsia" w:ascii="宋体" w:hAnsi="宋体" w:eastAsia="宋体" w:cs="Times New Roman"/>
                <w:szCs w:val="21"/>
              </w:rPr>
            </w:pPr>
          </w:p>
        </w:tc>
        <w:tc>
          <w:tcPr>
            <w:tcW w:w="614" w:type="pct"/>
            <w:vAlign w:val="center"/>
          </w:tcPr>
          <w:p w14:paraId="3ACCBE84">
            <w:pPr>
              <w:jc w:val="center"/>
              <w:rPr>
                <w:rFonts w:hint="eastAsia" w:ascii="宋体" w:hAnsi="宋体" w:eastAsia="宋体" w:cs="Times New Roman"/>
                <w:szCs w:val="21"/>
              </w:rPr>
            </w:pPr>
          </w:p>
        </w:tc>
        <w:tc>
          <w:tcPr>
            <w:tcW w:w="613" w:type="pct"/>
            <w:vAlign w:val="center"/>
          </w:tcPr>
          <w:p w14:paraId="7B2DA817">
            <w:pPr>
              <w:jc w:val="center"/>
              <w:rPr>
                <w:rFonts w:hint="eastAsia" w:ascii="宋体" w:hAnsi="宋体" w:eastAsia="宋体" w:cs="Times New Roman"/>
                <w:szCs w:val="21"/>
              </w:rPr>
            </w:pPr>
          </w:p>
        </w:tc>
        <w:tc>
          <w:tcPr>
            <w:tcW w:w="614" w:type="pct"/>
            <w:vAlign w:val="center"/>
          </w:tcPr>
          <w:p w14:paraId="7C4A4D24">
            <w:pPr>
              <w:jc w:val="center"/>
              <w:rPr>
                <w:rFonts w:hint="eastAsia" w:ascii="宋体" w:hAnsi="宋体" w:eastAsia="宋体" w:cs="Times New Roman"/>
                <w:szCs w:val="21"/>
              </w:rPr>
            </w:pPr>
          </w:p>
        </w:tc>
        <w:tc>
          <w:tcPr>
            <w:tcW w:w="540" w:type="pct"/>
            <w:vAlign w:val="center"/>
          </w:tcPr>
          <w:p w14:paraId="6AACC53C">
            <w:pPr>
              <w:jc w:val="center"/>
              <w:rPr>
                <w:rFonts w:hint="eastAsia" w:ascii="宋体" w:hAnsi="宋体" w:eastAsia="宋体" w:cs="Times New Roman"/>
                <w:szCs w:val="21"/>
              </w:rPr>
            </w:pPr>
          </w:p>
        </w:tc>
        <w:tc>
          <w:tcPr>
            <w:tcW w:w="624" w:type="pct"/>
            <w:vAlign w:val="center"/>
          </w:tcPr>
          <w:p w14:paraId="3A2F64B3">
            <w:pPr>
              <w:jc w:val="center"/>
              <w:rPr>
                <w:rFonts w:hint="eastAsia" w:ascii="宋体" w:hAnsi="宋体" w:eastAsia="宋体" w:cs="Times New Roman"/>
                <w:szCs w:val="21"/>
              </w:rPr>
            </w:pPr>
          </w:p>
        </w:tc>
      </w:tr>
      <w:tr w14:paraId="6B96A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B34673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954" w:type="pct"/>
            <w:vAlign w:val="center"/>
          </w:tcPr>
          <w:p w14:paraId="7EA13C5C">
            <w:pPr>
              <w:jc w:val="center"/>
              <w:rPr>
                <w:rFonts w:hint="eastAsia" w:ascii="宋体" w:hAnsi="宋体" w:eastAsia="宋体" w:cs="Times New Roman"/>
                <w:szCs w:val="21"/>
              </w:rPr>
            </w:pPr>
          </w:p>
        </w:tc>
        <w:tc>
          <w:tcPr>
            <w:tcW w:w="614" w:type="pct"/>
            <w:vAlign w:val="center"/>
          </w:tcPr>
          <w:p w14:paraId="59B681AE">
            <w:pPr>
              <w:jc w:val="center"/>
              <w:rPr>
                <w:rFonts w:hint="eastAsia" w:ascii="宋体" w:hAnsi="宋体" w:eastAsia="宋体" w:cs="Times New Roman"/>
                <w:szCs w:val="21"/>
              </w:rPr>
            </w:pPr>
          </w:p>
        </w:tc>
        <w:tc>
          <w:tcPr>
            <w:tcW w:w="614" w:type="pct"/>
            <w:vAlign w:val="center"/>
          </w:tcPr>
          <w:p w14:paraId="3F568EAA">
            <w:pPr>
              <w:jc w:val="center"/>
              <w:rPr>
                <w:rFonts w:hint="eastAsia" w:ascii="宋体" w:hAnsi="宋体" w:eastAsia="宋体" w:cs="Times New Roman"/>
                <w:szCs w:val="21"/>
              </w:rPr>
            </w:pPr>
          </w:p>
        </w:tc>
        <w:tc>
          <w:tcPr>
            <w:tcW w:w="613" w:type="pct"/>
            <w:vAlign w:val="center"/>
          </w:tcPr>
          <w:p w14:paraId="4B74BAF1">
            <w:pPr>
              <w:jc w:val="center"/>
              <w:rPr>
                <w:rFonts w:hint="eastAsia" w:ascii="宋体" w:hAnsi="宋体" w:eastAsia="宋体" w:cs="Times New Roman"/>
                <w:szCs w:val="21"/>
              </w:rPr>
            </w:pPr>
          </w:p>
        </w:tc>
        <w:tc>
          <w:tcPr>
            <w:tcW w:w="614" w:type="pct"/>
            <w:vAlign w:val="center"/>
          </w:tcPr>
          <w:p w14:paraId="04E88F09">
            <w:pPr>
              <w:jc w:val="center"/>
              <w:rPr>
                <w:rFonts w:hint="eastAsia" w:ascii="宋体" w:hAnsi="宋体" w:eastAsia="宋体" w:cs="Times New Roman"/>
                <w:szCs w:val="21"/>
              </w:rPr>
            </w:pPr>
          </w:p>
        </w:tc>
        <w:tc>
          <w:tcPr>
            <w:tcW w:w="540" w:type="pct"/>
            <w:vAlign w:val="center"/>
          </w:tcPr>
          <w:p w14:paraId="4F42E4C7">
            <w:pPr>
              <w:jc w:val="center"/>
              <w:rPr>
                <w:rFonts w:hint="eastAsia" w:ascii="宋体" w:hAnsi="宋体" w:eastAsia="宋体" w:cs="Times New Roman"/>
                <w:szCs w:val="21"/>
              </w:rPr>
            </w:pPr>
          </w:p>
        </w:tc>
        <w:tc>
          <w:tcPr>
            <w:tcW w:w="624" w:type="pct"/>
            <w:vAlign w:val="center"/>
          </w:tcPr>
          <w:p w14:paraId="4A6DA61A">
            <w:pPr>
              <w:jc w:val="center"/>
              <w:rPr>
                <w:rFonts w:hint="eastAsia" w:ascii="宋体" w:hAnsi="宋体" w:eastAsia="宋体" w:cs="Times New Roman"/>
                <w:szCs w:val="21"/>
              </w:rPr>
            </w:pPr>
          </w:p>
        </w:tc>
      </w:tr>
      <w:tr w14:paraId="0065C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B684A0F">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954" w:type="pct"/>
            <w:vAlign w:val="center"/>
          </w:tcPr>
          <w:p w14:paraId="3678246F">
            <w:pPr>
              <w:jc w:val="center"/>
              <w:rPr>
                <w:rFonts w:hint="eastAsia" w:ascii="宋体" w:hAnsi="宋体" w:eastAsia="宋体" w:cs="Times New Roman"/>
                <w:szCs w:val="21"/>
              </w:rPr>
            </w:pPr>
          </w:p>
        </w:tc>
        <w:tc>
          <w:tcPr>
            <w:tcW w:w="614" w:type="pct"/>
            <w:vAlign w:val="center"/>
          </w:tcPr>
          <w:p w14:paraId="5EF6BBC0">
            <w:pPr>
              <w:jc w:val="center"/>
              <w:rPr>
                <w:rFonts w:hint="eastAsia" w:ascii="宋体" w:hAnsi="宋体" w:eastAsia="宋体" w:cs="Times New Roman"/>
                <w:szCs w:val="21"/>
              </w:rPr>
            </w:pPr>
          </w:p>
        </w:tc>
        <w:tc>
          <w:tcPr>
            <w:tcW w:w="614" w:type="pct"/>
            <w:vAlign w:val="center"/>
          </w:tcPr>
          <w:p w14:paraId="7A72B803">
            <w:pPr>
              <w:jc w:val="center"/>
              <w:rPr>
                <w:rFonts w:hint="eastAsia" w:ascii="宋体" w:hAnsi="宋体" w:eastAsia="宋体" w:cs="Times New Roman"/>
                <w:szCs w:val="21"/>
              </w:rPr>
            </w:pPr>
          </w:p>
        </w:tc>
        <w:tc>
          <w:tcPr>
            <w:tcW w:w="613" w:type="pct"/>
            <w:vAlign w:val="center"/>
          </w:tcPr>
          <w:p w14:paraId="29EB1CDF">
            <w:pPr>
              <w:jc w:val="center"/>
              <w:rPr>
                <w:rFonts w:hint="eastAsia" w:ascii="宋体" w:hAnsi="宋体" w:eastAsia="宋体" w:cs="Times New Roman"/>
                <w:szCs w:val="21"/>
              </w:rPr>
            </w:pPr>
          </w:p>
        </w:tc>
        <w:tc>
          <w:tcPr>
            <w:tcW w:w="614" w:type="pct"/>
            <w:vAlign w:val="center"/>
          </w:tcPr>
          <w:p w14:paraId="02E05C72">
            <w:pPr>
              <w:jc w:val="center"/>
              <w:rPr>
                <w:rFonts w:hint="eastAsia" w:ascii="宋体" w:hAnsi="宋体" w:eastAsia="宋体" w:cs="Times New Roman"/>
                <w:szCs w:val="21"/>
              </w:rPr>
            </w:pPr>
          </w:p>
        </w:tc>
        <w:tc>
          <w:tcPr>
            <w:tcW w:w="540" w:type="pct"/>
            <w:vAlign w:val="center"/>
          </w:tcPr>
          <w:p w14:paraId="23221793">
            <w:pPr>
              <w:jc w:val="center"/>
              <w:rPr>
                <w:rFonts w:hint="eastAsia" w:ascii="宋体" w:hAnsi="宋体" w:eastAsia="宋体" w:cs="Times New Roman"/>
                <w:szCs w:val="21"/>
              </w:rPr>
            </w:pPr>
          </w:p>
        </w:tc>
        <w:tc>
          <w:tcPr>
            <w:tcW w:w="624" w:type="pct"/>
            <w:vAlign w:val="center"/>
          </w:tcPr>
          <w:p w14:paraId="287CC81B">
            <w:pPr>
              <w:jc w:val="center"/>
              <w:rPr>
                <w:rFonts w:hint="eastAsia" w:ascii="宋体" w:hAnsi="宋体" w:eastAsia="宋体" w:cs="Times New Roman"/>
                <w:szCs w:val="21"/>
              </w:rPr>
            </w:pPr>
          </w:p>
        </w:tc>
      </w:tr>
      <w:tr w14:paraId="71579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0EFB8C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954" w:type="pct"/>
            <w:vAlign w:val="center"/>
          </w:tcPr>
          <w:p w14:paraId="7B5E35B9">
            <w:pPr>
              <w:jc w:val="center"/>
              <w:rPr>
                <w:rFonts w:hint="eastAsia" w:ascii="宋体" w:hAnsi="宋体" w:eastAsia="宋体" w:cs="Times New Roman"/>
                <w:szCs w:val="21"/>
              </w:rPr>
            </w:pPr>
          </w:p>
        </w:tc>
        <w:tc>
          <w:tcPr>
            <w:tcW w:w="614" w:type="pct"/>
            <w:vAlign w:val="center"/>
          </w:tcPr>
          <w:p w14:paraId="2584B866">
            <w:pPr>
              <w:jc w:val="center"/>
              <w:rPr>
                <w:rFonts w:hint="eastAsia" w:ascii="宋体" w:hAnsi="宋体" w:eastAsia="宋体" w:cs="Times New Roman"/>
                <w:szCs w:val="21"/>
              </w:rPr>
            </w:pPr>
          </w:p>
        </w:tc>
        <w:tc>
          <w:tcPr>
            <w:tcW w:w="614" w:type="pct"/>
            <w:vAlign w:val="center"/>
          </w:tcPr>
          <w:p w14:paraId="5D360996">
            <w:pPr>
              <w:jc w:val="center"/>
              <w:rPr>
                <w:rFonts w:hint="eastAsia" w:ascii="宋体" w:hAnsi="宋体" w:eastAsia="宋体" w:cs="Times New Roman"/>
                <w:szCs w:val="21"/>
              </w:rPr>
            </w:pPr>
          </w:p>
        </w:tc>
        <w:tc>
          <w:tcPr>
            <w:tcW w:w="613" w:type="pct"/>
            <w:vAlign w:val="center"/>
          </w:tcPr>
          <w:p w14:paraId="1EB6C5F7">
            <w:pPr>
              <w:jc w:val="center"/>
              <w:rPr>
                <w:rFonts w:hint="eastAsia" w:ascii="宋体" w:hAnsi="宋体" w:eastAsia="宋体" w:cs="Times New Roman"/>
                <w:szCs w:val="21"/>
              </w:rPr>
            </w:pPr>
          </w:p>
        </w:tc>
        <w:tc>
          <w:tcPr>
            <w:tcW w:w="614" w:type="pct"/>
            <w:vAlign w:val="center"/>
          </w:tcPr>
          <w:p w14:paraId="3E413C85">
            <w:pPr>
              <w:jc w:val="center"/>
              <w:rPr>
                <w:rFonts w:hint="eastAsia" w:ascii="宋体" w:hAnsi="宋体" w:eastAsia="宋体" w:cs="Times New Roman"/>
                <w:szCs w:val="21"/>
              </w:rPr>
            </w:pPr>
          </w:p>
        </w:tc>
        <w:tc>
          <w:tcPr>
            <w:tcW w:w="540" w:type="pct"/>
            <w:vAlign w:val="center"/>
          </w:tcPr>
          <w:p w14:paraId="190CA09D">
            <w:pPr>
              <w:jc w:val="center"/>
              <w:rPr>
                <w:rFonts w:hint="eastAsia" w:ascii="宋体" w:hAnsi="宋体" w:eastAsia="宋体" w:cs="Times New Roman"/>
                <w:szCs w:val="21"/>
              </w:rPr>
            </w:pPr>
          </w:p>
        </w:tc>
        <w:tc>
          <w:tcPr>
            <w:tcW w:w="624" w:type="pct"/>
            <w:vAlign w:val="center"/>
          </w:tcPr>
          <w:p w14:paraId="189823AE">
            <w:pPr>
              <w:jc w:val="center"/>
              <w:rPr>
                <w:rFonts w:hint="eastAsia" w:ascii="宋体" w:hAnsi="宋体" w:eastAsia="宋体" w:cs="Times New Roman"/>
                <w:szCs w:val="21"/>
              </w:rPr>
            </w:pPr>
          </w:p>
        </w:tc>
      </w:tr>
      <w:tr w14:paraId="5F647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3C56212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954" w:type="pct"/>
            <w:vAlign w:val="center"/>
          </w:tcPr>
          <w:p w14:paraId="25B66F31">
            <w:pPr>
              <w:jc w:val="center"/>
              <w:rPr>
                <w:rFonts w:hint="eastAsia" w:ascii="宋体" w:hAnsi="宋体" w:eastAsia="宋体" w:cs="Times New Roman"/>
                <w:szCs w:val="21"/>
              </w:rPr>
            </w:pPr>
          </w:p>
        </w:tc>
        <w:tc>
          <w:tcPr>
            <w:tcW w:w="614" w:type="pct"/>
            <w:vAlign w:val="center"/>
          </w:tcPr>
          <w:p w14:paraId="7FDC336C">
            <w:pPr>
              <w:jc w:val="center"/>
              <w:rPr>
                <w:rFonts w:hint="eastAsia" w:ascii="宋体" w:hAnsi="宋体" w:eastAsia="宋体" w:cs="Times New Roman"/>
                <w:szCs w:val="21"/>
              </w:rPr>
            </w:pPr>
          </w:p>
        </w:tc>
        <w:tc>
          <w:tcPr>
            <w:tcW w:w="614" w:type="pct"/>
            <w:vAlign w:val="center"/>
          </w:tcPr>
          <w:p w14:paraId="7FA3AACC">
            <w:pPr>
              <w:jc w:val="center"/>
              <w:rPr>
                <w:rFonts w:hint="eastAsia" w:ascii="宋体" w:hAnsi="宋体" w:eastAsia="宋体" w:cs="Times New Roman"/>
                <w:szCs w:val="21"/>
              </w:rPr>
            </w:pPr>
          </w:p>
        </w:tc>
        <w:tc>
          <w:tcPr>
            <w:tcW w:w="613" w:type="pct"/>
            <w:vAlign w:val="center"/>
          </w:tcPr>
          <w:p w14:paraId="0982C197">
            <w:pPr>
              <w:jc w:val="center"/>
              <w:rPr>
                <w:rFonts w:hint="eastAsia" w:ascii="宋体" w:hAnsi="宋体" w:eastAsia="宋体" w:cs="Times New Roman"/>
                <w:szCs w:val="21"/>
              </w:rPr>
            </w:pPr>
          </w:p>
        </w:tc>
        <w:tc>
          <w:tcPr>
            <w:tcW w:w="614" w:type="pct"/>
            <w:vAlign w:val="center"/>
          </w:tcPr>
          <w:p w14:paraId="110813A7">
            <w:pPr>
              <w:jc w:val="center"/>
              <w:rPr>
                <w:rFonts w:hint="eastAsia" w:ascii="宋体" w:hAnsi="宋体" w:eastAsia="宋体" w:cs="Times New Roman"/>
                <w:szCs w:val="21"/>
              </w:rPr>
            </w:pPr>
          </w:p>
        </w:tc>
        <w:tc>
          <w:tcPr>
            <w:tcW w:w="540" w:type="pct"/>
            <w:vAlign w:val="center"/>
          </w:tcPr>
          <w:p w14:paraId="2576DECF">
            <w:pPr>
              <w:jc w:val="center"/>
              <w:rPr>
                <w:rFonts w:hint="eastAsia" w:ascii="宋体" w:hAnsi="宋体" w:eastAsia="宋体" w:cs="Times New Roman"/>
                <w:szCs w:val="21"/>
              </w:rPr>
            </w:pPr>
          </w:p>
        </w:tc>
        <w:tc>
          <w:tcPr>
            <w:tcW w:w="624" w:type="pct"/>
            <w:vAlign w:val="center"/>
          </w:tcPr>
          <w:p w14:paraId="74FDC529">
            <w:pPr>
              <w:jc w:val="center"/>
              <w:rPr>
                <w:rFonts w:hint="eastAsia" w:ascii="宋体" w:hAnsi="宋体" w:eastAsia="宋体" w:cs="Times New Roman"/>
                <w:szCs w:val="21"/>
              </w:rPr>
            </w:pPr>
          </w:p>
        </w:tc>
      </w:tr>
    </w:tbl>
    <w:p w14:paraId="715ADA2F">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注：</w:t>
      </w:r>
    </w:p>
    <w:p w14:paraId="046291A0">
      <w:pPr>
        <w:widowControl/>
        <w:jc w:val="left"/>
        <w:rPr>
          <w:rFonts w:hint="eastAsia" w:ascii="宋体" w:hAnsi="宋体" w:eastAsia="宋体" w:cs="Times New Roman"/>
          <w:kern w:val="0"/>
          <w:szCs w:val="21"/>
        </w:rPr>
      </w:pPr>
      <w:r>
        <w:rPr>
          <w:rFonts w:hint="eastAsia" w:ascii="宋体" w:hAnsi="宋体" w:eastAsia="宋体" w:cs="Times New Roman"/>
          <w:kern w:val="0"/>
          <w:szCs w:val="21"/>
        </w:rPr>
        <w:t>1.</w:t>
      </w:r>
      <w:r>
        <w:rPr>
          <w:rFonts w:ascii="宋体" w:hAnsi="宋体" w:eastAsia="宋体" w:cs="Times New Roman"/>
          <w:kern w:val="0"/>
          <w:szCs w:val="21"/>
        </w:rPr>
        <w:t>制造商为小型或微型企业时才需要填“制造商企业类型”栏，填写内容为“小型”或“微型”；</w:t>
      </w:r>
    </w:p>
    <w:p w14:paraId="3F6B8EE6">
      <w:pPr>
        <w:widowControl/>
        <w:jc w:val="left"/>
        <w:rPr>
          <w:rFonts w:hint="eastAsia" w:ascii="宋体" w:hAnsi="宋体" w:eastAsia="宋体" w:cs="Times New Roman"/>
          <w:kern w:val="0"/>
          <w:szCs w:val="21"/>
        </w:rPr>
      </w:pPr>
      <w:r>
        <w:rPr>
          <w:rFonts w:hint="eastAsia" w:ascii="宋体" w:hAnsi="宋体" w:eastAsia="宋体" w:cs="Times New Roman"/>
          <w:kern w:val="0"/>
          <w:szCs w:val="21"/>
        </w:rPr>
        <w:t>2.</w:t>
      </w:r>
      <w:r>
        <w:rPr>
          <w:rFonts w:ascii="宋体" w:hAnsi="宋体" w:eastAsia="宋体" w:cs="Times New Roman"/>
          <w:kern w:val="0"/>
          <w:szCs w:val="21"/>
        </w:rPr>
        <w:t>节能产品须填写认证证书编号，并提供投标产品的节能产品认证证书复印件加盖投标人公章；</w:t>
      </w:r>
    </w:p>
    <w:p w14:paraId="683EB6DB">
      <w:pPr>
        <w:widowControl/>
        <w:jc w:val="left"/>
        <w:rPr>
          <w:rFonts w:hint="eastAsia"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rPr>
        <w:t>环保标志产品须填写认证证书编号，并提供投标产品的环保标志产品认证证书复印件加盖投标人公章。</w:t>
      </w:r>
    </w:p>
    <w:p w14:paraId="507882DE">
      <w:pPr>
        <w:widowControl/>
        <w:jc w:val="left"/>
        <w:rPr>
          <w:rFonts w:hint="eastAsia" w:ascii="宋体" w:hAnsi="宋体" w:eastAsia="宋体" w:cs="Times New Roman"/>
          <w:kern w:val="0"/>
          <w:szCs w:val="21"/>
        </w:rPr>
      </w:pPr>
      <w:r>
        <w:rPr>
          <w:rFonts w:hint="eastAsia" w:ascii="宋体" w:hAnsi="宋体" w:eastAsia="宋体" w:cs="Times New Roman"/>
          <w:kern w:val="0"/>
          <w:szCs w:val="21"/>
        </w:rPr>
        <w:t>4.</w:t>
      </w:r>
      <w:r>
        <w:rPr>
          <w:rFonts w:ascii="宋体" w:hAnsi="宋体" w:eastAsia="宋体" w:cs="Times New Roman"/>
          <w:kern w:val="0"/>
          <w:szCs w:val="21"/>
        </w:rPr>
        <w:t>以上证明资料未按要求提供或未提供完整的，视为未提供处理。</w:t>
      </w:r>
    </w:p>
    <w:p w14:paraId="408F5013">
      <w:pPr>
        <w:widowControl/>
        <w:spacing w:before="870" w:beforeLines="200" w:line="300" w:lineRule="auto"/>
        <w:jc w:val="left"/>
        <w:rPr>
          <w:rFonts w:hint="eastAsia" w:ascii="宋体" w:hAnsi="宋体" w:eastAsia="宋体" w:cs="Times New Roman"/>
          <w:kern w:val="0"/>
          <w:szCs w:val="21"/>
          <w:lang w:eastAsia="zh-Hans"/>
        </w:rPr>
      </w:pPr>
      <w:bookmarkStart w:id="43" w:name="_Hlk170133816"/>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572FE3C7">
      <w:pPr>
        <w:widowControl/>
        <w:spacing w:line="300" w:lineRule="auto"/>
        <w:jc w:val="left"/>
        <w:rPr>
          <w:rFonts w:hint="eastAsia" w:ascii="宋体" w:hAnsi="宋体" w:eastAsia="宋体" w:cs="Times New Roman"/>
          <w:kern w:val="0"/>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bookmarkEnd w:id="43"/>
    </w:p>
    <w:p w14:paraId="6D32E3FF">
      <w:pPr>
        <w:pageBreakBefore/>
        <w:rPr>
          <w:rFonts w:hint="eastAsia" w:ascii="宋体" w:hAnsi="宋体" w:eastAsia="宋体" w:cs="Times New Roman"/>
          <w:kern w:val="0"/>
          <w:szCs w:val="21"/>
          <w:lang w:eastAsia="zh-Hans"/>
        </w:rPr>
      </w:pPr>
      <w:bookmarkStart w:id="44" w:name="_Toc169799794"/>
      <w:r>
        <w:rPr>
          <w:rFonts w:ascii="宋体" w:hAnsi="宋体" w:eastAsia="宋体"/>
          <w:b/>
          <w:bCs/>
          <w:sz w:val="24"/>
          <w:szCs w:val="28"/>
        </w:rPr>
        <w:t>格式</w:t>
      </w:r>
      <w:r>
        <w:rPr>
          <w:rFonts w:hint="eastAsia" w:ascii="宋体" w:hAnsi="宋体" w:eastAsia="宋体"/>
          <w:b/>
          <w:bCs/>
          <w:sz w:val="24"/>
          <w:szCs w:val="28"/>
          <w:lang w:val="en-US" w:eastAsia="zh-CN"/>
        </w:rPr>
        <w:t>五</w:t>
      </w:r>
      <w:r>
        <w:rPr>
          <w:rFonts w:ascii="宋体" w:hAnsi="宋体" w:eastAsia="宋体"/>
          <w:b/>
          <w:bCs/>
          <w:sz w:val="24"/>
          <w:szCs w:val="28"/>
        </w:rPr>
        <w:t>：</w:t>
      </w:r>
      <w:bookmarkEnd w:id="44"/>
    </w:p>
    <w:p w14:paraId="3C8AB30E">
      <w:pPr>
        <w:widowControl/>
        <w:jc w:val="left"/>
        <w:rPr>
          <w:rFonts w:hint="eastAsia" w:ascii="宋体" w:hAnsi="宋体" w:eastAsia="宋体" w:cs="Times New Roman"/>
          <w:kern w:val="0"/>
          <w:szCs w:val="21"/>
          <w:lang w:eastAsia="zh-Hans"/>
        </w:rPr>
      </w:pPr>
      <w:bookmarkStart w:id="45" w:name="_Hlk169795196"/>
      <w:r>
        <w:rPr>
          <w:rFonts w:ascii="宋体" w:hAnsi="宋体" w:eastAsia="宋体" w:cs="Times New Roman"/>
          <w:kern w:val="0"/>
          <w:szCs w:val="21"/>
          <w:lang w:eastAsia="zh-Hans"/>
        </w:rPr>
        <w:t>（以下格式文件由供应商根据需要选用）</w:t>
      </w:r>
      <w:bookmarkEnd w:id="45"/>
    </w:p>
    <w:p w14:paraId="0042352F">
      <w:pPr>
        <w:widowControl/>
        <w:spacing w:before="435" w:beforeLines="100" w:after="217" w:afterLines="50"/>
        <w:jc w:val="center"/>
        <w:outlineLvl w:val="3"/>
        <w:rPr>
          <w:rFonts w:hint="eastAsia" w:ascii="宋体" w:hAnsi="宋体" w:eastAsia="宋体" w:cs="Times New Roman"/>
          <w:kern w:val="0"/>
          <w:sz w:val="28"/>
          <w:szCs w:val="28"/>
          <w:lang w:eastAsia="zh-Hans"/>
        </w:rPr>
      </w:pPr>
      <w:r>
        <w:rPr>
          <w:rFonts w:ascii="宋体" w:hAnsi="宋体" w:eastAsia="宋体" w:cs="Times New Roman"/>
          <w:b/>
          <w:kern w:val="0"/>
          <w:sz w:val="32"/>
          <w:szCs w:val="32"/>
          <w:lang w:eastAsia="zh-Hans"/>
        </w:rPr>
        <w:t>联合体共同投标协议书</w:t>
      </w:r>
    </w:p>
    <w:p w14:paraId="5B3B438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立约方：</w:t>
      </w:r>
      <w:r>
        <w:rPr>
          <w:rFonts w:ascii="宋体" w:hAnsi="宋体" w:eastAsia="宋体" w:cs="Times New Roman"/>
          <w:kern w:val="0"/>
          <w:szCs w:val="21"/>
          <w:u w:val="single"/>
          <w:lang w:eastAsia="zh-Hans"/>
        </w:rPr>
        <w:t>（甲公司全称）</w:t>
      </w:r>
    </w:p>
    <w:p w14:paraId="760EE7A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（乙公司全称）</w:t>
      </w:r>
    </w:p>
    <w:p w14:paraId="0092254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（……公司全称）</w:t>
      </w:r>
    </w:p>
    <w:p w14:paraId="6BD2B07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（甲公司全称）、（乙公司全称）、（……公司全称）</w:t>
      </w:r>
      <w:r>
        <w:rPr>
          <w:rFonts w:ascii="宋体" w:hAnsi="宋体" w:eastAsia="宋体" w:cs="Times New Roman"/>
          <w:kern w:val="0"/>
          <w:szCs w:val="21"/>
          <w:lang w:eastAsia="zh-Hans"/>
        </w:rPr>
        <w:t>自愿组成联合体，以一个投标人的身份共同参加（采购项目名称）（采购项目编号）的响应活动。经各方充分协商一致，就项目的响应和合同实施阶段的有关事务协商一致订立协议如下：</w:t>
      </w:r>
    </w:p>
    <w:p w14:paraId="67B35C1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一、联合体各方关系</w:t>
      </w:r>
    </w:p>
    <w:p w14:paraId="585A76DC">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（甲公司全称）、（乙公司全称）、（……公司全称）</w:t>
      </w:r>
      <w:r>
        <w:rPr>
          <w:rFonts w:ascii="宋体" w:hAnsi="宋体" w:eastAsia="宋体" w:cs="Times New Roman"/>
          <w:kern w:val="0"/>
          <w:szCs w:val="21"/>
          <w:lang w:eastAsia="zh-Hans"/>
        </w:rPr>
        <w:t>共同组成一个联合体，以一个投标人的身份共同参加本项目的响应。（甲公司全称）、（乙公司全称）、（……公司全称）作为联合体成员，若中标，联合体各方共同与（采购人）签订采购合同。</w:t>
      </w:r>
    </w:p>
    <w:p w14:paraId="239CB94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二、联合体内部有关事项约定如下：</w:t>
      </w:r>
    </w:p>
    <w:p w14:paraId="5B74F8FB">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1.（甲公司全称）作为联合体的牵头单位，代表联合体双方负责投标和合同实施阶段的主办、协调工作。</w:t>
      </w:r>
    </w:p>
    <w:p w14:paraId="4B859851">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2.联合体将严格按照文件的各项要求，递交投标文件，切实执行一切合同文件，共同承担合同规定的一切义务和责任，同时按照内部职责的划分，承担自身所负的责任和风险，在法律上承担连带责任。</w:t>
      </w:r>
    </w:p>
    <w:p w14:paraId="0B77A4FD">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3.如果本联合体中标，</w:t>
      </w:r>
      <w:r>
        <w:rPr>
          <w:rFonts w:ascii="宋体" w:hAnsi="宋体" w:eastAsia="宋体" w:cs="Times New Roman"/>
          <w:kern w:val="0"/>
          <w:szCs w:val="21"/>
          <w:u w:val="single"/>
          <w:lang w:eastAsia="zh-Hans"/>
        </w:rPr>
        <w:t>（甲公司全称）</w:t>
      </w:r>
      <w:r>
        <w:rPr>
          <w:rFonts w:ascii="宋体" w:hAnsi="宋体" w:eastAsia="宋体" w:cs="Times New Roman"/>
          <w:kern w:val="0"/>
          <w:szCs w:val="21"/>
          <w:lang w:eastAsia="zh-Hans"/>
        </w:rPr>
        <w:t>负责本项目___________部分，</w:t>
      </w:r>
      <w:r>
        <w:rPr>
          <w:rFonts w:ascii="宋体" w:hAnsi="宋体" w:eastAsia="宋体" w:cs="Times New Roman"/>
          <w:kern w:val="0"/>
          <w:szCs w:val="21"/>
          <w:u w:val="single"/>
          <w:lang w:eastAsia="zh-Hans"/>
        </w:rPr>
        <w:t>（乙公司全称）</w:t>
      </w:r>
      <w:r>
        <w:rPr>
          <w:rFonts w:ascii="宋体" w:hAnsi="宋体" w:eastAsia="宋体" w:cs="Times New Roman"/>
          <w:kern w:val="0"/>
          <w:szCs w:val="21"/>
          <w:lang w:eastAsia="zh-Hans"/>
        </w:rPr>
        <w:t>负责本项目___________部分。</w:t>
      </w:r>
    </w:p>
    <w:p w14:paraId="1C89384C">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4.如中标，联合体各方共同与（采购人）签订合同书，并就中标项目向采购人负责有连带的和各自的法律责任；</w:t>
      </w:r>
    </w:p>
    <w:p w14:paraId="4A7C0B07">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5.联合体成员（公司全称）为（请填写：小型、微型）企业，将承担合同总金额_____%的工作内容（联合体成员中有小型、微型企业时适用）。</w:t>
      </w:r>
    </w:p>
    <w:p w14:paraId="4B12FD0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14:paraId="379DC4D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四、联合体如因违约过失责任而导致采购人经济损失或被索赔时，本联合体任何一方均同意无条件优先清偿采购人的一切债务和经济赔偿。</w:t>
      </w:r>
    </w:p>
    <w:p w14:paraId="5EFD062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五、本协议在自签署之日起生效，有效期内有效，如获中标资格，合同有效期延续至合同履行完毕之日。</w:t>
      </w:r>
    </w:p>
    <w:p w14:paraId="4ABEE18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六、本协议书正本一式_____份，随投标文件装订_____份，送采购人_____份，联合体成员各一份；副本一式_____份，联合体成员各执_____份。</w:t>
      </w:r>
    </w:p>
    <w:p w14:paraId="4AE43BD9">
      <w:pPr>
        <w:widowControl/>
        <w:jc w:val="left"/>
        <w:rPr>
          <w:rFonts w:hint="eastAsia" w:ascii="宋体" w:hAnsi="宋体" w:eastAsia="宋体" w:cs="Times New Roman"/>
          <w:kern w:val="0"/>
          <w:szCs w:val="21"/>
        </w:rPr>
      </w:pPr>
    </w:p>
    <w:p w14:paraId="0192ADEC">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甲公司全称：____（盖章）________，乙公司全称：____（盖章）________，……公司全称：____（盖章）________</w:t>
      </w:r>
    </w:p>
    <w:p w14:paraId="28ED159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____年____月 ____日，____年____月____日，____年____月____日</w:t>
      </w:r>
    </w:p>
    <w:p w14:paraId="5C322820">
      <w:pPr>
        <w:widowControl/>
        <w:spacing w:before="1305" w:beforeLines="300"/>
        <w:jc w:val="left"/>
        <w:rPr>
          <w:rFonts w:hint="eastAsia" w:ascii="宋体" w:hAnsi="宋体" w:eastAsia="宋体" w:cs="Times New Roman"/>
          <w:kern w:val="0"/>
          <w:szCs w:val="21"/>
        </w:rPr>
      </w:pPr>
      <w:r>
        <w:rPr>
          <w:rFonts w:ascii="宋体" w:hAnsi="宋体" w:eastAsia="宋体" w:cs="Times New Roman"/>
          <w:kern w:val="0"/>
          <w:szCs w:val="21"/>
          <w:lang w:eastAsia="zh-Hans"/>
        </w:rPr>
        <w:t>注：</w:t>
      </w:r>
    </w:p>
    <w:p w14:paraId="4201A14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1．联合响应时需签本协议，联合体各方成员应在本协议上共同盖章确认。</w:t>
      </w:r>
    </w:p>
    <w:p w14:paraId="7ABB6D6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2．本协议内容不得擅自修改。此协议将作为签订合同的附件之一。</w:t>
      </w:r>
    </w:p>
    <w:p w14:paraId="0BD94F0C">
      <w:pPr>
        <w:widowControl/>
        <w:jc w:val="left"/>
        <w:rPr>
          <w:rFonts w:ascii="Calibri" w:hAnsi="Calibri" w:eastAsia="宋体" w:cs="Times New Roman"/>
          <w:kern w:val="0"/>
          <w:sz w:val="20"/>
          <w:szCs w:val="20"/>
          <w:lang w:eastAsia="zh-Hans"/>
        </w:rPr>
      </w:pPr>
    </w:p>
    <w:p w14:paraId="35752D22">
      <w:pPr>
        <w:widowControl/>
        <w:jc w:val="left"/>
        <w:rPr>
          <w:rFonts w:ascii="Calibri" w:hAnsi="Calibri" w:eastAsia="宋体" w:cs="Times New Roman"/>
          <w:kern w:val="0"/>
          <w:sz w:val="20"/>
          <w:szCs w:val="20"/>
        </w:rPr>
      </w:pPr>
    </w:p>
    <w:p w14:paraId="66556174">
      <w:pPr>
        <w:pageBreakBefore/>
        <w:rPr>
          <w:rFonts w:ascii="Calibri" w:hAnsi="Calibri" w:eastAsia="宋体" w:cs="Times New Roman"/>
          <w:kern w:val="0"/>
          <w:sz w:val="20"/>
          <w:szCs w:val="20"/>
          <w:lang w:eastAsia="zh-Hans"/>
        </w:rPr>
      </w:pPr>
      <w:bookmarkStart w:id="46" w:name="_Toc169799795"/>
      <w:r>
        <w:rPr>
          <w:rFonts w:ascii="宋体" w:hAnsi="宋体" w:eastAsia="宋体"/>
          <w:b/>
          <w:bCs/>
          <w:sz w:val="24"/>
          <w:szCs w:val="28"/>
        </w:rPr>
        <w:t>格式</w:t>
      </w:r>
      <w:r>
        <w:rPr>
          <w:rFonts w:hint="eastAsia" w:ascii="宋体" w:hAnsi="宋体" w:eastAsia="宋体"/>
          <w:b/>
          <w:bCs/>
          <w:sz w:val="24"/>
          <w:szCs w:val="28"/>
          <w:lang w:val="en-US" w:eastAsia="zh-CN"/>
        </w:rPr>
        <w:t>六</w:t>
      </w:r>
      <w:r>
        <w:rPr>
          <w:rFonts w:ascii="宋体" w:hAnsi="宋体" w:eastAsia="宋体"/>
          <w:b/>
          <w:bCs/>
          <w:sz w:val="24"/>
          <w:szCs w:val="28"/>
        </w:rPr>
        <w:t>：</w:t>
      </w:r>
      <w:bookmarkEnd w:id="46"/>
    </w:p>
    <w:p w14:paraId="60FF7229">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法定代表人证明书</w:t>
      </w:r>
    </w:p>
    <w:p w14:paraId="1B5269A6">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现任我单位</w:t>
      </w:r>
      <w:r>
        <w:rPr>
          <w:rFonts w:hint="eastAsia" w:ascii="宋体" w:hAnsi="宋体" w:eastAsia="宋体" w:cs="Times New Roman"/>
          <w:kern w:val="0"/>
          <w:szCs w:val="21"/>
        </w:rPr>
        <w:t xml:space="preserve"> </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职务，为法定代表人，特此证明。</w:t>
      </w:r>
    </w:p>
    <w:p w14:paraId="3BA829A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有效期限：</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7516106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附：代表人性别：</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身份证号码：</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29B8915D">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统一社会信用代码</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企业类型：</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33F215C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经营范围：</w:t>
      </w:r>
      <w:r>
        <w:rPr>
          <w:rFonts w:hint="eastAsia" w:ascii="宋体" w:hAnsi="宋体" w:eastAsia="宋体" w:cs="Times New Roman"/>
          <w:kern w:val="0"/>
          <w:szCs w:val="21"/>
          <w:u w:val="single"/>
        </w:rPr>
        <w:t xml:space="preserve">                                                                       </w:t>
      </w:r>
    </w:p>
    <w:p w14:paraId="5EFC658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p>
    <w:p w14:paraId="0705A6A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p>
    <w:p w14:paraId="4174DA6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116CE5A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hint="eastAsia" w:ascii="宋体" w:hAnsi="宋体" w:eastAsia="宋体" w:cs="Times New Roman"/>
          <w:kern w:val="0"/>
          <w:szCs w:val="21"/>
          <w:u w:val="single"/>
        </w:rPr>
        <w:t xml:space="preserve">                     </w:t>
      </w:r>
    </w:p>
    <w:p w14:paraId="78C4812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433303D1">
      <w:pPr>
        <w:spacing w:before="217" w:beforeLines="50" w:after="217" w:afterLines="50" w:line="360" w:lineRule="auto"/>
        <w:rPr>
          <w:rFonts w:hint="eastAsia" w:ascii="宋体" w:hAnsi="宋体" w:eastAsia="宋体"/>
          <w:szCs w:val="21"/>
        </w:rPr>
      </w:pPr>
    </w:p>
    <w:p w14:paraId="56AEA32A">
      <w:pPr>
        <w:spacing w:before="217" w:beforeLines="50" w:after="217" w:afterLines="50" w:line="360" w:lineRule="auto"/>
        <w:rPr>
          <w:rFonts w:hint="eastAsia" w:ascii="宋体" w:hAnsi="宋体" w:eastAsia="宋体"/>
          <w:szCs w:val="21"/>
        </w:rPr>
      </w:pPr>
      <w:r>
        <w:rPr>
          <w:rFonts w:hint="eastAsia" w:ascii="宋体" w:hAnsi="宋体" w:eastAsia="宋体"/>
          <w:szCs w:val="21"/>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B0DBCDD">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66700A06">
            <w:pPr>
              <w:pStyle w:val="27"/>
              <w:spacing w:line="460" w:lineRule="exact"/>
              <w:ind w:firstLine="0" w:firstLineChars="0"/>
              <w:jc w:val="center"/>
              <w:rPr>
                <w:rFonts w:hint="eastAsia" w:ascii="宋体" w:eastAsia="宋体"/>
                <w:sz w:val="21"/>
                <w:szCs w:val="21"/>
              </w:rPr>
            </w:pPr>
            <w:r>
              <w:rPr>
                <w:rFonts w:hint="eastAsia" w:ascii="宋体" w:eastAsia="宋体"/>
                <w:sz w:val="21"/>
                <w:szCs w:val="21"/>
              </w:rPr>
              <w:t>正面</w:t>
            </w:r>
          </w:p>
        </w:tc>
        <w:tc>
          <w:tcPr>
            <w:tcW w:w="2500" w:type="pct"/>
            <w:vAlign w:val="center"/>
          </w:tcPr>
          <w:p w14:paraId="37C1F87C">
            <w:pPr>
              <w:pStyle w:val="27"/>
              <w:spacing w:line="460" w:lineRule="exact"/>
              <w:ind w:firstLine="0" w:firstLineChars="0"/>
              <w:jc w:val="center"/>
              <w:rPr>
                <w:rFonts w:hint="eastAsia" w:ascii="宋体" w:eastAsia="宋体"/>
                <w:sz w:val="21"/>
                <w:szCs w:val="21"/>
              </w:rPr>
            </w:pPr>
            <w:r>
              <w:rPr>
                <w:rFonts w:hint="eastAsia" w:ascii="宋体" w:eastAsia="宋体"/>
                <w:sz w:val="21"/>
                <w:szCs w:val="21"/>
              </w:rPr>
              <w:t>背面</w:t>
            </w:r>
          </w:p>
        </w:tc>
      </w:tr>
    </w:tbl>
    <w:p w14:paraId="728AB0C5">
      <w:pPr>
        <w:widowControl/>
        <w:jc w:val="left"/>
        <w:rPr>
          <w:rFonts w:ascii="Calibri" w:hAnsi="Calibri" w:eastAsia="宋体" w:cs="Times New Roman"/>
          <w:kern w:val="0"/>
          <w:sz w:val="20"/>
          <w:szCs w:val="20"/>
          <w:lang w:eastAsia="zh-Hans"/>
        </w:rPr>
      </w:pPr>
    </w:p>
    <w:p w14:paraId="4F56ED7B">
      <w:pPr>
        <w:pageBreakBefore/>
        <w:rPr>
          <w:rFonts w:ascii="Calibri" w:hAnsi="Calibri" w:eastAsia="宋体" w:cs="Times New Roman"/>
          <w:kern w:val="0"/>
          <w:sz w:val="20"/>
          <w:szCs w:val="20"/>
          <w:lang w:eastAsia="zh-Hans"/>
        </w:rPr>
      </w:pPr>
      <w:bookmarkStart w:id="47" w:name="_Toc169799796"/>
      <w:r>
        <w:rPr>
          <w:rFonts w:ascii="宋体" w:hAnsi="宋体" w:eastAsia="宋体"/>
          <w:b/>
          <w:bCs/>
          <w:sz w:val="24"/>
          <w:szCs w:val="28"/>
        </w:rPr>
        <w:t>格式</w:t>
      </w:r>
      <w:r>
        <w:rPr>
          <w:rFonts w:hint="eastAsia" w:ascii="宋体" w:hAnsi="宋体" w:eastAsia="宋体"/>
          <w:b/>
          <w:bCs/>
          <w:sz w:val="24"/>
          <w:szCs w:val="28"/>
          <w:lang w:val="en-US" w:eastAsia="zh-CN"/>
        </w:rPr>
        <w:t>七</w:t>
      </w:r>
      <w:r>
        <w:rPr>
          <w:rFonts w:ascii="宋体" w:hAnsi="宋体" w:eastAsia="宋体"/>
          <w:b/>
          <w:bCs/>
          <w:sz w:val="24"/>
          <w:szCs w:val="28"/>
        </w:rPr>
        <w:t>：</w:t>
      </w:r>
      <w:bookmarkEnd w:id="47"/>
    </w:p>
    <w:p w14:paraId="7DCFE2A7">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法定代表人授权</w:t>
      </w:r>
      <w:r>
        <w:rPr>
          <w:rFonts w:hint="eastAsia" w:ascii="Calibri" w:hAnsi="Calibri" w:eastAsia="宋体" w:cs="Times New Roman"/>
          <w:b/>
          <w:kern w:val="0"/>
          <w:sz w:val="32"/>
          <w:lang w:eastAsia="zh-Hans"/>
        </w:rPr>
        <w:t>委托</w:t>
      </w:r>
      <w:r>
        <w:rPr>
          <w:rFonts w:ascii="Calibri" w:hAnsi="Calibri" w:eastAsia="宋体" w:cs="Times New Roman"/>
          <w:b/>
          <w:kern w:val="0"/>
          <w:sz w:val="32"/>
          <w:lang w:eastAsia="zh-Hans"/>
        </w:rPr>
        <w:t>书</w:t>
      </w:r>
    </w:p>
    <w:p w14:paraId="57D16DD5">
      <w:pPr>
        <w:spacing w:before="652" w:beforeLines="150" w:line="360" w:lineRule="auto"/>
        <w:rPr>
          <w:rFonts w:hint="eastAsia"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广东智汇城市招标采购有限公司</w:t>
      </w:r>
    </w:p>
    <w:p w14:paraId="790689B3">
      <w:pPr>
        <w:pStyle w:val="27"/>
        <w:spacing w:line="360" w:lineRule="auto"/>
        <w:ind w:firstLine="450" w:firstLineChars="0"/>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（投标人名称）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）投标文件、签订合同和处理有关事宜，其法律后果由我方承担。</w:t>
      </w:r>
    </w:p>
    <w:p w14:paraId="08FB17FC">
      <w:pPr>
        <w:pStyle w:val="27"/>
        <w:spacing w:line="360" w:lineRule="auto"/>
        <w:ind w:firstLine="428" w:firstLineChars="204"/>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77B99FA5">
      <w:pPr>
        <w:widowControl/>
        <w:spacing w:before="652" w:beforeLines="1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名称</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加</w:t>
      </w:r>
      <w:r>
        <w:rPr>
          <w:rFonts w:ascii="宋体" w:hAnsi="宋体" w:eastAsia="宋体" w:cs="Times New Roman"/>
          <w:kern w:val="0"/>
          <w:szCs w:val="21"/>
          <w:lang w:eastAsia="zh-Hans"/>
        </w:rPr>
        <w:t>盖</w:t>
      </w:r>
      <w:r>
        <w:rPr>
          <w:rFonts w:hint="eastAsia" w:ascii="宋体" w:hAnsi="宋体" w:eastAsia="宋体" w:cs="Times New Roman"/>
          <w:kern w:val="0"/>
          <w:szCs w:val="21"/>
          <w:lang w:eastAsia="zh-Hans"/>
        </w:rPr>
        <w:t>公</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6C531E6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781D217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10738FA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5BA38BC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被授权人（签字或盖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1738E5A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787A3FE8">
      <w:pPr>
        <w:pStyle w:val="27"/>
        <w:spacing w:line="360" w:lineRule="auto"/>
        <w:ind w:firstLine="0" w:firstLineChars="0"/>
        <w:rPr>
          <w:rFonts w:hint="eastAsia"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30289412">
      <w:pPr>
        <w:pStyle w:val="27"/>
        <w:spacing w:line="360" w:lineRule="auto"/>
        <w:ind w:firstLine="0" w:firstLineChars="0"/>
        <w:rPr>
          <w:rFonts w:hint="eastAsia" w:ascii="宋体" w:eastAsia="宋体"/>
          <w:color w:val="000000" w:themeColor="text1"/>
          <w:sz w:val="21"/>
          <w:szCs w:val="21"/>
          <w14:textFill>
            <w14:solidFill>
              <w14:schemeClr w14:val="tx1"/>
            </w14:solidFill>
          </w14:textFill>
        </w:rPr>
      </w:pPr>
    </w:p>
    <w:p w14:paraId="0BDA4B79">
      <w:pPr>
        <w:spacing w:after="217" w:afterLines="50" w:line="36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67D425D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460AC46C">
            <w:pPr>
              <w:pStyle w:val="27"/>
              <w:spacing w:line="460" w:lineRule="exact"/>
              <w:ind w:firstLine="0" w:firstLineChars="0"/>
              <w:jc w:val="center"/>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7CE0BD6F">
            <w:pPr>
              <w:pStyle w:val="27"/>
              <w:spacing w:line="460" w:lineRule="exact"/>
              <w:ind w:firstLine="0" w:firstLineChars="0"/>
              <w:jc w:val="center"/>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3FD8368D">
      <w:pPr>
        <w:widowControl/>
        <w:jc w:val="left"/>
        <w:rPr>
          <w:rFonts w:ascii="Calibri" w:hAnsi="Calibri" w:eastAsia="宋体" w:cs="Times New Roman"/>
          <w:kern w:val="0"/>
          <w:sz w:val="20"/>
          <w:szCs w:val="20"/>
          <w:lang w:eastAsia="zh-Hans"/>
        </w:rPr>
      </w:pPr>
    </w:p>
    <w:p w14:paraId="15CE9483">
      <w:pPr>
        <w:pageBreakBefore/>
        <w:rPr>
          <w:rFonts w:hint="eastAsia" w:ascii="宋体" w:hAnsi="宋体" w:eastAsia="宋体"/>
          <w:b/>
          <w:bCs/>
        </w:rPr>
      </w:pPr>
      <w:r>
        <w:rPr>
          <w:rFonts w:hint="eastAsia" w:ascii="宋体" w:hAnsi="宋体" w:eastAsia="宋体"/>
          <w:b/>
          <w:bCs/>
          <w:sz w:val="24"/>
          <w:szCs w:val="28"/>
        </w:rPr>
        <w:t>格式</w:t>
      </w:r>
      <w:r>
        <w:rPr>
          <w:rFonts w:hint="eastAsia" w:ascii="宋体" w:hAnsi="宋体" w:eastAsia="宋体"/>
          <w:b/>
          <w:bCs/>
          <w:sz w:val="24"/>
          <w:szCs w:val="28"/>
          <w:lang w:val="en-US" w:eastAsia="zh-CN"/>
        </w:rPr>
        <w:t>八</w:t>
      </w:r>
      <w:r>
        <w:rPr>
          <w:rFonts w:hint="eastAsia" w:ascii="宋体" w:hAnsi="宋体" w:eastAsia="宋体"/>
          <w:b/>
          <w:bCs/>
          <w:sz w:val="24"/>
          <w:szCs w:val="28"/>
        </w:rPr>
        <w:t>：</w:t>
      </w:r>
    </w:p>
    <w:p w14:paraId="0C3D1044">
      <w:pPr>
        <w:spacing w:before="217" w:beforeLines="50" w:after="435" w:afterLines="100" w:line="360" w:lineRule="auto"/>
        <w:jc w:val="center"/>
        <w:rPr>
          <w:rFonts w:hint="eastAsia" w:ascii="宋体" w:hAnsi="宋体" w:eastAsia="宋体"/>
          <w:b/>
          <w:color w:val="000000" w:themeColor="text1"/>
          <w:sz w:val="30"/>
          <w:szCs w:val="30"/>
          <w14:textFill>
            <w14:solidFill>
              <w14:schemeClr w14:val="tx1"/>
            </w14:solidFill>
          </w14:textFill>
        </w:rPr>
      </w:pPr>
      <w:r>
        <w:rPr>
          <w:rFonts w:hint="eastAsia" w:ascii="宋体" w:hAnsi="宋体" w:eastAsia="宋体"/>
          <w:b/>
          <w:color w:val="000000" w:themeColor="text1"/>
          <w:sz w:val="32"/>
          <w:szCs w:val="32"/>
          <w14:textFill>
            <w14:solidFill>
              <w14:schemeClr w14:val="tx1"/>
            </w14:solidFill>
          </w14:textFill>
        </w:rPr>
        <w:t>资格条件承诺函</w:t>
      </w:r>
    </w:p>
    <w:p w14:paraId="02830B8C">
      <w:pPr>
        <w:adjustRightInd w:val="0"/>
        <w:snapToGrid w:val="0"/>
        <w:spacing w:line="360" w:lineRule="auto"/>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广东智汇城市招标采购有限公司：</w:t>
      </w:r>
    </w:p>
    <w:p w14:paraId="59254574">
      <w:pPr>
        <w:adjustRightInd w:val="0"/>
        <w:snapToGrid w:val="0"/>
        <w:spacing w:before="217" w:beforeLines="50" w:line="360" w:lineRule="auto"/>
        <w:ind w:firstLine="424" w:firstLineChars="202"/>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关于贵公司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）的采购公告，我方愿意参加投标，并承诺：</w:t>
      </w:r>
    </w:p>
    <w:p w14:paraId="063C4BB7">
      <w:pPr>
        <w:pStyle w:val="24"/>
        <w:widowControl/>
        <w:numPr>
          <w:ilvl w:val="0"/>
          <w:numId w:val="11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46C24915">
      <w:pPr>
        <w:pStyle w:val="24"/>
        <w:widowControl/>
        <w:numPr>
          <w:ilvl w:val="0"/>
          <w:numId w:val="11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52CE498D">
      <w:pPr>
        <w:pStyle w:val="24"/>
        <w:widowControl/>
        <w:numPr>
          <w:ilvl w:val="0"/>
          <w:numId w:val="11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67C8DA0D">
      <w:pPr>
        <w:pStyle w:val="24"/>
        <w:widowControl/>
        <w:numPr>
          <w:ilvl w:val="0"/>
          <w:numId w:val="11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1600931B">
      <w:pPr>
        <w:pStyle w:val="24"/>
        <w:widowControl/>
        <w:numPr>
          <w:ilvl w:val="0"/>
          <w:numId w:val="11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法律、行政法规规定的其他条件。</w:t>
      </w:r>
    </w:p>
    <w:p w14:paraId="0A64737D">
      <w:pPr>
        <w:pStyle w:val="24"/>
        <w:widowControl/>
        <w:numPr>
          <w:ilvl w:val="0"/>
          <w:numId w:val="11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4C5AB622">
      <w:pPr>
        <w:pStyle w:val="24"/>
        <w:widowControl/>
        <w:numPr>
          <w:ilvl w:val="0"/>
          <w:numId w:val="111"/>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728E52BE">
      <w:pPr>
        <w:adjustRightInd w:val="0"/>
        <w:snapToGrid w:val="0"/>
        <w:spacing w:line="360" w:lineRule="auto"/>
        <w:ind w:firstLine="424" w:firstLineChars="202"/>
        <w:rPr>
          <w:rFonts w:hint="eastAsia" w:ascii="宋体" w:hAnsi="宋体" w:eastAsia="宋体"/>
          <w:szCs w:val="21"/>
        </w:rPr>
      </w:pPr>
      <w:r>
        <w:rPr>
          <w:rFonts w:hint="eastAsia" w:ascii="宋体" w:hAnsi="宋体" w:eastAsia="宋体"/>
          <w:szCs w:val="21"/>
        </w:rPr>
        <w:t>我方对上述承诺的真实性负责，在评审环节结束后，自愿接受采购单位（采购代理机构）的检查核验，配合提供相关证明材料，证明符合相关资格条件。如有虚假，将依法承担相应法律责任。</w:t>
      </w:r>
    </w:p>
    <w:p w14:paraId="6FE3D491">
      <w:pPr>
        <w:adjustRightInd w:val="0"/>
        <w:snapToGrid w:val="0"/>
        <w:spacing w:before="217" w:beforeLines="50" w:line="360" w:lineRule="auto"/>
        <w:ind w:firstLine="42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特此承诺。</w:t>
      </w:r>
    </w:p>
    <w:p w14:paraId="3F0D5A55">
      <w:pPr>
        <w:rPr>
          <w:rFonts w:hint="eastAsia" w:ascii="宋体" w:hAnsi="宋体" w:eastAsia="宋体" w:cs="Times New Roman"/>
          <w:szCs w:val="21"/>
        </w:rPr>
      </w:pPr>
    </w:p>
    <w:p w14:paraId="292E86F7">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D5D902E">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C7AECF3">
      <w:pPr>
        <w:rPr>
          <w:rFonts w:hint="eastAsia" w:ascii="宋体" w:hAnsi="宋体" w:eastAsia="宋体" w:cs="Times New Roman"/>
          <w:szCs w:val="21"/>
        </w:rPr>
      </w:pPr>
    </w:p>
    <w:p w14:paraId="7734C3C5">
      <w:pPr>
        <w:pageBreakBefore/>
        <w:rPr>
          <w:rFonts w:ascii="Calibri" w:hAnsi="Calibri" w:eastAsia="宋体" w:cs="Times New Roman"/>
          <w:kern w:val="0"/>
          <w:szCs w:val="21"/>
          <w:lang w:eastAsia="zh-Hans"/>
        </w:rPr>
      </w:pPr>
      <w:bookmarkStart w:id="48" w:name="_Toc169799798"/>
      <w:r>
        <w:rPr>
          <w:rFonts w:ascii="宋体" w:hAnsi="宋体" w:eastAsia="宋体"/>
          <w:b/>
          <w:bCs/>
          <w:sz w:val="24"/>
          <w:szCs w:val="28"/>
        </w:rPr>
        <w:t>格式</w:t>
      </w:r>
      <w:r>
        <w:rPr>
          <w:rFonts w:hint="eastAsia" w:ascii="宋体" w:hAnsi="宋体" w:eastAsia="宋体"/>
          <w:b/>
          <w:bCs/>
          <w:sz w:val="24"/>
          <w:szCs w:val="28"/>
          <w:lang w:val="en-US" w:eastAsia="zh-CN"/>
        </w:rPr>
        <w:t>九</w:t>
      </w:r>
      <w:r>
        <w:rPr>
          <w:rFonts w:ascii="宋体" w:hAnsi="宋体" w:eastAsia="宋体"/>
          <w:b/>
          <w:bCs/>
          <w:sz w:val="24"/>
          <w:szCs w:val="28"/>
        </w:rPr>
        <w:t>：</w:t>
      </w:r>
      <w:bookmarkEnd w:id="48"/>
    </w:p>
    <w:p w14:paraId="586D8965">
      <w:pPr>
        <w:widowControl/>
        <w:spacing w:before="217" w:beforeLines="50"/>
        <w:jc w:val="center"/>
        <w:outlineLvl w:val="3"/>
        <w:rPr>
          <w:rFonts w:ascii="Calibri" w:hAnsi="Calibri" w:eastAsia="宋体" w:cs="Times New Roman"/>
          <w:kern w:val="0"/>
          <w:sz w:val="20"/>
          <w:szCs w:val="20"/>
        </w:rPr>
      </w:pPr>
      <w:r>
        <w:rPr>
          <w:rFonts w:ascii="Calibri" w:hAnsi="Calibri" w:eastAsia="宋体" w:cs="Times New Roman"/>
          <w:b/>
          <w:kern w:val="0"/>
          <w:sz w:val="28"/>
          <w:szCs w:val="21"/>
          <w:lang w:eastAsia="zh-Hans"/>
        </w:rPr>
        <w:t>提供具有独立承担民事责任的能力的证明材料</w:t>
      </w:r>
    </w:p>
    <w:p w14:paraId="22365597">
      <w:pPr>
        <w:widowControl/>
        <w:jc w:val="left"/>
        <w:rPr>
          <w:rFonts w:ascii="Calibri" w:hAnsi="Calibri" w:eastAsia="宋体" w:cs="Times New Roman"/>
          <w:kern w:val="0"/>
          <w:sz w:val="20"/>
          <w:szCs w:val="20"/>
          <w:lang w:eastAsia="zh-Hans"/>
        </w:rPr>
      </w:pPr>
    </w:p>
    <w:p w14:paraId="1A5B9033">
      <w:pPr>
        <w:pageBreakBefore/>
        <w:rPr>
          <w:rFonts w:hint="eastAsia" w:ascii="宋体" w:hAnsi="宋体" w:eastAsia="宋体"/>
          <w:b/>
          <w:bCs/>
        </w:rPr>
      </w:pPr>
      <w:bookmarkStart w:id="49" w:name="_Toc405313974"/>
      <w:bookmarkStart w:id="50" w:name="_Toc391627770"/>
      <w:r>
        <w:rPr>
          <w:rFonts w:hint="eastAsia" w:ascii="宋体" w:hAnsi="宋体" w:eastAsia="宋体"/>
          <w:b/>
          <w:bCs/>
          <w:sz w:val="24"/>
          <w:szCs w:val="28"/>
        </w:rPr>
        <w:t>格式十：</w:t>
      </w:r>
    </w:p>
    <w:p w14:paraId="2CEE831F">
      <w:pPr>
        <w:spacing w:after="217" w:afterLines="50" w:line="360" w:lineRule="auto"/>
        <w:jc w:val="center"/>
        <w:rPr>
          <w:rFonts w:hint="eastAsia" w:ascii="宋体" w:hAnsi="宋体" w:eastAsia="宋体"/>
          <w:b/>
          <w:sz w:val="22"/>
        </w:rPr>
      </w:pPr>
      <w:r>
        <w:rPr>
          <w:rFonts w:hint="eastAsia" w:ascii="宋体" w:hAnsi="宋体" w:eastAsia="宋体"/>
          <w:b/>
          <w:sz w:val="32"/>
          <w:szCs w:val="32"/>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9EF5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B4D73C8">
            <w:pPr>
              <w:jc w:val="center"/>
              <w:rPr>
                <w:rFonts w:hint="eastAsia" w:ascii="宋体" w:hAnsi="宋体" w:eastAsia="宋体"/>
                <w:b/>
                <w:bCs/>
                <w:szCs w:val="21"/>
              </w:rPr>
            </w:pPr>
            <w:r>
              <w:rPr>
                <w:rFonts w:hint="eastAsia" w:ascii="宋体" w:hAnsi="宋体" w:eastAsia="宋体"/>
                <w:b/>
                <w:bCs/>
                <w:szCs w:val="21"/>
              </w:rPr>
              <w:t>序号</w:t>
            </w:r>
          </w:p>
        </w:tc>
        <w:tc>
          <w:tcPr>
            <w:tcW w:w="1563" w:type="pct"/>
            <w:vAlign w:val="center"/>
          </w:tcPr>
          <w:p w14:paraId="348F685B">
            <w:pPr>
              <w:jc w:val="center"/>
              <w:rPr>
                <w:rFonts w:hint="eastAsia" w:ascii="宋体" w:hAnsi="宋体" w:eastAsia="宋体"/>
                <w:b/>
                <w:bCs/>
                <w:szCs w:val="21"/>
              </w:rPr>
            </w:pPr>
            <w:r>
              <w:rPr>
                <w:rFonts w:hint="eastAsia" w:ascii="宋体" w:hAnsi="宋体" w:eastAsia="宋体"/>
                <w:b/>
                <w:bCs/>
                <w:szCs w:val="21"/>
              </w:rPr>
              <w:t>名称</w:t>
            </w:r>
          </w:p>
        </w:tc>
        <w:tc>
          <w:tcPr>
            <w:tcW w:w="1164" w:type="pct"/>
            <w:vAlign w:val="center"/>
          </w:tcPr>
          <w:p w14:paraId="783578B9">
            <w:pPr>
              <w:jc w:val="center"/>
              <w:rPr>
                <w:rFonts w:hint="eastAsia" w:ascii="宋体" w:hAnsi="宋体" w:eastAsia="宋体"/>
                <w:b/>
                <w:bCs/>
                <w:szCs w:val="21"/>
              </w:rPr>
            </w:pPr>
            <w:r>
              <w:rPr>
                <w:rFonts w:hint="eastAsia" w:ascii="宋体" w:hAnsi="宋体" w:eastAsia="宋体"/>
                <w:b/>
                <w:bCs/>
                <w:szCs w:val="21"/>
              </w:rPr>
              <w:t>规格型号</w:t>
            </w:r>
          </w:p>
        </w:tc>
        <w:tc>
          <w:tcPr>
            <w:tcW w:w="732" w:type="pct"/>
            <w:vAlign w:val="center"/>
          </w:tcPr>
          <w:p w14:paraId="11ADD769">
            <w:pPr>
              <w:jc w:val="center"/>
              <w:rPr>
                <w:rFonts w:hint="eastAsia" w:ascii="宋体" w:hAnsi="宋体" w:eastAsia="宋体"/>
                <w:b/>
                <w:bCs/>
                <w:szCs w:val="21"/>
              </w:rPr>
            </w:pPr>
            <w:r>
              <w:rPr>
                <w:rFonts w:hint="eastAsia" w:ascii="宋体" w:hAnsi="宋体" w:eastAsia="宋体"/>
                <w:b/>
                <w:bCs/>
                <w:szCs w:val="21"/>
              </w:rPr>
              <w:t>数量</w:t>
            </w:r>
          </w:p>
        </w:tc>
        <w:tc>
          <w:tcPr>
            <w:tcW w:w="1009" w:type="pct"/>
            <w:vAlign w:val="center"/>
          </w:tcPr>
          <w:p w14:paraId="3E5E1C1D">
            <w:pPr>
              <w:jc w:val="center"/>
              <w:rPr>
                <w:rFonts w:hint="eastAsia" w:ascii="宋体" w:hAnsi="宋体" w:eastAsia="宋体"/>
                <w:b/>
                <w:bCs/>
                <w:szCs w:val="21"/>
              </w:rPr>
            </w:pPr>
            <w:r>
              <w:rPr>
                <w:rFonts w:hint="eastAsia" w:ascii="宋体" w:hAnsi="宋体" w:eastAsia="宋体"/>
                <w:b/>
                <w:bCs/>
                <w:szCs w:val="21"/>
              </w:rPr>
              <w:t>备注</w:t>
            </w:r>
          </w:p>
        </w:tc>
      </w:tr>
      <w:tr w14:paraId="36D5B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27E03ED7">
            <w:pPr>
              <w:jc w:val="center"/>
              <w:rPr>
                <w:rFonts w:hint="eastAsia" w:ascii="宋体" w:hAnsi="宋体" w:eastAsia="宋体"/>
                <w:szCs w:val="21"/>
              </w:rPr>
            </w:pPr>
          </w:p>
        </w:tc>
        <w:tc>
          <w:tcPr>
            <w:tcW w:w="1563" w:type="pct"/>
            <w:vAlign w:val="center"/>
          </w:tcPr>
          <w:p w14:paraId="27AB17EF">
            <w:pPr>
              <w:jc w:val="center"/>
              <w:rPr>
                <w:rFonts w:hint="eastAsia" w:ascii="宋体" w:hAnsi="宋体" w:eastAsia="宋体"/>
                <w:szCs w:val="21"/>
              </w:rPr>
            </w:pPr>
          </w:p>
        </w:tc>
        <w:tc>
          <w:tcPr>
            <w:tcW w:w="1164" w:type="pct"/>
            <w:vAlign w:val="center"/>
          </w:tcPr>
          <w:p w14:paraId="3E7F1EFA">
            <w:pPr>
              <w:jc w:val="center"/>
              <w:rPr>
                <w:rFonts w:hint="eastAsia" w:ascii="宋体" w:hAnsi="宋体" w:eastAsia="宋体"/>
                <w:szCs w:val="21"/>
              </w:rPr>
            </w:pPr>
          </w:p>
        </w:tc>
        <w:tc>
          <w:tcPr>
            <w:tcW w:w="732" w:type="pct"/>
            <w:vAlign w:val="center"/>
          </w:tcPr>
          <w:p w14:paraId="4D6D9A33">
            <w:pPr>
              <w:jc w:val="center"/>
              <w:rPr>
                <w:rFonts w:hint="eastAsia" w:ascii="宋体" w:hAnsi="宋体" w:eastAsia="宋体"/>
                <w:szCs w:val="21"/>
              </w:rPr>
            </w:pPr>
          </w:p>
        </w:tc>
        <w:tc>
          <w:tcPr>
            <w:tcW w:w="1009" w:type="pct"/>
            <w:vAlign w:val="center"/>
          </w:tcPr>
          <w:p w14:paraId="499A193D">
            <w:pPr>
              <w:jc w:val="center"/>
              <w:rPr>
                <w:rFonts w:hint="eastAsia" w:ascii="宋体" w:hAnsi="宋体" w:eastAsia="宋体"/>
                <w:szCs w:val="21"/>
              </w:rPr>
            </w:pPr>
          </w:p>
        </w:tc>
      </w:tr>
      <w:tr w14:paraId="5304B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4D54C706">
            <w:pPr>
              <w:jc w:val="center"/>
              <w:rPr>
                <w:rFonts w:hint="eastAsia" w:ascii="宋体" w:hAnsi="宋体" w:eastAsia="宋体"/>
                <w:szCs w:val="21"/>
              </w:rPr>
            </w:pPr>
          </w:p>
        </w:tc>
        <w:tc>
          <w:tcPr>
            <w:tcW w:w="1563" w:type="pct"/>
            <w:vAlign w:val="center"/>
          </w:tcPr>
          <w:p w14:paraId="01D41A48">
            <w:pPr>
              <w:jc w:val="center"/>
              <w:rPr>
                <w:rFonts w:hint="eastAsia" w:ascii="宋体" w:hAnsi="宋体" w:eastAsia="宋体"/>
                <w:szCs w:val="21"/>
              </w:rPr>
            </w:pPr>
          </w:p>
        </w:tc>
        <w:tc>
          <w:tcPr>
            <w:tcW w:w="1164" w:type="pct"/>
            <w:vAlign w:val="center"/>
          </w:tcPr>
          <w:p w14:paraId="56F101BC">
            <w:pPr>
              <w:jc w:val="center"/>
              <w:rPr>
                <w:rFonts w:hint="eastAsia" w:ascii="宋体" w:hAnsi="宋体" w:eastAsia="宋体"/>
                <w:szCs w:val="21"/>
              </w:rPr>
            </w:pPr>
          </w:p>
        </w:tc>
        <w:tc>
          <w:tcPr>
            <w:tcW w:w="732" w:type="pct"/>
            <w:vAlign w:val="center"/>
          </w:tcPr>
          <w:p w14:paraId="5B956B8A">
            <w:pPr>
              <w:jc w:val="center"/>
              <w:rPr>
                <w:rFonts w:hint="eastAsia" w:ascii="宋体" w:hAnsi="宋体" w:eastAsia="宋体"/>
                <w:szCs w:val="21"/>
              </w:rPr>
            </w:pPr>
          </w:p>
        </w:tc>
        <w:tc>
          <w:tcPr>
            <w:tcW w:w="1009" w:type="pct"/>
            <w:vAlign w:val="center"/>
          </w:tcPr>
          <w:p w14:paraId="492C53EC">
            <w:pPr>
              <w:jc w:val="center"/>
              <w:rPr>
                <w:rFonts w:hint="eastAsia" w:ascii="宋体" w:hAnsi="宋体" w:eastAsia="宋体"/>
                <w:szCs w:val="21"/>
              </w:rPr>
            </w:pPr>
          </w:p>
        </w:tc>
      </w:tr>
      <w:tr w14:paraId="11509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FB993C1">
            <w:pPr>
              <w:jc w:val="center"/>
              <w:rPr>
                <w:rFonts w:hint="eastAsia" w:ascii="宋体" w:hAnsi="宋体" w:eastAsia="宋体"/>
                <w:szCs w:val="21"/>
              </w:rPr>
            </w:pPr>
          </w:p>
        </w:tc>
        <w:tc>
          <w:tcPr>
            <w:tcW w:w="1563" w:type="pct"/>
            <w:vAlign w:val="center"/>
          </w:tcPr>
          <w:p w14:paraId="7F0787C3">
            <w:pPr>
              <w:jc w:val="center"/>
              <w:rPr>
                <w:rFonts w:hint="eastAsia" w:ascii="宋体" w:hAnsi="宋体" w:eastAsia="宋体"/>
                <w:szCs w:val="21"/>
              </w:rPr>
            </w:pPr>
          </w:p>
        </w:tc>
        <w:tc>
          <w:tcPr>
            <w:tcW w:w="1164" w:type="pct"/>
            <w:vAlign w:val="center"/>
          </w:tcPr>
          <w:p w14:paraId="05273825">
            <w:pPr>
              <w:jc w:val="center"/>
              <w:rPr>
                <w:rFonts w:hint="eastAsia" w:ascii="宋体" w:hAnsi="宋体" w:eastAsia="宋体"/>
                <w:szCs w:val="21"/>
              </w:rPr>
            </w:pPr>
          </w:p>
        </w:tc>
        <w:tc>
          <w:tcPr>
            <w:tcW w:w="732" w:type="pct"/>
            <w:vAlign w:val="center"/>
          </w:tcPr>
          <w:p w14:paraId="65A3176A">
            <w:pPr>
              <w:jc w:val="center"/>
              <w:rPr>
                <w:rFonts w:hint="eastAsia" w:ascii="宋体" w:hAnsi="宋体" w:eastAsia="宋体"/>
                <w:szCs w:val="21"/>
              </w:rPr>
            </w:pPr>
          </w:p>
        </w:tc>
        <w:tc>
          <w:tcPr>
            <w:tcW w:w="1009" w:type="pct"/>
            <w:vAlign w:val="center"/>
          </w:tcPr>
          <w:p w14:paraId="796D1CF8">
            <w:pPr>
              <w:jc w:val="center"/>
              <w:rPr>
                <w:rFonts w:hint="eastAsia" w:ascii="宋体" w:hAnsi="宋体" w:eastAsia="宋体"/>
                <w:szCs w:val="21"/>
              </w:rPr>
            </w:pPr>
          </w:p>
        </w:tc>
      </w:tr>
      <w:tr w14:paraId="0C65C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AE80E83">
            <w:pPr>
              <w:jc w:val="center"/>
              <w:rPr>
                <w:rFonts w:hint="eastAsia" w:ascii="宋体" w:hAnsi="宋体" w:eastAsia="宋体"/>
                <w:szCs w:val="21"/>
              </w:rPr>
            </w:pPr>
          </w:p>
        </w:tc>
        <w:tc>
          <w:tcPr>
            <w:tcW w:w="1563" w:type="pct"/>
            <w:vAlign w:val="center"/>
          </w:tcPr>
          <w:p w14:paraId="2C1AE864">
            <w:pPr>
              <w:jc w:val="center"/>
              <w:rPr>
                <w:rFonts w:hint="eastAsia" w:ascii="宋体" w:hAnsi="宋体" w:eastAsia="宋体"/>
                <w:szCs w:val="21"/>
              </w:rPr>
            </w:pPr>
          </w:p>
        </w:tc>
        <w:tc>
          <w:tcPr>
            <w:tcW w:w="1164" w:type="pct"/>
            <w:vAlign w:val="center"/>
          </w:tcPr>
          <w:p w14:paraId="2CFAEEB9">
            <w:pPr>
              <w:jc w:val="center"/>
              <w:rPr>
                <w:rFonts w:hint="eastAsia" w:ascii="宋体" w:hAnsi="宋体" w:eastAsia="宋体"/>
                <w:szCs w:val="21"/>
              </w:rPr>
            </w:pPr>
          </w:p>
        </w:tc>
        <w:tc>
          <w:tcPr>
            <w:tcW w:w="732" w:type="pct"/>
            <w:vAlign w:val="center"/>
          </w:tcPr>
          <w:p w14:paraId="20288824">
            <w:pPr>
              <w:jc w:val="center"/>
              <w:rPr>
                <w:rFonts w:hint="eastAsia" w:ascii="宋体" w:hAnsi="宋体" w:eastAsia="宋体"/>
                <w:szCs w:val="21"/>
              </w:rPr>
            </w:pPr>
          </w:p>
        </w:tc>
        <w:tc>
          <w:tcPr>
            <w:tcW w:w="1009" w:type="pct"/>
            <w:vAlign w:val="center"/>
          </w:tcPr>
          <w:p w14:paraId="3DE9C3F2">
            <w:pPr>
              <w:jc w:val="center"/>
              <w:rPr>
                <w:rFonts w:hint="eastAsia" w:ascii="宋体" w:hAnsi="宋体" w:eastAsia="宋体"/>
                <w:szCs w:val="21"/>
              </w:rPr>
            </w:pPr>
          </w:p>
        </w:tc>
      </w:tr>
      <w:tr w14:paraId="6714A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9C72D04">
            <w:pPr>
              <w:jc w:val="center"/>
              <w:rPr>
                <w:rFonts w:hint="eastAsia" w:ascii="宋体" w:hAnsi="宋体" w:eastAsia="宋体"/>
                <w:szCs w:val="21"/>
              </w:rPr>
            </w:pPr>
          </w:p>
        </w:tc>
        <w:tc>
          <w:tcPr>
            <w:tcW w:w="1563" w:type="pct"/>
            <w:vAlign w:val="center"/>
          </w:tcPr>
          <w:p w14:paraId="2AEC2E5F">
            <w:pPr>
              <w:jc w:val="center"/>
              <w:rPr>
                <w:rFonts w:hint="eastAsia" w:ascii="宋体" w:hAnsi="宋体" w:eastAsia="宋体"/>
                <w:szCs w:val="21"/>
              </w:rPr>
            </w:pPr>
          </w:p>
        </w:tc>
        <w:tc>
          <w:tcPr>
            <w:tcW w:w="1164" w:type="pct"/>
            <w:vAlign w:val="center"/>
          </w:tcPr>
          <w:p w14:paraId="026C2F43">
            <w:pPr>
              <w:jc w:val="center"/>
              <w:rPr>
                <w:rFonts w:hint="eastAsia" w:ascii="宋体" w:hAnsi="宋体" w:eastAsia="宋体"/>
                <w:szCs w:val="21"/>
              </w:rPr>
            </w:pPr>
          </w:p>
        </w:tc>
        <w:tc>
          <w:tcPr>
            <w:tcW w:w="732" w:type="pct"/>
            <w:vAlign w:val="center"/>
          </w:tcPr>
          <w:p w14:paraId="0FE8B5C0">
            <w:pPr>
              <w:jc w:val="center"/>
              <w:rPr>
                <w:rFonts w:hint="eastAsia" w:ascii="宋体" w:hAnsi="宋体" w:eastAsia="宋体"/>
                <w:szCs w:val="21"/>
              </w:rPr>
            </w:pPr>
          </w:p>
        </w:tc>
        <w:tc>
          <w:tcPr>
            <w:tcW w:w="1009" w:type="pct"/>
            <w:vAlign w:val="center"/>
          </w:tcPr>
          <w:p w14:paraId="46605AA0">
            <w:pPr>
              <w:jc w:val="center"/>
              <w:rPr>
                <w:rFonts w:hint="eastAsia" w:ascii="宋体" w:hAnsi="宋体" w:eastAsia="宋体"/>
                <w:szCs w:val="21"/>
              </w:rPr>
            </w:pPr>
          </w:p>
        </w:tc>
      </w:tr>
      <w:tr w14:paraId="2B5BB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0C0B056">
            <w:pPr>
              <w:jc w:val="center"/>
              <w:rPr>
                <w:rFonts w:hint="eastAsia" w:ascii="宋体" w:hAnsi="宋体" w:eastAsia="宋体"/>
                <w:szCs w:val="21"/>
              </w:rPr>
            </w:pPr>
          </w:p>
        </w:tc>
        <w:tc>
          <w:tcPr>
            <w:tcW w:w="1563" w:type="pct"/>
            <w:vAlign w:val="center"/>
          </w:tcPr>
          <w:p w14:paraId="002AC7CC">
            <w:pPr>
              <w:jc w:val="center"/>
              <w:rPr>
                <w:rFonts w:hint="eastAsia" w:ascii="宋体" w:hAnsi="宋体" w:eastAsia="宋体"/>
                <w:szCs w:val="21"/>
              </w:rPr>
            </w:pPr>
          </w:p>
        </w:tc>
        <w:tc>
          <w:tcPr>
            <w:tcW w:w="1164" w:type="pct"/>
            <w:vAlign w:val="center"/>
          </w:tcPr>
          <w:p w14:paraId="702BFA81">
            <w:pPr>
              <w:jc w:val="center"/>
              <w:rPr>
                <w:rFonts w:hint="eastAsia" w:ascii="宋体" w:hAnsi="宋体" w:eastAsia="宋体"/>
                <w:szCs w:val="21"/>
              </w:rPr>
            </w:pPr>
          </w:p>
        </w:tc>
        <w:tc>
          <w:tcPr>
            <w:tcW w:w="732" w:type="pct"/>
            <w:vAlign w:val="center"/>
          </w:tcPr>
          <w:p w14:paraId="082DF6B7">
            <w:pPr>
              <w:jc w:val="center"/>
              <w:rPr>
                <w:rFonts w:hint="eastAsia" w:ascii="宋体" w:hAnsi="宋体" w:eastAsia="宋体"/>
                <w:szCs w:val="21"/>
              </w:rPr>
            </w:pPr>
          </w:p>
        </w:tc>
        <w:tc>
          <w:tcPr>
            <w:tcW w:w="1009" w:type="pct"/>
            <w:vAlign w:val="center"/>
          </w:tcPr>
          <w:p w14:paraId="7EF24010">
            <w:pPr>
              <w:jc w:val="center"/>
              <w:rPr>
                <w:rFonts w:hint="eastAsia" w:ascii="宋体" w:hAnsi="宋体" w:eastAsia="宋体"/>
                <w:szCs w:val="21"/>
              </w:rPr>
            </w:pPr>
          </w:p>
        </w:tc>
      </w:tr>
      <w:tr w14:paraId="0C485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781D556">
            <w:pPr>
              <w:jc w:val="center"/>
              <w:rPr>
                <w:rFonts w:hint="eastAsia" w:ascii="宋体" w:hAnsi="宋体" w:eastAsia="宋体"/>
                <w:szCs w:val="21"/>
              </w:rPr>
            </w:pPr>
          </w:p>
        </w:tc>
        <w:tc>
          <w:tcPr>
            <w:tcW w:w="1563" w:type="pct"/>
            <w:vAlign w:val="center"/>
          </w:tcPr>
          <w:p w14:paraId="25D32EDF">
            <w:pPr>
              <w:jc w:val="center"/>
              <w:rPr>
                <w:rFonts w:hint="eastAsia" w:ascii="宋体" w:hAnsi="宋体" w:eastAsia="宋体"/>
                <w:szCs w:val="21"/>
              </w:rPr>
            </w:pPr>
          </w:p>
        </w:tc>
        <w:tc>
          <w:tcPr>
            <w:tcW w:w="1164" w:type="pct"/>
            <w:vAlign w:val="center"/>
          </w:tcPr>
          <w:p w14:paraId="78F3935B">
            <w:pPr>
              <w:jc w:val="center"/>
              <w:rPr>
                <w:rFonts w:hint="eastAsia" w:ascii="宋体" w:hAnsi="宋体" w:eastAsia="宋体"/>
                <w:szCs w:val="21"/>
              </w:rPr>
            </w:pPr>
          </w:p>
        </w:tc>
        <w:tc>
          <w:tcPr>
            <w:tcW w:w="732" w:type="pct"/>
            <w:vAlign w:val="center"/>
          </w:tcPr>
          <w:p w14:paraId="5295BD56">
            <w:pPr>
              <w:jc w:val="center"/>
              <w:rPr>
                <w:rFonts w:hint="eastAsia" w:ascii="宋体" w:hAnsi="宋体" w:eastAsia="宋体"/>
                <w:szCs w:val="21"/>
              </w:rPr>
            </w:pPr>
          </w:p>
        </w:tc>
        <w:tc>
          <w:tcPr>
            <w:tcW w:w="1009" w:type="pct"/>
            <w:vAlign w:val="center"/>
          </w:tcPr>
          <w:p w14:paraId="5AA5168C">
            <w:pPr>
              <w:jc w:val="center"/>
              <w:rPr>
                <w:rFonts w:hint="eastAsia" w:ascii="宋体" w:hAnsi="宋体" w:eastAsia="宋体"/>
                <w:szCs w:val="21"/>
              </w:rPr>
            </w:pPr>
          </w:p>
        </w:tc>
      </w:tr>
      <w:tr w14:paraId="3CEE3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9F85B02">
            <w:pPr>
              <w:jc w:val="center"/>
              <w:rPr>
                <w:rFonts w:hint="eastAsia" w:ascii="宋体" w:hAnsi="宋体" w:eastAsia="宋体"/>
                <w:szCs w:val="21"/>
              </w:rPr>
            </w:pPr>
          </w:p>
        </w:tc>
        <w:tc>
          <w:tcPr>
            <w:tcW w:w="1563" w:type="pct"/>
            <w:vAlign w:val="center"/>
          </w:tcPr>
          <w:p w14:paraId="06FEF439">
            <w:pPr>
              <w:jc w:val="center"/>
              <w:rPr>
                <w:rFonts w:hint="eastAsia" w:ascii="宋体" w:hAnsi="宋体" w:eastAsia="宋体"/>
                <w:szCs w:val="21"/>
              </w:rPr>
            </w:pPr>
          </w:p>
        </w:tc>
        <w:tc>
          <w:tcPr>
            <w:tcW w:w="1164" w:type="pct"/>
            <w:vAlign w:val="center"/>
          </w:tcPr>
          <w:p w14:paraId="2CD0FC53">
            <w:pPr>
              <w:jc w:val="center"/>
              <w:rPr>
                <w:rFonts w:hint="eastAsia" w:ascii="宋体" w:hAnsi="宋体" w:eastAsia="宋体"/>
                <w:szCs w:val="21"/>
              </w:rPr>
            </w:pPr>
          </w:p>
        </w:tc>
        <w:tc>
          <w:tcPr>
            <w:tcW w:w="732" w:type="pct"/>
            <w:vAlign w:val="center"/>
          </w:tcPr>
          <w:p w14:paraId="2A36E908">
            <w:pPr>
              <w:jc w:val="center"/>
              <w:rPr>
                <w:rFonts w:hint="eastAsia" w:ascii="宋体" w:hAnsi="宋体" w:eastAsia="宋体"/>
                <w:szCs w:val="21"/>
              </w:rPr>
            </w:pPr>
          </w:p>
        </w:tc>
        <w:tc>
          <w:tcPr>
            <w:tcW w:w="1009" w:type="pct"/>
            <w:vAlign w:val="center"/>
          </w:tcPr>
          <w:p w14:paraId="4F11002E">
            <w:pPr>
              <w:jc w:val="center"/>
              <w:rPr>
                <w:rFonts w:hint="eastAsia" w:ascii="宋体" w:hAnsi="宋体" w:eastAsia="宋体"/>
                <w:szCs w:val="21"/>
              </w:rPr>
            </w:pPr>
          </w:p>
        </w:tc>
      </w:tr>
    </w:tbl>
    <w:p w14:paraId="3A5F477C">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378E179">
      <w:pPr>
        <w:spacing w:line="360" w:lineRule="auto"/>
        <w:rPr>
          <w:rFonts w:hint="eastAsia" w:ascii="黑体" w:hAnsi="黑体" w:eastAsia="黑体"/>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bookmarkEnd w:id="49"/>
    <w:bookmarkEnd w:id="50"/>
    <w:p w14:paraId="3AECE7A5">
      <w:pPr>
        <w:pageBreakBefore/>
        <w:rPr>
          <w:rFonts w:hint="eastAsia" w:ascii="宋体" w:hAnsi="宋体" w:eastAsia="宋体"/>
          <w:b/>
          <w:bCs/>
          <w:szCs w:val="21"/>
        </w:rPr>
      </w:pPr>
      <w:r>
        <w:rPr>
          <w:rFonts w:hint="eastAsia" w:ascii="宋体" w:hAnsi="宋体" w:eastAsia="宋体"/>
          <w:b/>
          <w:bCs/>
          <w:sz w:val="24"/>
          <w:szCs w:val="28"/>
        </w:rPr>
        <w:t>格式十</w:t>
      </w:r>
      <w:r>
        <w:rPr>
          <w:rFonts w:hint="eastAsia" w:ascii="宋体" w:hAnsi="宋体" w:eastAsia="宋体"/>
          <w:b/>
          <w:bCs/>
          <w:sz w:val="24"/>
          <w:szCs w:val="28"/>
          <w:lang w:val="en-US" w:eastAsia="zh-CN"/>
        </w:rPr>
        <w:t>一</w:t>
      </w:r>
      <w:r>
        <w:rPr>
          <w:rFonts w:hint="eastAsia" w:ascii="宋体" w:hAnsi="宋体" w:eastAsia="宋体"/>
          <w:b/>
          <w:bCs/>
          <w:sz w:val="24"/>
          <w:szCs w:val="28"/>
        </w:rPr>
        <w:t>：</w:t>
      </w:r>
    </w:p>
    <w:p w14:paraId="5DDDE4CC">
      <w:pPr>
        <w:spacing w:after="217" w:afterLines="50" w:line="360" w:lineRule="auto"/>
        <w:jc w:val="center"/>
        <w:rPr>
          <w:rFonts w:hint="eastAsia" w:ascii="宋体" w:hAnsi="宋体" w:eastAsia="宋体"/>
          <w:b/>
          <w:spacing w:val="20"/>
          <w:sz w:val="30"/>
          <w:szCs w:val="30"/>
        </w:rPr>
      </w:pPr>
      <w:r>
        <w:rPr>
          <w:rFonts w:hint="eastAsia" w:ascii="宋体" w:hAnsi="宋体" w:eastAsia="宋体"/>
          <w:b/>
          <w:sz w:val="32"/>
          <w:szCs w:val="32"/>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7AC9F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446602FA">
            <w:pPr>
              <w:jc w:val="center"/>
              <w:rPr>
                <w:rFonts w:hint="eastAsia" w:ascii="宋体" w:hAnsi="宋体" w:eastAsia="宋体"/>
                <w:b/>
                <w:bCs/>
                <w:szCs w:val="21"/>
              </w:rPr>
            </w:pPr>
            <w:r>
              <w:rPr>
                <w:rFonts w:hint="eastAsia" w:ascii="宋体" w:hAnsi="宋体" w:eastAsia="宋体"/>
                <w:b/>
                <w:bCs/>
                <w:szCs w:val="21"/>
              </w:rPr>
              <w:t>序号</w:t>
            </w:r>
          </w:p>
        </w:tc>
        <w:tc>
          <w:tcPr>
            <w:tcW w:w="653" w:type="pct"/>
            <w:vAlign w:val="center"/>
          </w:tcPr>
          <w:p w14:paraId="468252BF">
            <w:pPr>
              <w:jc w:val="center"/>
              <w:rPr>
                <w:rFonts w:hint="eastAsia" w:ascii="宋体" w:hAnsi="宋体" w:eastAsia="宋体"/>
                <w:b/>
                <w:bCs/>
                <w:szCs w:val="21"/>
              </w:rPr>
            </w:pPr>
            <w:r>
              <w:rPr>
                <w:rFonts w:hint="eastAsia" w:ascii="宋体" w:hAnsi="宋体" w:eastAsia="宋体"/>
                <w:b/>
                <w:bCs/>
                <w:szCs w:val="21"/>
              </w:rPr>
              <w:t>姓名</w:t>
            </w:r>
          </w:p>
        </w:tc>
        <w:tc>
          <w:tcPr>
            <w:tcW w:w="739" w:type="pct"/>
            <w:vAlign w:val="center"/>
          </w:tcPr>
          <w:p w14:paraId="27480A52">
            <w:pPr>
              <w:jc w:val="center"/>
              <w:rPr>
                <w:rFonts w:hint="eastAsia" w:ascii="宋体" w:hAnsi="宋体" w:eastAsia="宋体"/>
                <w:b/>
                <w:bCs/>
                <w:szCs w:val="21"/>
              </w:rPr>
            </w:pPr>
            <w:r>
              <w:rPr>
                <w:rFonts w:hint="eastAsia" w:ascii="宋体" w:hAnsi="宋体" w:eastAsia="宋体"/>
                <w:b/>
                <w:bCs/>
                <w:szCs w:val="21"/>
              </w:rPr>
              <w:t>职位</w:t>
            </w:r>
          </w:p>
        </w:tc>
        <w:tc>
          <w:tcPr>
            <w:tcW w:w="1081" w:type="pct"/>
            <w:vAlign w:val="center"/>
          </w:tcPr>
          <w:p w14:paraId="17FDDD3A">
            <w:pPr>
              <w:jc w:val="center"/>
              <w:rPr>
                <w:rFonts w:hint="eastAsia" w:ascii="宋体" w:hAnsi="宋体" w:eastAsia="宋体"/>
                <w:b/>
                <w:bCs/>
                <w:szCs w:val="21"/>
              </w:rPr>
            </w:pPr>
            <w:r>
              <w:rPr>
                <w:rFonts w:hint="eastAsia" w:ascii="宋体" w:hAnsi="宋体" w:eastAsia="宋体"/>
                <w:b/>
                <w:bCs/>
                <w:szCs w:val="21"/>
              </w:rPr>
              <w:t>持何种资格证件</w:t>
            </w:r>
          </w:p>
        </w:tc>
        <w:tc>
          <w:tcPr>
            <w:tcW w:w="830" w:type="pct"/>
            <w:vAlign w:val="center"/>
          </w:tcPr>
          <w:p w14:paraId="2B2E8574">
            <w:pPr>
              <w:jc w:val="center"/>
              <w:rPr>
                <w:rFonts w:hint="eastAsia" w:ascii="宋体" w:hAnsi="宋体" w:eastAsia="宋体"/>
                <w:b/>
                <w:bCs/>
                <w:szCs w:val="21"/>
              </w:rPr>
            </w:pPr>
            <w:r>
              <w:rPr>
                <w:rFonts w:hint="eastAsia" w:ascii="宋体" w:hAnsi="宋体" w:eastAsia="宋体"/>
                <w:b/>
                <w:bCs/>
                <w:szCs w:val="21"/>
              </w:rPr>
              <w:t>发证时间</w:t>
            </w:r>
          </w:p>
        </w:tc>
        <w:tc>
          <w:tcPr>
            <w:tcW w:w="582" w:type="pct"/>
            <w:vAlign w:val="center"/>
          </w:tcPr>
          <w:p w14:paraId="6AAA95C5">
            <w:pPr>
              <w:jc w:val="center"/>
              <w:rPr>
                <w:rFonts w:hint="eastAsia" w:ascii="宋体" w:hAnsi="宋体" w:eastAsia="宋体"/>
                <w:b/>
                <w:bCs/>
                <w:szCs w:val="21"/>
              </w:rPr>
            </w:pPr>
            <w:r>
              <w:rPr>
                <w:rFonts w:hint="eastAsia" w:ascii="宋体" w:hAnsi="宋体" w:eastAsia="宋体"/>
                <w:b/>
                <w:bCs/>
                <w:szCs w:val="21"/>
              </w:rPr>
              <w:t>学历</w:t>
            </w:r>
          </w:p>
        </w:tc>
        <w:tc>
          <w:tcPr>
            <w:tcW w:w="699" w:type="pct"/>
            <w:vAlign w:val="center"/>
          </w:tcPr>
          <w:p w14:paraId="35336A8C">
            <w:pPr>
              <w:jc w:val="center"/>
              <w:rPr>
                <w:rFonts w:hint="eastAsia" w:ascii="宋体" w:hAnsi="宋体" w:eastAsia="宋体"/>
                <w:b/>
                <w:bCs/>
                <w:szCs w:val="21"/>
              </w:rPr>
            </w:pPr>
            <w:r>
              <w:rPr>
                <w:rFonts w:hint="eastAsia" w:ascii="宋体" w:hAnsi="宋体" w:eastAsia="宋体"/>
                <w:b/>
                <w:bCs/>
                <w:szCs w:val="21"/>
              </w:rPr>
              <w:t>经验年限</w:t>
            </w:r>
          </w:p>
        </w:tc>
      </w:tr>
      <w:tr w14:paraId="2FB0A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2406E19">
            <w:pPr>
              <w:jc w:val="center"/>
              <w:rPr>
                <w:rFonts w:hint="eastAsia" w:ascii="宋体" w:hAnsi="宋体" w:eastAsia="宋体"/>
                <w:szCs w:val="21"/>
              </w:rPr>
            </w:pPr>
          </w:p>
        </w:tc>
        <w:tc>
          <w:tcPr>
            <w:tcW w:w="653" w:type="pct"/>
            <w:vAlign w:val="center"/>
          </w:tcPr>
          <w:p w14:paraId="2EE58143">
            <w:pPr>
              <w:jc w:val="center"/>
              <w:rPr>
                <w:rFonts w:hint="eastAsia" w:ascii="宋体" w:hAnsi="宋体" w:eastAsia="宋体"/>
                <w:szCs w:val="21"/>
              </w:rPr>
            </w:pPr>
          </w:p>
        </w:tc>
        <w:tc>
          <w:tcPr>
            <w:tcW w:w="739" w:type="pct"/>
            <w:vAlign w:val="center"/>
          </w:tcPr>
          <w:p w14:paraId="7A063D94">
            <w:pPr>
              <w:jc w:val="center"/>
              <w:rPr>
                <w:rFonts w:hint="eastAsia" w:ascii="宋体" w:hAnsi="宋体" w:eastAsia="宋体"/>
                <w:szCs w:val="21"/>
              </w:rPr>
            </w:pPr>
          </w:p>
        </w:tc>
        <w:tc>
          <w:tcPr>
            <w:tcW w:w="1081" w:type="pct"/>
            <w:vAlign w:val="center"/>
          </w:tcPr>
          <w:p w14:paraId="55159785">
            <w:pPr>
              <w:jc w:val="center"/>
              <w:rPr>
                <w:rFonts w:hint="eastAsia" w:ascii="宋体" w:hAnsi="宋体" w:eastAsia="宋体"/>
                <w:szCs w:val="21"/>
              </w:rPr>
            </w:pPr>
          </w:p>
        </w:tc>
        <w:tc>
          <w:tcPr>
            <w:tcW w:w="830" w:type="pct"/>
          </w:tcPr>
          <w:p w14:paraId="59B74C8F">
            <w:pPr>
              <w:jc w:val="center"/>
              <w:rPr>
                <w:rFonts w:hint="eastAsia" w:ascii="宋体" w:hAnsi="宋体" w:eastAsia="宋体"/>
                <w:szCs w:val="21"/>
              </w:rPr>
            </w:pPr>
          </w:p>
        </w:tc>
        <w:tc>
          <w:tcPr>
            <w:tcW w:w="582" w:type="pct"/>
            <w:vAlign w:val="center"/>
          </w:tcPr>
          <w:p w14:paraId="27935CA7">
            <w:pPr>
              <w:jc w:val="center"/>
              <w:rPr>
                <w:rFonts w:hint="eastAsia" w:ascii="宋体" w:hAnsi="宋体" w:eastAsia="宋体"/>
                <w:szCs w:val="21"/>
              </w:rPr>
            </w:pPr>
          </w:p>
        </w:tc>
        <w:tc>
          <w:tcPr>
            <w:tcW w:w="699" w:type="pct"/>
          </w:tcPr>
          <w:p w14:paraId="1D1D33AC">
            <w:pPr>
              <w:jc w:val="center"/>
              <w:rPr>
                <w:rFonts w:hint="eastAsia" w:ascii="宋体" w:hAnsi="宋体" w:eastAsia="宋体"/>
                <w:szCs w:val="21"/>
              </w:rPr>
            </w:pPr>
          </w:p>
        </w:tc>
      </w:tr>
      <w:tr w14:paraId="2C59F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26B6327">
            <w:pPr>
              <w:jc w:val="center"/>
              <w:rPr>
                <w:rFonts w:hint="eastAsia" w:ascii="宋体" w:hAnsi="宋体" w:eastAsia="宋体"/>
                <w:szCs w:val="21"/>
              </w:rPr>
            </w:pPr>
          </w:p>
        </w:tc>
        <w:tc>
          <w:tcPr>
            <w:tcW w:w="653" w:type="pct"/>
            <w:vAlign w:val="center"/>
          </w:tcPr>
          <w:p w14:paraId="43742F1D">
            <w:pPr>
              <w:jc w:val="center"/>
              <w:rPr>
                <w:rFonts w:hint="eastAsia" w:ascii="宋体" w:hAnsi="宋体" w:eastAsia="宋体"/>
                <w:szCs w:val="21"/>
              </w:rPr>
            </w:pPr>
          </w:p>
        </w:tc>
        <w:tc>
          <w:tcPr>
            <w:tcW w:w="739" w:type="pct"/>
            <w:vAlign w:val="center"/>
          </w:tcPr>
          <w:p w14:paraId="6BAFB975">
            <w:pPr>
              <w:jc w:val="center"/>
              <w:rPr>
                <w:rFonts w:hint="eastAsia" w:ascii="宋体" w:hAnsi="宋体" w:eastAsia="宋体"/>
                <w:szCs w:val="21"/>
              </w:rPr>
            </w:pPr>
          </w:p>
        </w:tc>
        <w:tc>
          <w:tcPr>
            <w:tcW w:w="1081" w:type="pct"/>
            <w:vAlign w:val="center"/>
          </w:tcPr>
          <w:p w14:paraId="0F55BFD8">
            <w:pPr>
              <w:jc w:val="center"/>
              <w:rPr>
                <w:rFonts w:hint="eastAsia" w:ascii="宋体" w:hAnsi="宋体" w:eastAsia="宋体"/>
                <w:szCs w:val="21"/>
              </w:rPr>
            </w:pPr>
          </w:p>
        </w:tc>
        <w:tc>
          <w:tcPr>
            <w:tcW w:w="830" w:type="pct"/>
          </w:tcPr>
          <w:p w14:paraId="2644FC16">
            <w:pPr>
              <w:jc w:val="center"/>
              <w:rPr>
                <w:rFonts w:hint="eastAsia" w:ascii="宋体" w:hAnsi="宋体" w:eastAsia="宋体"/>
                <w:szCs w:val="21"/>
              </w:rPr>
            </w:pPr>
          </w:p>
        </w:tc>
        <w:tc>
          <w:tcPr>
            <w:tcW w:w="582" w:type="pct"/>
            <w:vAlign w:val="center"/>
          </w:tcPr>
          <w:p w14:paraId="55F9B3DB">
            <w:pPr>
              <w:jc w:val="center"/>
              <w:rPr>
                <w:rFonts w:hint="eastAsia" w:ascii="宋体" w:hAnsi="宋体" w:eastAsia="宋体"/>
                <w:szCs w:val="21"/>
              </w:rPr>
            </w:pPr>
          </w:p>
        </w:tc>
        <w:tc>
          <w:tcPr>
            <w:tcW w:w="699" w:type="pct"/>
          </w:tcPr>
          <w:p w14:paraId="2B4365C8">
            <w:pPr>
              <w:jc w:val="center"/>
              <w:rPr>
                <w:rFonts w:hint="eastAsia" w:ascii="宋体" w:hAnsi="宋体" w:eastAsia="宋体"/>
                <w:szCs w:val="21"/>
              </w:rPr>
            </w:pPr>
          </w:p>
        </w:tc>
      </w:tr>
      <w:tr w14:paraId="016D6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340FCDC">
            <w:pPr>
              <w:jc w:val="center"/>
              <w:rPr>
                <w:rFonts w:hint="eastAsia" w:ascii="宋体" w:hAnsi="宋体" w:eastAsia="宋体"/>
                <w:szCs w:val="21"/>
              </w:rPr>
            </w:pPr>
          </w:p>
        </w:tc>
        <w:tc>
          <w:tcPr>
            <w:tcW w:w="653" w:type="pct"/>
            <w:vAlign w:val="center"/>
          </w:tcPr>
          <w:p w14:paraId="545F6E88">
            <w:pPr>
              <w:jc w:val="center"/>
              <w:rPr>
                <w:rFonts w:hint="eastAsia" w:ascii="宋体" w:hAnsi="宋体" w:eastAsia="宋体"/>
                <w:szCs w:val="21"/>
              </w:rPr>
            </w:pPr>
          </w:p>
        </w:tc>
        <w:tc>
          <w:tcPr>
            <w:tcW w:w="739" w:type="pct"/>
            <w:vAlign w:val="center"/>
          </w:tcPr>
          <w:p w14:paraId="18C0B423">
            <w:pPr>
              <w:jc w:val="center"/>
              <w:rPr>
                <w:rFonts w:hint="eastAsia" w:ascii="宋体" w:hAnsi="宋体" w:eastAsia="宋体"/>
                <w:szCs w:val="21"/>
              </w:rPr>
            </w:pPr>
          </w:p>
        </w:tc>
        <w:tc>
          <w:tcPr>
            <w:tcW w:w="1081" w:type="pct"/>
            <w:vAlign w:val="center"/>
          </w:tcPr>
          <w:p w14:paraId="38AC7FD7">
            <w:pPr>
              <w:jc w:val="center"/>
              <w:rPr>
                <w:rFonts w:hint="eastAsia" w:ascii="宋体" w:hAnsi="宋体" w:eastAsia="宋体"/>
                <w:szCs w:val="21"/>
              </w:rPr>
            </w:pPr>
          </w:p>
        </w:tc>
        <w:tc>
          <w:tcPr>
            <w:tcW w:w="830" w:type="pct"/>
          </w:tcPr>
          <w:p w14:paraId="08E9AFBC">
            <w:pPr>
              <w:jc w:val="center"/>
              <w:rPr>
                <w:rFonts w:hint="eastAsia" w:ascii="宋体" w:hAnsi="宋体" w:eastAsia="宋体"/>
                <w:szCs w:val="21"/>
              </w:rPr>
            </w:pPr>
          </w:p>
        </w:tc>
        <w:tc>
          <w:tcPr>
            <w:tcW w:w="582" w:type="pct"/>
            <w:vAlign w:val="center"/>
          </w:tcPr>
          <w:p w14:paraId="1E3FA8DA">
            <w:pPr>
              <w:jc w:val="center"/>
              <w:rPr>
                <w:rFonts w:hint="eastAsia" w:ascii="宋体" w:hAnsi="宋体" w:eastAsia="宋体"/>
                <w:szCs w:val="21"/>
              </w:rPr>
            </w:pPr>
          </w:p>
        </w:tc>
        <w:tc>
          <w:tcPr>
            <w:tcW w:w="699" w:type="pct"/>
          </w:tcPr>
          <w:p w14:paraId="54C02E0E">
            <w:pPr>
              <w:jc w:val="center"/>
              <w:rPr>
                <w:rFonts w:hint="eastAsia" w:ascii="宋体" w:hAnsi="宋体" w:eastAsia="宋体"/>
                <w:szCs w:val="21"/>
              </w:rPr>
            </w:pPr>
          </w:p>
        </w:tc>
      </w:tr>
      <w:tr w14:paraId="7AC17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6B1C283">
            <w:pPr>
              <w:jc w:val="center"/>
              <w:rPr>
                <w:rFonts w:hint="eastAsia" w:ascii="宋体" w:hAnsi="宋体" w:eastAsia="宋体"/>
                <w:szCs w:val="21"/>
              </w:rPr>
            </w:pPr>
          </w:p>
        </w:tc>
        <w:tc>
          <w:tcPr>
            <w:tcW w:w="653" w:type="pct"/>
            <w:vAlign w:val="center"/>
          </w:tcPr>
          <w:p w14:paraId="483CF384">
            <w:pPr>
              <w:jc w:val="center"/>
              <w:rPr>
                <w:rFonts w:hint="eastAsia" w:ascii="宋体" w:hAnsi="宋体" w:eastAsia="宋体"/>
                <w:szCs w:val="21"/>
              </w:rPr>
            </w:pPr>
          </w:p>
        </w:tc>
        <w:tc>
          <w:tcPr>
            <w:tcW w:w="739" w:type="pct"/>
            <w:vAlign w:val="center"/>
          </w:tcPr>
          <w:p w14:paraId="16567E56">
            <w:pPr>
              <w:jc w:val="center"/>
              <w:rPr>
                <w:rFonts w:hint="eastAsia" w:ascii="宋体" w:hAnsi="宋体" w:eastAsia="宋体"/>
                <w:szCs w:val="21"/>
              </w:rPr>
            </w:pPr>
          </w:p>
        </w:tc>
        <w:tc>
          <w:tcPr>
            <w:tcW w:w="1081" w:type="pct"/>
            <w:vAlign w:val="center"/>
          </w:tcPr>
          <w:p w14:paraId="5E5C8E0C">
            <w:pPr>
              <w:jc w:val="center"/>
              <w:rPr>
                <w:rFonts w:hint="eastAsia" w:ascii="宋体" w:hAnsi="宋体" w:eastAsia="宋体"/>
                <w:szCs w:val="21"/>
              </w:rPr>
            </w:pPr>
          </w:p>
        </w:tc>
        <w:tc>
          <w:tcPr>
            <w:tcW w:w="830" w:type="pct"/>
          </w:tcPr>
          <w:p w14:paraId="4B2D9D03">
            <w:pPr>
              <w:jc w:val="center"/>
              <w:rPr>
                <w:rFonts w:hint="eastAsia" w:ascii="宋体" w:hAnsi="宋体" w:eastAsia="宋体"/>
                <w:szCs w:val="21"/>
              </w:rPr>
            </w:pPr>
          </w:p>
        </w:tc>
        <w:tc>
          <w:tcPr>
            <w:tcW w:w="582" w:type="pct"/>
            <w:vAlign w:val="center"/>
          </w:tcPr>
          <w:p w14:paraId="6847CAE1">
            <w:pPr>
              <w:jc w:val="center"/>
              <w:rPr>
                <w:rFonts w:hint="eastAsia" w:ascii="宋体" w:hAnsi="宋体" w:eastAsia="宋体"/>
                <w:szCs w:val="21"/>
              </w:rPr>
            </w:pPr>
          </w:p>
        </w:tc>
        <w:tc>
          <w:tcPr>
            <w:tcW w:w="699" w:type="pct"/>
          </w:tcPr>
          <w:p w14:paraId="05CF6867">
            <w:pPr>
              <w:jc w:val="center"/>
              <w:rPr>
                <w:rFonts w:hint="eastAsia" w:ascii="宋体" w:hAnsi="宋体" w:eastAsia="宋体"/>
                <w:szCs w:val="21"/>
              </w:rPr>
            </w:pPr>
          </w:p>
        </w:tc>
      </w:tr>
      <w:tr w14:paraId="628BD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61B146A">
            <w:pPr>
              <w:jc w:val="center"/>
              <w:rPr>
                <w:rFonts w:hint="eastAsia" w:ascii="宋体" w:hAnsi="宋体" w:eastAsia="宋体"/>
                <w:szCs w:val="21"/>
              </w:rPr>
            </w:pPr>
          </w:p>
        </w:tc>
        <w:tc>
          <w:tcPr>
            <w:tcW w:w="653" w:type="pct"/>
            <w:vAlign w:val="center"/>
          </w:tcPr>
          <w:p w14:paraId="10762315">
            <w:pPr>
              <w:jc w:val="center"/>
              <w:rPr>
                <w:rFonts w:hint="eastAsia" w:ascii="宋体" w:hAnsi="宋体" w:eastAsia="宋体"/>
                <w:szCs w:val="21"/>
              </w:rPr>
            </w:pPr>
          </w:p>
        </w:tc>
        <w:tc>
          <w:tcPr>
            <w:tcW w:w="739" w:type="pct"/>
            <w:vAlign w:val="center"/>
          </w:tcPr>
          <w:p w14:paraId="21482558">
            <w:pPr>
              <w:jc w:val="center"/>
              <w:rPr>
                <w:rFonts w:hint="eastAsia" w:ascii="宋体" w:hAnsi="宋体" w:eastAsia="宋体"/>
                <w:szCs w:val="21"/>
              </w:rPr>
            </w:pPr>
          </w:p>
        </w:tc>
        <w:tc>
          <w:tcPr>
            <w:tcW w:w="1081" w:type="pct"/>
            <w:vAlign w:val="center"/>
          </w:tcPr>
          <w:p w14:paraId="52BCA246">
            <w:pPr>
              <w:widowControl/>
              <w:tabs>
                <w:tab w:val="right" w:leader="dot" w:pos="8302"/>
              </w:tabs>
              <w:jc w:val="center"/>
              <w:rPr>
                <w:rFonts w:hint="eastAsia" w:ascii="宋体" w:hAnsi="宋体" w:eastAsia="宋体"/>
                <w:kern w:val="0"/>
                <w:szCs w:val="21"/>
              </w:rPr>
            </w:pPr>
          </w:p>
        </w:tc>
        <w:tc>
          <w:tcPr>
            <w:tcW w:w="830" w:type="pct"/>
          </w:tcPr>
          <w:p w14:paraId="123D5F28">
            <w:pPr>
              <w:jc w:val="center"/>
              <w:rPr>
                <w:rFonts w:hint="eastAsia" w:ascii="宋体" w:hAnsi="宋体" w:eastAsia="宋体"/>
                <w:szCs w:val="21"/>
              </w:rPr>
            </w:pPr>
          </w:p>
        </w:tc>
        <w:tc>
          <w:tcPr>
            <w:tcW w:w="582" w:type="pct"/>
            <w:vAlign w:val="center"/>
          </w:tcPr>
          <w:p w14:paraId="4882C8B9">
            <w:pPr>
              <w:jc w:val="center"/>
              <w:rPr>
                <w:rFonts w:hint="eastAsia" w:ascii="宋体" w:hAnsi="宋体" w:eastAsia="宋体"/>
                <w:szCs w:val="21"/>
              </w:rPr>
            </w:pPr>
          </w:p>
        </w:tc>
        <w:tc>
          <w:tcPr>
            <w:tcW w:w="699" w:type="pct"/>
          </w:tcPr>
          <w:p w14:paraId="2D3164F2">
            <w:pPr>
              <w:jc w:val="center"/>
              <w:rPr>
                <w:rFonts w:hint="eastAsia" w:ascii="宋体" w:hAnsi="宋体" w:eastAsia="宋体"/>
                <w:szCs w:val="21"/>
              </w:rPr>
            </w:pPr>
          </w:p>
        </w:tc>
      </w:tr>
      <w:tr w14:paraId="39ADF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B5339CD">
            <w:pPr>
              <w:jc w:val="center"/>
              <w:rPr>
                <w:rFonts w:hint="eastAsia" w:ascii="宋体" w:hAnsi="宋体" w:eastAsia="宋体"/>
                <w:szCs w:val="21"/>
              </w:rPr>
            </w:pPr>
          </w:p>
        </w:tc>
        <w:tc>
          <w:tcPr>
            <w:tcW w:w="653" w:type="pct"/>
            <w:vAlign w:val="center"/>
          </w:tcPr>
          <w:p w14:paraId="45E7C07B">
            <w:pPr>
              <w:jc w:val="center"/>
              <w:rPr>
                <w:rFonts w:hint="eastAsia" w:ascii="宋体" w:hAnsi="宋体" w:eastAsia="宋体"/>
                <w:szCs w:val="21"/>
              </w:rPr>
            </w:pPr>
          </w:p>
        </w:tc>
        <w:tc>
          <w:tcPr>
            <w:tcW w:w="739" w:type="pct"/>
            <w:vAlign w:val="center"/>
          </w:tcPr>
          <w:p w14:paraId="7246889B">
            <w:pPr>
              <w:jc w:val="center"/>
              <w:rPr>
                <w:rFonts w:hint="eastAsia" w:ascii="宋体" w:hAnsi="宋体" w:eastAsia="宋体"/>
                <w:szCs w:val="21"/>
              </w:rPr>
            </w:pPr>
          </w:p>
        </w:tc>
        <w:tc>
          <w:tcPr>
            <w:tcW w:w="1081" w:type="pct"/>
            <w:vAlign w:val="center"/>
          </w:tcPr>
          <w:p w14:paraId="4127F0CB">
            <w:pPr>
              <w:widowControl/>
              <w:tabs>
                <w:tab w:val="right" w:leader="dot" w:pos="8302"/>
              </w:tabs>
              <w:jc w:val="center"/>
              <w:rPr>
                <w:rFonts w:hint="eastAsia" w:ascii="宋体" w:hAnsi="宋体" w:eastAsia="宋体"/>
                <w:kern w:val="0"/>
                <w:szCs w:val="21"/>
              </w:rPr>
            </w:pPr>
          </w:p>
        </w:tc>
        <w:tc>
          <w:tcPr>
            <w:tcW w:w="830" w:type="pct"/>
          </w:tcPr>
          <w:p w14:paraId="24B80D2B">
            <w:pPr>
              <w:jc w:val="center"/>
              <w:rPr>
                <w:rFonts w:hint="eastAsia" w:ascii="宋体" w:hAnsi="宋体" w:eastAsia="宋体"/>
                <w:szCs w:val="21"/>
              </w:rPr>
            </w:pPr>
          </w:p>
        </w:tc>
        <w:tc>
          <w:tcPr>
            <w:tcW w:w="582" w:type="pct"/>
            <w:vAlign w:val="center"/>
          </w:tcPr>
          <w:p w14:paraId="3348647D">
            <w:pPr>
              <w:jc w:val="center"/>
              <w:rPr>
                <w:rFonts w:hint="eastAsia" w:ascii="宋体" w:hAnsi="宋体" w:eastAsia="宋体"/>
                <w:szCs w:val="21"/>
              </w:rPr>
            </w:pPr>
          </w:p>
        </w:tc>
        <w:tc>
          <w:tcPr>
            <w:tcW w:w="699" w:type="pct"/>
          </w:tcPr>
          <w:p w14:paraId="2D2EAA9D">
            <w:pPr>
              <w:jc w:val="center"/>
              <w:rPr>
                <w:rFonts w:hint="eastAsia" w:ascii="宋体" w:hAnsi="宋体" w:eastAsia="宋体"/>
                <w:szCs w:val="21"/>
              </w:rPr>
            </w:pPr>
          </w:p>
        </w:tc>
      </w:tr>
      <w:tr w14:paraId="3B440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D9420FC">
            <w:pPr>
              <w:jc w:val="center"/>
              <w:rPr>
                <w:rFonts w:hint="eastAsia" w:ascii="宋体" w:hAnsi="宋体" w:eastAsia="宋体"/>
                <w:szCs w:val="21"/>
              </w:rPr>
            </w:pPr>
          </w:p>
        </w:tc>
        <w:tc>
          <w:tcPr>
            <w:tcW w:w="653" w:type="pct"/>
            <w:vAlign w:val="center"/>
          </w:tcPr>
          <w:p w14:paraId="58841288">
            <w:pPr>
              <w:jc w:val="center"/>
              <w:rPr>
                <w:rFonts w:hint="eastAsia" w:ascii="宋体" w:hAnsi="宋体" w:eastAsia="宋体"/>
                <w:szCs w:val="21"/>
              </w:rPr>
            </w:pPr>
          </w:p>
        </w:tc>
        <w:tc>
          <w:tcPr>
            <w:tcW w:w="739" w:type="pct"/>
            <w:vAlign w:val="center"/>
          </w:tcPr>
          <w:p w14:paraId="7935E589">
            <w:pPr>
              <w:jc w:val="center"/>
              <w:rPr>
                <w:rFonts w:hint="eastAsia" w:ascii="宋体" w:hAnsi="宋体" w:eastAsia="宋体"/>
                <w:szCs w:val="21"/>
              </w:rPr>
            </w:pPr>
          </w:p>
        </w:tc>
        <w:tc>
          <w:tcPr>
            <w:tcW w:w="1081" w:type="pct"/>
            <w:vAlign w:val="center"/>
          </w:tcPr>
          <w:p w14:paraId="3DAE189E">
            <w:pPr>
              <w:jc w:val="center"/>
              <w:rPr>
                <w:rFonts w:hint="eastAsia" w:ascii="宋体" w:hAnsi="宋体" w:eastAsia="宋体"/>
                <w:szCs w:val="21"/>
              </w:rPr>
            </w:pPr>
          </w:p>
        </w:tc>
        <w:tc>
          <w:tcPr>
            <w:tcW w:w="830" w:type="pct"/>
          </w:tcPr>
          <w:p w14:paraId="04E872E3">
            <w:pPr>
              <w:jc w:val="center"/>
              <w:rPr>
                <w:rFonts w:hint="eastAsia" w:ascii="宋体" w:hAnsi="宋体" w:eastAsia="宋体"/>
                <w:szCs w:val="21"/>
              </w:rPr>
            </w:pPr>
          </w:p>
        </w:tc>
        <w:tc>
          <w:tcPr>
            <w:tcW w:w="582" w:type="pct"/>
            <w:vAlign w:val="center"/>
          </w:tcPr>
          <w:p w14:paraId="50482DEB">
            <w:pPr>
              <w:jc w:val="center"/>
              <w:rPr>
                <w:rFonts w:hint="eastAsia" w:ascii="宋体" w:hAnsi="宋体" w:eastAsia="宋体"/>
                <w:szCs w:val="21"/>
              </w:rPr>
            </w:pPr>
          </w:p>
        </w:tc>
        <w:tc>
          <w:tcPr>
            <w:tcW w:w="699" w:type="pct"/>
          </w:tcPr>
          <w:p w14:paraId="3BAA2C0D">
            <w:pPr>
              <w:jc w:val="center"/>
              <w:rPr>
                <w:rFonts w:hint="eastAsia" w:ascii="宋体" w:hAnsi="宋体" w:eastAsia="宋体"/>
                <w:szCs w:val="21"/>
              </w:rPr>
            </w:pPr>
          </w:p>
        </w:tc>
      </w:tr>
      <w:tr w14:paraId="41D5B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8A9FA3D">
            <w:pPr>
              <w:jc w:val="center"/>
              <w:rPr>
                <w:rFonts w:hint="eastAsia" w:ascii="宋体" w:hAnsi="宋体" w:eastAsia="宋体"/>
                <w:szCs w:val="21"/>
              </w:rPr>
            </w:pPr>
          </w:p>
        </w:tc>
        <w:tc>
          <w:tcPr>
            <w:tcW w:w="653" w:type="pct"/>
            <w:vAlign w:val="center"/>
          </w:tcPr>
          <w:p w14:paraId="0E1DD4F6">
            <w:pPr>
              <w:jc w:val="center"/>
              <w:rPr>
                <w:rFonts w:hint="eastAsia" w:ascii="宋体" w:hAnsi="宋体" w:eastAsia="宋体"/>
                <w:szCs w:val="21"/>
              </w:rPr>
            </w:pPr>
          </w:p>
        </w:tc>
        <w:tc>
          <w:tcPr>
            <w:tcW w:w="739" w:type="pct"/>
            <w:vAlign w:val="center"/>
          </w:tcPr>
          <w:p w14:paraId="3A480F0A">
            <w:pPr>
              <w:jc w:val="center"/>
              <w:rPr>
                <w:rFonts w:hint="eastAsia" w:ascii="宋体" w:hAnsi="宋体" w:eastAsia="宋体"/>
                <w:szCs w:val="21"/>
              </w:rPr>
            </w:pPr>
          </w:p>
        </w:tc>
        <w:tc>
          <w:tcPr>
            <w:tcW w:w="1081" w:type="pct"/>
            <w:vAlign w:val="center"/>
          </w:tcPr>
          <w:p w14:paraId="6AAC2F2B">
            <w:pPr>
              <w:jc w:val="center"/>
              <w:rPr>
                <w:rFonts w:hint="eastAsia" w:ascii="宋体" w:hAnsi="宋体" w:eastAsia="宋体"/>
                <w:szCs w:val="21"/>
              </w:rPr>
            </w:pPr>
          </w:p>
        </w:tc>
        <w:tc>
          <w:tcPr>
            <w:tcW w:w="830" w:type="pct"/>
          </w:tcPr>
          <w:p w14:paraId="165A060E">
            <w:pPr>
              <w:jc w:val="center"/>
              <w:rPr>
                <w:rFonts w:hint="eastAsia" w:ascii="宋体" w:hAnsi="宋体" w:eastAsia="宋体"/>
                <w:szCs w:val="21"/>
              </w:rPr>
            </w:pPr>
          </w:p>
        </w:tc>
        <w:tc>
          <w:tcPr>
            <w:tcW w:w="582" w:type="pct"/>
            <w:vAlign w:val="center"/>
          </w:tcPr>
          <w:p w14:paraId="3B5CBEDB">
            <w:pPr>
              <w:jc w:val="center"/>
              <w:rPr>
                <w:rFonts w:hint="eastAsia" w:ascii="宋体" w:hAnsi="宋体" w:eastAsia="宋体"/>
                <w:szCs w:val="21"/>
              </w:rPr>
            </w:pPr>
          </w:p>
        </w:tc>
        <w:tc>
          <w:tcPr>
            <w:tcW w:w="699" w:type="pct"/>
          </w:tcPr>
          <w:p w14:paraId="75B7AA26">
            <w:pPr>
              <w:jc w:val="center"/>
              <w:rPr>
                <w:rFonts w:hint="eastAsia" w:ascii="宋体" w:hAnsi="宋体" w:eastAsia="宋体"/>
                <w:szCs w:val="21"/>
              </w:rPr>
            </w:pPr>
          </w:p>
        </w:tc>
      </w:tr>
    </w:tbl>
    <w:p w14:paraId="5765C75A">
      <w:pPr>
        <w:spacing w:line="360" w:lineRule="auto"/>
        <w:rPr>
          <w:rFonts w:hint="eastAsia" w:ascii="黑体" w:hAnsi="黑体" w:eastAsia="黑体"/>
        </w:rPr>
      </w:pPr>
    </w:p>
    <w:p w14:paraId="1374B25E">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CAC1991">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62238CF7">
      <w:pPr>
        <w:spacing w:line="360" w:lineRule="auto"/>
        <w:rPr>
          <w:rFonts w:hint="eastAsia" w:ascii="黑体" w:hAnsi="黑体" w:eastAsia="黑体"/>
        </w:rPr>
      </w:pPr>
    </w:p>
    <w:p w14:paraId="021AFE1B">
      <w:pPr>
        <w:pageBreakBefore/>
        <w:rPr>
          <w:rFonts w:hint="eastAsia" w:ascii="宋体" w:hAnsi="宋体" w:eastAsia="宋体"/>
          <w:b/>
          <w:bCs/>
        </w:rPr>
      </w:pPr>
      <w:r>
        <w:rPr>
          <w:rFonts w:hint="eastAsia" w:ascii="宋体" w:hAnsi="宋体" w:eastAsia="宋体"/>
          <w:b/>
          <w:bCs/>
          <w:sz w:val="24"/>
          <w:szCs w:val="28"/>
        </w:rPr>
        <w:t>格式十</w:t>
      </w:r>
      <w:r>
        <w:rPr>
          <w:rFonts w:hint="eastAsia" w:ascii="宋体" w:hAnsi="宋体" w:eastAsia="宋体"/>
          <w:b/>
          <w:bCs/>
          <w:sz w:val="24"/>
          <w:szCs w:val="28"/>
          <w:lang w:val="en-US" w:eastAsia="zh-CN"/>
        </w:rPr>
        <w:t>二</w:t>
      </w:r>
      <w:r>
        <w:rPr>
          <w:rFonts w:hint="eastAsia" w:ascii="宋体" w:hAnsi="宋体" w:eastAsia="宋体"/>
          <w:b/>
          <w:bCs/>
          <w:sz w:val="24"/>
          <w:szCs w:val="28"/>
        </w:rPr>
        <w:t>：</w:t>
      </w:r>
    </w:p>
    <w:p w14:paraId="7040D227">
      <w:pPr>
        <w:spacing w:after="217" w:afterLines="50" w:line="360" w:lineRule="auto"/>
        <w:jc w:val="center"/>
        <w:rPr>
          <w:rFonts w:hint="eastAsia" w:ascii="宋体" w:hAnsi="宋体" w:eastAsia="宋体"/>
          <w:b/>
          <w:sz w:val="28"/>
          <w:szCs w:val="28"/>
        </w:rPr>
      </w:pPr>
      <w:r>
        <w:rPr>
          <w:rFonts w:hint="eastAsia" w:ascii="宋体" w:hAnsi="宋体" w:eastAsia="宋体"/>
          <w:b/>
          <w:sz w:val="32"/>
          <w:szCs w:val="32"/>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31565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32C7817B">
            <w:pPr>
              <w:jc w:val="center"/>
              <w:rPr>
                <w:rFonts w:hint="eastAsia" w:ascii="宋体" w:hAnsi="宋体" w:eastAsia="宋体"/>
                <w:szCs w:val="21"/>
              </w:rPr>
            </w:pPr>
            <w:r>
              <w:rPr>
                <w:rFonts w:hint="eastAsia" w:ascii="宋体" w:hAnsi="宋体" w:eastAsia="宋体"/>
                <w:szCs w:val="21"/>
              </w:rPr>
              <w:t>姓名</w:t>
            </w:r>
          </w:p>
        </w:tc>
        <w:tc>
          <w:tcPr>
            <w:tcW w:w="1493" w:type="pct"/>
            <w:gridSpan w:val="4"/>
            <w:vAlign w:val="center"/>
          </w:tcPr>
          <w:p w14:paraId="3C5B8D3D">
            <w:pPr>
              <w:jc w:val="center"/>
              <w:rPr>
                <w:rFonts w:hint="eastAsia" w:ascii="宋体" w:hAnsi="宋体" w:eastAsia="宋体"/>
                <w:szCs w:val="21"/>
              </w:rPr>
            </w:pPr>
          </w:p>
        </w:tc>
        <w:tc>
          <w:tcPr>
            <w:tcW w:w="480" w:type="pct"/>
            <w:vAlign w:val="center"/>
          </w:tcPr>
          <w:p w14:paraId="68AA514E">
            <w:pPr>
              <w:jc w:val="center"/>
              <w:rPr>
                <w:rFonts w:hint="eastAsia" w:ascii="宋体" w:hAnsi="宋体" w:eastAsia="宋体"/>
                <w:szCs w:val="21"/>
              </w:rPr>
            </w:pPr>
            <w:r>
              <w:rPr>
                <w:rFonts w:hint="eastAsia" w:ascii="宋体" w:hAnsi="宋体" w:eastAsia="宋体"/>
                <w:szCs w:val="21"/>
              </w:rPr>
              <w:t>性别</w:t>
            </w:r>
          </w:p>
        </w:tc>
        <w:tc>
          <w:tcPr>
            <w:tcW w:w="962" w:type="pct"/>
            <w:gridSpan w:val="3"/>
            <w:vAlign w:val="center"/>
          </w:tcPr>
          <w:p w14:paraId="4308A572">
            <w:pPr>
              <w:jc w:val="center"/>
              <w:rPr>
                <w:rFonts w:hint="eastAsia" w:ascii="宋体" w:hAnsi="宋体" w:eastAsia="宋体"/>
                <w:szCs w:val="21"/>
              </w:rPr>
            </w:pPr>
          </w:p>
        </w:tc>
        <w:tc>
          <w:tcPr>
            <w:tcW w:w="617" w:type="pct"/>
            <w:gridSpan w:val="2"/>
            <w:vAlign w:val="center"/>
          </w:tcPr>
          <w:p w14:paraId="076DF9BA">
            <w:pPr>
              <w:jc w:val="center"/>
              <w:rPr>
                <w:rFonts w:hint="eastAsia" w:ascii="宋体" w:hAnsi="宋体" w:eastAsia="宋体"/>
                <w:szCs w:val="21"/>
              </w:rPr>
            </w:pPr>
            <w:r>
              <w:rPr>
                <w:rFonts w:hint="eastAsia" w:ascii="宋体" w:hAnsi="宋体" w:eastAsia="宋体"/>
                <w:szCs w:val="21"/>
              </w:rPr>
              <w:t>年龄</w:t>
            </w:r>
          </w:p>
        </w:tc>
        <w:tc>
          <w:tcPr>
            <w:tcW w:w="1030" w:type="pct"/>
            <w:gridSpan w:val="2"/>
            <w:vAlign w:val="center"/>
          </w:tcPr>
          <w:p w14:paraId="7DA5D332">
            <w:pPr>
              <w:jc w:val="center"/>
              <w:rPr>
                <w:rFonts w:hint="eastAsia" w:ascii="宋体" w:hAnsi="宋体" w:eastAsia="宋体"/>
                <w:szCs w:val="21"/>
              </w:rPr>
            </w:pPr>
          </w:p>
        </w:tc>
      </w:tr>
      <w:tr w14:paraId="69F67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446B2DA2">
            <w:pPr>
              <w:jc w:val="center"/>
              <w:rPr>
                <w:rFonts w:hint="eastAsia" w:ascii="宋体" w:hAnsi="宋体" w:eastAsia="宋体"/>
                <w:szCs w:val="21"/>
              </w:rPr>
            </w:pPr>
            <w:r>
              <w:rPr>
                <w:rFonts w:hint="eastAsia" w:ascii="宋体" w:hAnsi="宋体" w:eastAsia="宋体"/>
                <w:szCs w:val="21"/>
              </w:rPr>
              <w:t>职务</w:t>
            </w:r>
          </w:p>
        </w:tc>
        <w:tc>
          <w:tcPr>
            <w:tcW w:w="1493" w:type="pct"/>
            <w:gridSpan w:val="4"/>
            <w:vAlign w:val="center"/>
          </w:tcPr>
          <w:p w14:paraId="1F6BABCD">
            <w:pPr>
              <w:jc w:val="center"/>
              <w:rPr>
                <w:rFonts w:hint="eastAsia" w:ascii="宋体" w:hAnsi="宋体" w:eastAsia="宋体"/>
                <w:szCs w:val="21"/>
              </w:rPr>
            </w:pPr>
          </w:p>
        </w:tc>
        <w:tc>
          <w:tcPr>
            <w:tcW w:w="480" w:type="pct"/>
            <w:vAlign w:val="center"/>
          </w:tcPr>
          <w:p w14:paraId="7D3F7775">
            <w:pPr>
              <w:jc w:val="center"/>
              <w:rPr>
                <w:rFonts w:hint="eastAsia" w:ascii="宋体" w:hAnsi="宋体" w:eastAsia="宋体"/>
                <w:szCs w:val="21"/>
              </w:rPr>
            </w:pPr>
            <w:r>
              <w:rPr>
                <w:rFonts w:hint="eastAsia" w:ascii="宋体" w:hAnsi="宋体" w:eastAsia="宋体"/>
                <w:szCs w:val="21"/>
              </w:rPr>
              <w:t>职称</w:t>
            </w:r>
          </w:p>
        </w:tc>
        <w:tc>
          <w:tcPr>
            <w:tcW w:w="962" w:type="pct"/>
            <w:gridSpan w:val="3"/>
            <w:vAlign w:val="center"/>
          </w:tcPr>
          <w:p w14:paraId="078F488C">
            <w:pPr>
              <w:jc w:val="center"/>
              <w:rPr>
                <w:rFonts w:hint="eastAsia" w:ascii="宋体" w:hAnsi="宋体" w:eastAsia="宋体"/>
                <w:szCs w:val="21"/>
              </w:rPr>
            </w:pPr>
          </w:p>
        </w:tc>
        <w:tc>
          <w:tcPr>
            <w:tcW w:w="617" w:type="pct"/>
            <w:gridSpan w:val="2"/>
            <w:vAlign w:val="center"/>
          </w:tcPr>
          <w:p w14:paraId="1CFD91C3">
            <w:pPr>
              <w:jc w:val="center"/>
              <w:rPr>
                <w:rFonts w:hint="eastAsia" w:ascii="宋体" w:hAnsi="宋体" w:eastAsia="宋体"/>
                <w:szCs w:val="21"/>
              </w:rPr>
            </w:pPr>
            <w:r>
              <w:rPr>
                <w:rFonts w:hint="eastAsia" w:ascii="宋体" w:hAnsi="宋体" w:eastAsia="宋体"/>
                <w:szCs w:val="21"/>
              </w:rPr>
              <w:t>学历</w:t>
            </w:r>
          </w:p>
        </w:tc>
        <w:tc>
          <w:tcPr>
            <w:tcW w:w="1030" w:type="pct"/>
            <w:gridSpan w:val="2"/>
            <w:vAlign w:val="center"/>
          </w:tcPr>
          <w:p w14:paraId="364EBA79">
            <w:pPr>
              <w:jc w:val="center"/>
              <w:rPr>
                <w:rFonts w:hint="eastAsia" w:ascii="宋体" w:hAnsi="宋体" w:eastAsia="宋体"/>
                <w:szCs w:val="21"/>
              </w:rPr>
            </w:pPr>
          </w:p>
        </w:tc>
      </w:tr>
      <w:tr w14:paraId="792FD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7655CEC9">
            <w:pPr>
              <w:jc w:val="center"/>
              <w:rPr>
                <w:rFonts w:hint="eastAsia" w:ascii="宋体" w:hAnsi="宋体" w:eastAsia="宋体"/>
                <w:szCs w:val="21"/>
              </w:rPr>
            </w:pPr>
            <w:r>
              <w:rPr>
                <w:rFonts w:hint="eastAsia" w:ascii="宋体" w:hAnsi="宋体" w:eastAsia="宋体"/>
                <w:szCs w:val="21"/>
              </w:rPr>
              <w:t>参加工作时间</w:t>
            </w:r>
          </w:p>
        </w:tc>
        <w:tc>
          <w:tcPr>
            <w:tcW w:w="1081" w:type="pct"/>
            <w:gridSpan w:val="4"/>
            <w:vAlign w:val="center"/>
          </w:tcPr>
          <w:p w14:paraId="52BABBBF">
            <w:pPr>
              <w:jc w:val="center"/>
              <w:rPr>
                <w:rFonts w:hint="eastAsia" w:ascii="宋体" w:hAnsi="宋体" w:eastAsia="宋体"/>
                <w:szCs w:val="21"/>
              </w:rPr>
            </w:pPr>
          </w:p>
        </w:tc>
        <w:tc>
          <w:tcPr>
            <w:tcW w:w="1502" w:type="pct"/>
            <w:gridSpan w:val="5"/>
            <w:vAlign w:val="center"/>
          </w:tcPr>
          <w:p w14:paraId="7E81C25C">
            <w:pPr>
              <w:jc w:val="center"/>
              <w:rPr>
                <w:rFonts w:hint="eastAsia" w:ascii="宋体" w:hAnsi="宋体" w:eastAsia="宋体"/>
                <w:szCs w:val="21"/>
              </w:rPr>
            </w:pPr>
            <w:r>
              <w:rPr>
                <w:rFonts w:hint="eastAsia" w:ascii="宋体" w:hAnsi="宋体" w:eastAsia="宋体"/>
                <w:szCs w:val="21"/>
              </w:rPr>
              <w:t>相关经验年限</w:t>
            </w:r>
          </w:p>
        </w:tc>
        <w:tc>
          <w:tcPr>
            <w:tcW w:w="796" w:type="pct"/>
            <w:vAlign w:val="center"/>
          </w:tcPr>
          <w:p w14:paraId="77DDB73E">
            <w:pPr>
              <w:jc w:val="center"/>
              <w:rPr>
                <w:rFonts w:hint="eastAsia" w:ascii="宋体" w:hAnsi="宋体" w:eastAsia="宋体"/>
                <w:szCs w:val="21"/>
              </w:rPr>
            </w:pPr>
          </w:p>
        </w:tc>
      </w:tr>
      <w:tr w14:paraId="5F0F3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8E52AF9">
            <w:pPr>
              <w:jc w:val="center"/>
              <w:rPr>
                <w:rFonts w:hint="eastAsia" w:ascii="宋体" w:hAnsi="宋体" w:eastAsia="宋体"/>
                <w:szCs w:val="21"/>
              </w:rPr>
            </w:pPr>
            <w:r>
              <w:rPr>
                <w:rFonts w:hint="eastAsia" w:ascii="宋体" w:hAnsi="宋体" w:eastAsia="宋体"/>
                <w:szCs w:val="21"/>
              </w:rPr>
              <w:t>资格证书名称、编号</w:t>
            </w:r>
          </w:p>
        </w:tc>
        <w:tc>
          <w:tcPr>
            <w:tcW w:w="3379" w:type="pct"/>
            <w:gridSpan w:val="10"/>
            <w:vAlign w:val="center"/>
          </w:tcPr>
          <w:p w14:paraId="03B34146">
            <w:pPr>
              <w:jc w:val="center"/>
              <w:rPr>
                <w:rFonts w:hint="eastAsia" w:ascii="宋体" w:hAnsi="宋体" w:eastAsia="宋体"/>
                <w:szCs w:val="21"/>
              </w:rPr>
            </w:pPr>
          </w:p>
        </w:tc>
      </w:tr>
      <w:tr w14:paraId="1C58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089C3DE8">
            <w:pPr>
              <w:jc w:val="center"/>
              <w:rPr>
                <w:rFonts w:hint="eastAsia" w:ascii="宋体" w:hAnsi="宋体" w:eastAsia="宋体"/>
                <w:szCs w:val="21"/>
              </w:rPr>
            </w:pPr>
            <w:r>
              <w:rPr>
                <w:rFonts w:hint="eastAsia" w:ascii="宋体" w:hAnsi="宋体" w:eastAsia="宋体"/>
                <w:szCs w:val="21"/>
              </w:rPr>
              <w:t>目前在任及以往服务项目情况</w:t>
            </w:r>
          </w:p>
        </w:tc>
      </w:tr>
      <w:tr w14:paraId="2DA63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2C3C027">
            <w:pPr>
              <w:jc w:val="center"/>
              <w:rPr>
                <w:rFonts w:hint="eastAsia" w:ascii="宋体" w:hAnsi="宋体" w:eastAsia="宋体"/>
                <w:szCs w:val="21"/>
              </w:rPr>
            </w:pPr>
            <w:r>
              <w:rPr>
                <w:rFonts w:hint="eastAsia" w:ascii="宋体" w:hAnsi="宋体" w:eastAsia="宋体"/>
                <w:szCs w:val="21"/>
              </w:rPr>
              <w:t>采购人</w:t>
            </w:r>
          </w:p>
        </w:tc>
        <w:tc>
          <w:tcPr>
            <w:tcW w:w="962" w:type="pct"/>
            <w:gridSpan w:val="2"/>
            <w:vAlign w:val="center"/>
          </w:tcPr>
          <w:p w14:paraId="409BDF60">
            <w:pPr>
              <w:jc w:val="center"/>
              <w:rPr>
                <w:rFonts w:hint="eastAsia" w:ascii="宋体" w:hAnsi="宋体" w:eastAsia="宋体"/>
                <w:szCs w:val="21"/>
              </w:rPr>
            </w:pPr>
            <w:r>
              <w:rPr>
                <w:rFonts w:hint="eastAsia" w:ascii="宋体" w:hAnsi="宋体" w:eastAsia="宋体"/>
                <w:szCs w:val="21"/>
              </w:rPr>
              <w:t>项目名称</w:t>
            </w:r>
          </w:p>
        </w:tc>
        <w:tc>
          <w:tcPr>
            <w:tcW w:w="903" w:type="pct"/>
            <w:gridSpan w:val="4"/>
            <w:vAlign w:val="center"/>
          </w:tcPr>
          <w:p w14:paraId="47C45413">
            <w:pPr>
              <w:jc w:val="center"/>
              <w:rPr>
                <w:rFonts w:hint="eastAsia" w:ascii="宋体" w:hAnsi="宋体" w:eastAsia="宋体"/>
                <w:szCs w:val="21"/>
              </w:rPr>
            </w:pPr>
            <w:r>
              <w:rPr>
                <w:rFonts w:hint="eastAsia" w:ascii="宋体" w:hAnsi="宋体" w:eastAsia="宋体"/>
                <w:szCs w:val="21"/>
              </w:rPr>
              <w:t>项目规模</w:t>
            </w:r>
          </w:p>
        </w:tc>
        <w:tc>
          <w:tcPr>
            <w:tcW w:w="892" w:type="pct"/>
            <w:gridSpan w:val="2"/>
            <w:vAlign w:val="center"/>
          </w:tcPr>
          <w:p w14:paraId="210D69AF">
            <w:pPr>
              <w:jc w:val="center"/>
              <w:rPr>
                <w:rFonts w:hint="eastAsia" w:ascii="宋体" w:hAnsi="宋体" w:eastAsia="宋体"/>
                <w:szCs w:val="21"/>
              </w:rPr>
            </w:pPr>
            <w:r>
              <w:rPr>
                <w:rFonts w:hint="eastAsia" w:ascii="宋体" w:hAnsi="宋体" w:eastAsia="宋体"/>
                <w:szCs w:val="21"/>
              </w:rPr>
              <w:t>所任职务</w:t>
            </w:r>
          </w:p>
        </w:tc>
        <w:tc>
          <w:tcPr>
            <w:tcW w:w="1399" w:type="pct"/>
            <w:gridSpan w:val="3"/>
            <w:vAlign w:val="center"/>
          </w:tcPr>
          <w:p w14:paraId="56B29417">
            <w:pPr>
              <w:jc w:val="center"/>
              <w:rPr>
                <w:rFonts w:hint="eastAsia" w:ascii="宋体" w:hAnsi="宋体" w:eastAsia="宋体"/>
                <w:szCs w:val="21"/>
              </w:rPr>
            </w:pPr>
            <w:r>
              <w:rPr>
                <w:rFonts w:hint="eastAsia" w:ascii="宋体" w:hAnsi="宋体" w:eastAsia="宋体"/>
                <w:szCs w:val="21"/>
              </w:rPr>
              <w:t>起止时间</w:t>
            </w:r>
          </w:p>
        </w:tc>
      </w:tr>
      <w:tr w14:paraId="34A4B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587CEDD">
            <w:pPr>
              <w:jc w:val="center"/>
              <w:rPr>
                <w:rFonts w:hint="eastAsia" w:ascii="宋体" w:hAnsi="宋体" w:eastAsia="宋体"/>
                <w:szCs w:val="21"/>
              </w:rPr>
            </w:pPr>
          </w:p>
        </w:tc>
        <w:tc>
          <w:tcPr>
            <w:tcW w:w="962" w:type="pct"/>
            <w:gridSpan w:val="2"/>
            <w:vAlign w:val="center"/>
          </w:tcPr>
          <w:p w14:paraId="7EC4D9C4">
            <w:pPr>
              <w:jc w:val="center"/>
              <w:rPr>
                <w:rFonts w:hint="eastAsia" w:ascii="宋体" w:hAnsi="宋体" w:eastAsia="宋体"/>
                <w:szCs w:val="21"/>
              </w:rPr>
            </w:pPr>
          </w:p>
        </w:tc>
        <w:tc>
          <w:tcPr>
            <w:tcW w:w="903" w:type="pct"/>
            <w:gridSpan w:val="4"/>
            <w:vAlign w:val="center"/>
          </w:tcPr>
          <w:p w14:paraId="677C83D3">
            <w:pPr>
              <w:jc w:val="center"/>
              <w:rPr>
                <w:rFonts w:hint="eastAsia" w:ascii="宋体" w:hAnsi="宋体" w:eastAsia="宋体"/>
                <w:szCs w:val="21"/>
              </w:rPr>
            </w:pPr>
          </w:p>
        </w:tc>
        <w:tc>
          <w:tcPr>
            <w:tcW w:w="892" w:type="pct"/>
            <w:gridSpan w:val="2"/>
            <w:vAlign w:val="center"/>
          </w:tcPr>
          <w:p w14:paraId="238338FF">
            <w:pPr>
              <w:jc w:val="center"/>
              <w:rPr>
                <w:rFonts w:hint="eastAsia" w:ascii="宋体" w:hAnsi="宋体" w:eastAsia="宋体"/>
                <w:szCs w:val="21"/>
              </w:rPr>
            </w:pPr>
          </w:p>
        </w:tc>
        <w:tc>
          <w:tcPr>
            <w:tcW w:w="1399" w:type="pct"/>
            <w:gridSpan w:val="3"/>
            <w:vAlign w:val="center"/>
          </w:tcPr>
          <w:p w14:paraId="37850832">
            <w:pPr>
              <w:jc w:val="center"/>
              <w:rPr>
                <w:rFonts w:hint="eastAsia" w:ascii="宋体" w:hAnsi="宋体" w:eastAsia="宋体"/>
                <w:szCs w:val="21"/>
              </w:rPr>
            </w:pPr>
          </w:p>
        </w:tc>
      </w:tr>
      <w:tr w14:paraId="548F5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81155C6">
            <w:pPr>
              <w:jc w:val="center"/>
              <w:rPr>
                <w:rFonts w:hint="eastAsia" w:ascii="宋体" w:hAnsi="宋体" w:eastAsia="宋体"/>
                <w:szCs w:val="21"/>
              </w:rPr>
            </w:pPr>
          </w:p>
        </w:tc>
        <w:tc>
          <w:tcPr>
            <w:tcW w:w="962" w:type="pct"/>
            <w:gridSpan w:val="2"/>
            <w:vAlign w:val="center"/>
          </w:tcPr>
          <w:p w14:paraId="084DED3C">
            <w:pPr>
              <w:jc w:val="center"/>
              <w:rPr>
                <w:rFonts w:hint="eastAsia" w:ascii="宋体" w:hAnsi="宋体" w:eastAsia="宋体"/>
                <w:szCs w:val="21"/>
              </w:rPr>
            </w:pPr>
          </w:p>
        </w:tc>
        <w:tc>
          <w:tcPr>
            <w:tcW w:w="903" w:type="pct"/>
            <w:gridSpan w:val="4"/>
            <w:vAlign w:val="center"/>
          </w:tcPr>
          <w:p w14:paraId="1639BAAF">
            <w:pPr>
              <w:jc w:val="center"/>
              <w:rPr>
                <w:rFonts w:hint="eastAsia" w:ascii="宋体" w:hAnsi="宋体" w:eastAsia="宋体"/>
                <w:szCs w:val="21"/>
              </w:rPr>
            </w:pPr>
          </w:p>
        </w:tc>
        <w:tc>
          <w:tcPr>
            <w:tcW w:w="892" w:type="pct"/>
            <w:gridSpan w:val="2"/>
            <w:vAlign w:val="center"/>
          </w:tcPr>
          <w:p w14:paraId="3E561E6C">
            <w:pPr>
              <w:jc w:val="center"/>
              <w:rPr>
                <w:rFonts w:hint="eastAsia" w:ascii="宋体" w:hAnsi="宋体" w:eastAsia="宋体"/>
                <w:szCs w:val="21"/>
              </w:rPr>
            </w:pPr>
          </w:p>
        </w:tc>
        <w:tc>
          <w:tcPr>
            <w:tcW w:w="1399" w:type="pct"/>
            <w:gridSpan w:val="3"/>
            <w:vAlign w:val="center"/>
          </w:tcPr>
          <w:p w14:paraId="14A37475">
            <w:pPr>
              <w:jc w:val="center"/>
              <w:rPr>
                <w:rFonts w:hint="eastAsia" w:ascii="宋体" w:hAnsi="宋体" w:eastAsia="宋体"/>
                <w:szCs w:val="21"/>
              </w:rPr>
            </w:pPr>
          </w:p>
        </w:tc>
      </w:tr>
      <w:tr w14:paraId="1823B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16231E10">
            <w:pPr>
              <w:jc w:val="center"/>
              <w:rPr>
                <w:rFonts w:hint="eastAsia" w:ascii="宋体" w:hAnsi="宋体" w:eastAsia="宋体"/>
                <w:szCs w:val="21"/>
              </w:rPr>
            </w:pPr>
          </w:p>
        </w:tc>
        <w:tc>
          <w:tcPr>
            <w:tcW w:w="962" w:type="pct"/>
            <w:gridSpan w:val="2"/>
            <w:vAlign w:val="center"/>
          </w:tcPr>
          <w:p w14:paraId="4A0658E4">
            <w:pPr>
              <w:jc w:val="center"/>
              <w:rPr>
                <w:rFonts w:hint="eastAsia" w:ascii="宋体" w:hAnsi="宋体" w:eastAsia="宋体"/>
                <w:szCs w:val="21"/>
              </w:rPr>
            </w:pPr>
          </w:p>
        </w:tc>
        <w:tc>
          <w:tcPr>
            <w:tcW w:w="903" w:type="pct"/>
            <w:gridSpan w:val="4"/>
            <w:vAlign w:val="center"/>
          </w:tcPr>
          <w:p w14:paraId="303EA928">
            <w:pPr>
              <w:jc w:val="center"/>
              <w:rPr>
                <w:rFonts w:hint="eastAsia" w:ascii="宋体" w:hAnsi="宋体" w:eastAsia="宋体"/>
                <w:szCs w:val="21"/>
              </w:rPr>
            </w:pPr>
          </w:p>
        </w:tc>
        <w:tc>
          <w:tcPr>
            <w:tcW w:w="892" w:type="pct"/>
            <w:gridSpan w:val="2"/>
            <w:vAlign w:val="center"/>
          </w:tcPr>
          <w:p w14:paraId="2639F98D">
            <w:pPr>
              <w:jc w:val="center"/>
              <w:rPr>
                <w:rFonts w:hint="eastAsia" w:ascii="宋体" w:hAnsi="宋体" w:eastAsia="宋体"/>
                <w:szCs w:val="21"/>
              </w:rPr>
            </w:pPr>
          </w:p>
        </w:tc>
        <w:tc>
          <w:tcPr>
            <w:tcW w:w="1399" w:type="pct"/>
            <w:gridSpan w:val="3"/>
            <w:vAlign w:val="center"/>
          </w:tcPr>
          <w:p w14:paraId="2B0FD870">
            <w:pPr>
              <w:jc w:val="center"/>
              <w:rPr>
                <w:rFonts w:hint="eastAsia" w:ascii="宋体" w:hAnsi="宋体" w:eastAsia="宋体"/>
                <w:szCs w:val="21"/>
              </w:rPr>
            </w:pPr>
          </w:p>
        </w:tc>
      </w:tr>
      <w:tr w14:paraId="1D809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13E3BE9">
            <w:pPr>
              <w:jc w:val="center"/>
              <w:rPr>
                <w:rFonts w:hint="eastAsia" w:ascii="宋体" w:hAnsi="宋体" w:eastAsia="宋体"/>
                <w:szCs w:val="21"/>
              </w:rPr>
            </w:pPr>
          </w:p>
        </w:tc>
        <w:tc>
          <w:tcPr>
            <w:tcW w:w="962" w:type="pct"/>
            <w:gridSpan w:val="2"/>
            <w:vAlign w:val="center"/>
          </w:tcPr>
          <w:p w14:paraId="186C7E40">
            <w:pPr>
              <w:jc w:val="center"/>
              <w:rPr>
                <w:rFonts w:hint="eastAsia" w:ascii="宋体" w:hAnsi="宋体" w:eastAsia="宋体"/>
                <w:szCs w:val="21"/>
              </w:rPr>
            </w:pPr>
          </w:p>
        </w:tc>
        <w:tc>
          <w:tcPr>
            <w:tcW w:w="903" w:type="pct"/>
            <w:gridSpan w:val="4"/>
            <w:vAlign w:val="center"/>
          </w:tcPr>
          <w:p w14:paraId="678077DF">
            <w:pPr>
              <w:jc w:val="center"/>
              <w:rPr>
                <w:rFonts w:hint="eastAsia" w:ascii="宋体" w:hAnsi="宋体" w:eastAsia="宋体"/>
                <w:szCs w:val="21"/>
              </w:rPr>
            </w:pPr>
          </w:p>
        </w:tc>
        <w:tc>
          <w:tcPr>
            <w:tcW w:w="892" w:type="pct"/>
            <w:gridSpan w:val="2"/>
            <w:vAlign w:val="center"/>
          </w:tcPr>
          <w:p w14:paraId="2FDAE357">
            <w:pPr>
              <w:jc w:val="center"/>
              <w:rPr>
                <w:rFonts w:hint="eastAsia" w:ascii="宋体" w:hAnsi="宋体" w:eastAsia="宋体"/>
                <w:szCs w:val="21"/>
              </w:rPr>
            </w:pPr>
          </w:p>
        </w:tc>
        <w:tc>
          <w:tcPr>
            <w:tcW w:w="1399" w:type="pct"/>
            <w:gridSpan w:val="3"/>
            <w:vAlign w:val="center"/>
          </w:tcPr>
          <w:p w14:paraId="2A482FCC">
            <w:pPr>
              <w:jc w:val="center"/>
              <w:rPr>
                <w:rFonts w:hint="eastAsia" w:ascii="宋体" w:hAnsi="宋体" w:eastAsia="宋体"/>
                <w:szCs w:val="21"/>
              </w:rPr>
            </w:pPr>
          </w:p>
        </w:tc>
      </w:tr>
      <w:tr w14:paraId="5C6DA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B89B21C">
            <w:pPr>
              <w:jc w:val="center"/>
              <w:rPr>
                <w:rFonts w:hint="eastAsia" w:ascii="宋体" w:hAnsi="宋体" w:eastAsia="宋体"/>
                <w:szCs w:val="21"/>
              </w:rPr>
            </w:pPr>
          </w:p>
        </w:tc>
        <w:tc>
          <w:tcPr>
            <w:tcW w:w="962" w:type="pct"/>
            <w:gridSpan w:val="2"/>
            <w:vAlign w:val="center"/>
          </w:tcPr>
          <w:p w14:paraId="18E650FE">
            <w:pPr>
              <w:jc w:val="center"/>
              <w:rPr>
                <w:rFonts w:hint="eastAsia" w:ascii="宋体" w:hAnsi="宋体" w:eastAsia="宋体"/>
                <w:szCs w:val="21"/>
              </w:rPr>
            </w:pPr>
          </w:p>
        </w:tc>
        <w:tc>
          <w:tcPr>
            <w:tcW w:w="903" w:type="pct"/>
            <w:gridSpan w:val="4"/>
            <w:vAlign w:val="center"/>
          </w:tcPr>
          <w:p w14:paraId="66F8BC36">
            <w:pPr>
              <w:jc w:val="center"/>
              <w:rPr>
                <w:rFonts w:hint="eastAsia" w:ascii="宋体" w:hAnsi="宋体" w:eastAsia="宋体"/>
                <w:szCs w:val="21"/>
              </w:rPr>
            </w:pPr>
          </w:p>
        </w:tc>
        <w:tc>
          <w:tcPr>
            <w:tcW w:w="892" w:type="pct"/>
            <w:gridSpan w:val="2"/>
            <w:vAlign w:val="center"/>
          </w:tcPr>
          <w:p w14:paraId="4BFD2C50">
            <w:pPr>
              <w:jc w:val="center"/>
              <w:rPr>
                <w:rFonts w:hint="eastAsia" w:ascii="宋体" w:hAnsi="宋体" w:eastAsia="宋体"/>
                <w:szCs w:val="21"/>
              </w:rPr>
            </w:pPr>
          </w:p>
        </w:tc>
        <w:tc>
          <w:tcPr>
            <w:tcW w:w="1399" w:type="pct"/>
            <w:gridSpan w:val="3"/>
            <w:vAlign w:val="center"/>
          </w:tcPr>
          <w:p w14:paraId="6F891135">
            <w:pPr>
              <w:jc w:val="center"/>
              <w:rPr>
                <w:rFonts w:hint="eastAsia" w:ascii="宋体" w:hAnsi="宋体" w:eastAsia="宋体"/>
                <w:szCs w:val="21"/>
              </w:rPr>
            </w:pPr>
          </w:p>
        </w:tc>
      </w:tr>
    </w:tbl>
    <w:p w14:paraId="38942FA0">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766A9AD">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87526C2">
      <w:pPr>
        <w:pageBreakBefore/>
        <w:rPr>
          <w:rFonts w:ascii="Calibri" w:hAnsi="Calibri" w:eastAsia="宋体" w:cs="Times New Roman"/>
          <w:kern w:val="0"/>
          <w:sz w:val="20"/>
          <w:szCs w:val="20"/>
        </w:rPr>
      </w:pPr>
      <w:bookmarkStart w:id="51" w:name="_Toc169799799"/>
      <w:r>
        <w:rPr>
          <w:rFonts w:ascii="宋体" w:hAnsi="宋体" w:eastAsia="宋体"/>
          <w:b/>
          <w:bCs/>
          <w:sz w:val="24"/>
          <w:szCs w:val="28"/>
        </w:rPr>
        <w:t>格式十</w:t>
      </w:r>
      <w:r>
        <w:rPr>
          <w:rFonts w:hint="eastAsia" w:ascii="宋体" w:hAnsi="宋体" w:eastAsia="宋体"/>
          <w:b/>
          <w:bCs/>
          <w:sz w:val="24"/>
          <w:szCs w:val="28"/>
          <w:lang w:val="en-US" w:eastAsia="zh-CN"/>
        </w:rPr>
        <w:t>三</w:t>
      </w:r>
      <w:r>
        <w:rPr>
          <w:rFonts w:ascii="宋体" w:hAnsi="宋体" w:eastAsia="宋体"/>
          <w:b/>
          <w:bCs/>
          <w:sz w:val="24"/>
          <w:szCs w:val="28"/>
        </w:rPr>
        <w:t>：</w:t>
      </w:r>
      <w:bookmarkEnd w:id="51"/>
    </w:p>
    <w:p w14:paraId="06667A8B">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6A06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4AE4D08E">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44" w:type="pct"/>
            <w:vAlign w:val="center"/>
          </w:tcPr>
          <w:p w14:paraId="4FAED2BD">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客户名称</w:t>
            </w:r>
          </w:p>
        </w:tc>
        <w:tc>
          <w:tcPr>
            <w:tcW w:w="1113" w:type="pct"/>
            <w:vAlign w:val="center"/>
          </w:tcPr>
          <w:p w14:paraId="08A65CAA">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项目名称</w:t>
            </w:r>
          </w:p>
        </w:tc>
        <w:tc>
          <w:tcPr>
            <w:tcW w:w="704" w:type="pct"/>
            <w:vAlign w:val="center"/>
          </w:tcPr>
          <w:p w14:paraId="6D8362A2">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合同金额（万元）</w:t>
            </w:r>
          </w:p>
        </w:tc>
        <w:tc>
          <w:tcPr>
            <w:tcW w:w="627" w:type="pct"/>
          </w:tcPr>
          <w:p w14:paraId="1F7A29FC">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签订合同时间</w:t>
            </w:r>
          </w:p>
        </w:tc>
        <w:tc>
          <w:tcPr>
            <w:tcW w:w="705" w:type="pct"/>
            <w:vAlign w:val="center"/>
          </w:tcPr>
          <w:p w14:paraId="19EF8572">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竣工验收报告时间</w:t>
            </w:r>
          </w:p>
        </w:tc>
        <w:tc>
          <w:tcPr>
            <w:tcW w:w="855" w:type="pct"/>
            <w:vAlign w:val="center"/>
          </w:tcPr>
          <w:p w14:paraId="4004DA6F">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联系人及电话</w:t>
            </w:r>
          </w:p>
        </w:tc>
      </w:tr>
      <w:tr w14:paraId="104CE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7AC35B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44" w:type="pct"/>
          </w:tcPr>
          <w:p w14:paraId="4B77F9CC">
            <w:pPr>
              <w:rPr>
                <w:rFonts w:hint="eastAsia" w:ascii="宋体" w:hAnsi="宋体" w:eastAsia="宋体" w:cs="Times New Roman"/>
                <w:szCs w:val="21"/>
              </w:rPr>
            </w:pPr>
          </w:p>
        </w:tc>
        <w:tc>
          <w:tcPr>
            <w:tcW w:w="1113" w:type="pct"/>
          </w:tcPr>
          <w:p w14:paraId="30E97C1B">
            <w:pPr>
              <w:rPr>
                <w:rFonts w:hint="eastAsia" w:ascii="宋体" w:hAnsi="宋体" w:eastAsia="宋体" w:cs="Times New Roman"/>
                <w:szCs w:val="21"/>
              </w:rPr>
            </w:pPr>
          </w:p>
        </w:tc>
        <w:tc>
          <w:tcPr>
            <w:tcW w:w="704" w:type="pct"/>
          </w:tcPr>
          <w:p w14:paraId="5AF8C424">
            <w:pPr>
              <w:rPr>
                <w:rFonts w:hint="eastAsia" w:ascii="宋体" w:hAnsi="宋体" w:eastAsia="宋体" w:cs="Times New Roman"/>
                <w:szCs w:val="21"/>
              </w:rPr>
            </w:pPr>
          </w:p>
        </w:tc>
        <w:tc>
          <w:tcPr>
            <w:tcW w:w="627" w:type="pct"/>
          </w:tcPr>
          <w:p w14:paraId="5E0C27CF">
            <w:pPr>
              <w:rPr>
                <w:rFonts w:hint="eastAsia" w:ascii="宋体" w:hAnsi="宋体" w:eastAsia="宋体" w:cs="Times New Roman"/>
                <w:szCs w:val="21"/>
              </w:rPr>
            </w:pPr>
          </w:p>
        </w:tc>
        <w:tc>
          <w:tcPr>
            <w:tcW w:w="705" w:type="pct"/>
          </w:tcPr>
          <w:p w14:paraId="479FAC53">
            <w:pPr>
              <w:rPr>
                <w:rFonts w:hint="eastAsia" w:ascii="宋体" w:hAnsi="宋体" w:eastAsia="宋体" w:cs="Times New Roman"/>
                <w:szCs w:val="21"/>
              </w:rPr>
            </w:pPr>
          </w:p>
        </w:tc>
        <w:tc>
          <w:tcPr>
            <w:tcW w:w="855" w:type="pct"/>
          </w:tcPr>
          <w:p w14:paraId="6C94E918">
            <w:pPr>
              <w:rPr>
                <w:rFonts w:hint="eastAsia" w:ascii="宋体" w:hAnsi="宋体" w:eastAsia="宋体" w:cs="Times New Roman"/>
                <w:szCs w:val="21"/>
              </w:rPr>
            </w:pPr>
          </w:p>
        </w:tc>
      </w:tr>
      <w:tr w14:paraId="7E34E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B63071">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44" w:type="pct"/>
          </w:tcPr>
          <w:p w14:paraId="2BCED9D4">
            <w:pPr>
              <w:rPr>
                <w:rFonts w:hint="eastAsia" w:ascii="宋体" w:hAnsi="宋体" w:eastAsia="宋体" w:cs="Times New Roman"/>
                <w:szCs w:val="21"/>
              </w:rPr>
            </w:pPr>
          </w:p>
        </w:tc>
        <w:tc>
          <w:tcPr>
            <w:tcW w:w="1113" w:type="pct"/>
          </w:tcPr>
          <w:p w14:paraId="05E5F239">
            <w:pPr>
              <w:rPr>
                <w:rFonts w:hint="eastAsia" w:ascii="宋体" w:hAnsi="宋体" w:eastAsia="宋体" w:cs="Times New Roman"/>
                <w:szCs w:val="21"/>
              </w:rPr>
            </w:pPr>
          </w:p>
        </w:tc>
        <w:tc>
          <w:tcPr>
            <w:tcW w:w="704" w:type="pct"/>
          </w:tcPr>
          <w:p w14:paraId="14A2F253">
            <w:pPr>
              <w:rPr>
                <w:rFonts w:hint="eastAsia" w:ascii="宋体" w:hAnsi="宋体" w:eastAsia="宋体" w:cs="Times New Roman"/>
                <w:szCs w:val="21"/>
              </w:rPr>
            </w:pPr>
          </w:p>
        </w:tc>
        <w:tc>
          <w:tcPr>
            <w:tcW w:w="627" w:type="pct"/>
          </w:tcPr>
          <w:p w14:paraId="491D913E">
            <w:pPr>
              <w:rPr>
                <w:rFonts w:hint="eastAsia" w:ascii="宋体" w:hAnsi="宋体" w:eastAsia="宋体" w:cs="Times New Roman"/>
                <w:szCs w:val="21"/>
              </w:rPr>
            </w:pPr>
          </w:p>
        </w:tc>
        <w:tc>
          <w:tcPr>
            <w:tcW w:w="705" w:type="pct"/>
          </w:tcPr>
          <w:p w14:paraId="3E706613">
            <w:pPr>
              <w:rPr>
                <w:rFonts w:hint="eastAsia" w:ascii="宋体" w:hAnsi="宋体" w:eastAsia="宋体" w:cs="Times New Roman"/>
                <w:szCs w:val="21"/>
              </w:rPr>
            </w:pPr>
          </w:p>
        </w:tc>
        <w:tc>
          <w:tcPr>
            <w:tcW w:w="855" w:type="pct"/>
          </w:tcPr>
          <w:p w14:paraId="3B6B099D">
            <w:pPr>
              <w:rPr>
                <w:rFonts w:hint="eastAsia" w:ascii="宋体" w:hAnsi="宋体" w:eastAsia="宋体" w:cs="Times New Roman"/>
                <w:szCs w:val="21"/>
              </w:rPr>
            </w:pPr>
          </w:p>
        </w:tc>
      </w:tr>
      <w:tr w14:paraId="505D2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DFC6C2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44" w:type="pct"/>
          </w:tcPr>
          <w:p w14:paraId="1C9E001F">
            <w:pPr>
              <w:rPr>
                <w:rFonts w:hint="eastAsia" w:ascii="宋体" w:hAnsi="宋体" w:eastAsia="宋体" w:cs="Times New Roman"/>
                <w:szCs w:val="21"/>
              </w:rPr>
            </w:pPr>
          </w:p>
        </w:tc>
        <w:tc>
          <w:tcPr>
            <w:tcW w:w="1113" w:type="pct"/>
          </w:tcPr>
          <w:p w14:paraId="61646AB0">
            <w:pPr>
              <w:rPr>
                <w:rFonts w:hint="eastAsia" w:ascii="宋体" w:hAnsi="宋体" w:eastAsia="宋体" w:cs="Times New Roman"/>
                <w:szCs w:val="21"/>
              </w:rPr>
            </w:pPr>
          </w:p>
        </w:tc>
        <w:tc>
          <w:tcPr>
            <w:tcW w:w="704" w:type="pct"/>
          </w:tcPr>
          <w:p w14:paraId="756D49C1">
            <w:pPr>
              <w:rPr>
                <w:rFonts w:hint="eastAsia" w:ascii="宋体" w:hAnsi="宋体" w:eastAsia="宋体" w:cs="Times New Roman"/>
                <w:szCs w:val="21"/>
              </w:rPr>
            </w:pPr>
          </w:p>
        </w:tc>
        <w:tc>
          <w:tcPr>
            <w:tcW w:w="627" w:type="pct"/>
          </w:tcPr>
          <w:p w14:paraId="13B16900">
            <w:pPr>
              <w:rPr>
                <w:rFonts w:hint="eastAsia" w:ascii="宋体" w:hAnsi="宋体" w:eastAsia="宋体" w:cs="Times New Roman"/>
                <w:szCs w:val="21"/>
              </w:rPr>
            </w:pPr>
          </w:p>
        </w:tc>
        <w:tc>
          <w:tcPr>
            <w:tcW w:w="705" w:type="pct"/>
          </w:tcPr>
          <w:p w14:paraId="78F70F3A">
            <w:pPr>
              <w:rPr>
                <w:rFonts w:hint="eastAsia" w:ascii="宋体" w:hAnsi="宋体" w:eastAsia="宋体" w:cs="Times New Roman"/>
                <w:szCs w:val="21"/>
              </w:rPr>
            </w:pPr>
          </w:p>
        </w:tc>
        <w:tc>
          <w:tcPr>
            <w:tcW w:w="855" w:type="pct"/>
          </w:tcPr>
          <w:p w14:paraId="72932319">
            <w:pPr>
              <w:rPr>
                <w:rFonts w:hint="eastAsia" w:ascii="宋体" w:hAnsi="宋体" w:eastAsia="宋体" w:cs="Times New Roman"/>
                <w:szCs w:val="21"/>
              </w:rPr>
            </w:pPr>
          </w:p>
        </w:tc>
      </w:tr>
      <w:tr w14:paraId="4B741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7DF97E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44" w:type="pct"/>
          </w:tcPr>
          <w:p w14:paraId="5D149122">
            <w:pPr>
              <w:rPr>
                <w:rFonts w:hint="eastAsia" w:ascii="宋体" w:hAnsi="宋体" w:eastAsia="宋体" w:cs="Times New Roman"/>
                <w:szCs w:val="21"/>
              </w:rPr>
            </w:pPr>
          </w:p>
        </w:tc>
        <w:tc>
          <w:tcPr>
            <w:tcW w:w="1113" w:type="pct"/>
          </w:tcPr>
          <w:p w14:paraId="34CB54D8">
            <w:pPr>
              <w:rPr>
                <w:rFonts w:hint="eastAsia" w:ascii="宋体" w:hAnsi="宋体" w:eastAsia="宋体" w:cs="Times New Roman"/>
                <w:szCs w:val="21"/>
              </w:rPr>
            </w:pPr>
          </w:p>
        </w:tc>
        <w:tc>
          <w:tcPr>
            <w:tcW w:w="704" w:type="pct"/>
          </w:tcPr>
          <w:p w14:paraId="52086462">
            <w:pPr>
              <w:rPr>
                <w:rFonts w:hint="eastAsia" w:ascii="宋体" w:hAnsi="宋体" w:eastAsia="宋体" w:cs="Times New Roman"/>
                <w:szCs w:val="21"/>
              </w:rPr>
            </w:pPr>
          </w:p>
        </w:tc>
        <w:tc>
          <w:tcPr>
            <w:tcW w:w="627" w:type="pct"/>
          </w:tcPr>
          <w:p w14:paraId="7D2588F3">
            <w:pPr>
              <w:rPr>
                <w:rFonts w:hint="eastAsia" w:ascii="宋体" w:hAnsi="宋体" w:eastAsia="宋体" w:cs="Times New Roman"/>
                <w:szCs w:val="21"/>
              </w:rPr>
            </w:pPr>
          </w:p>
        </w:tc>
        <w:tc>
          <w:tcPr>
            <w:tcW w:w="705" w:type="pct"/>
          </w:tcPr>
          <w:p w14:paraId="26B20983">
            <w:pPr>
              <w:rPr>
                <w:rFonts w:hint="eastAsia" w:ascii="宋体" w:hAnsi="宋体" w:eastAsia="宋体" w:cs="Times New Roman"/>
                <w:szCs w:val="21"/>
              </w:rPr>
            </w:pPr>
          </w:p>
        </w:tc>
        <w:tc>
          <w:tcPr>
            <w:tcW w:w="855" w:type="pct"/>
          </w:tcPr>
          <w:p w14:paraId="15AF1BCA">
            <w:pPr>
              <w:rPr>
                <w:rFonts w:hint="eastAsia" w:ascii="宋体" w:hAnsi="宋体" w:eastAsia="宋体" w:cs="Times New Roman"/>
                <w:szCs w:val="21"/>
              </w:rPr>
            </w:pPr>
          </w:p>
        </w:tc>
      </w:tr>
      <w:tr w14:paraId="348AE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471BE3CF">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44" w:type="pct"/>
          </w:tcPr>
          <w:p w14:paraId="77EC12BC">
            <w:pPr>
              <w:rPr>
                <w:rFonts w:hint="eastAsia" w:ascii="宋体" w:hAnsi="宋体" w:eastAsia="宋体" w:cs="Times New Roman"/>
                <w:szCs w:val="21"/>
              </w:rPr>
            </w:pPr>
          </w:p>
        </w:tc>
        <w:tc>
          <w:tcPr>
            <w:tcW w:w="1113" w:type="pct"/>
          </w:tcPr>
          <w:p w14:paraId="2FF2F3F8">
            <w:pPr>
              <w:rPr>
                <w:rFonts w:hint="eastAsia" w:ascii="宋体" w:hAnsi="宋体" w:eastAsia="宋体" w:cs="Times New Roman"/>
                <w:szCs w:val="21"/>
              </w:rPr>
            </w:pPr>
          </w:p>
        </w:tc>
        <w:tc>
          <w:tcPr>
            <w:tcW w:w="704" w:type="pct"/>
          </w:tcPr>
          <w:p w14:paraId="6B05C1C3">
            <w:pPr>
              <w:rPr>
                <w:rFonts w:hint="eastAsia" w:ascii="宋体" w:hAnsi="宋体" w:eastAsia="宋体" w:cs="Times New Roman"/>
                <w:szCs w:val="21"/>
              </w:rPr>
            </w:pPr>
          </w:p>
        </w:tc>
        <w:tc>
          <w:tcPr>
            <w:tcW w:w="627" w:type="pct"/>
          </w:tcPr>
          <w:p w14:paraId="490AD426">
            <w:pPr>
              <w:rPr>
                <w:rFonts w:hint="eastAsia" w:ascii="宋体" w:hAnsi="宋体" w:eastAsia="宋体" w:cs="Times New Roman"/>
                <w:szCs w:val="21"/>
              </w:rPr>
            </w:pPr>
          </w:p>
        </w:tc>
        <w:tc>
          <w:tcPr>
            <w:tcW w:w="705" w:type="pct"/>
          </w:tcPr>
          <w:p w14:paraId="7B521578">
            <w:pPr>
              <w:rPr>
                <w:rFonts w:hint="eastAsia" w:ascii="宋体" w:hAnsi="宋体" w:eastAsia="宋体" w:cs="Times New Roman"/>
                <w:szCs w:val="21"/>
              </w:rPr>
            </w:pPr>
          </w:p>
        </w:tc>
        <w:tc>
          <w:tcPr>
            <w:tcW w:w="855" w:type="pct"/>
          </w:tcPr>
          <w:p w14:paraId="2BA83C7A">
            <w:pPr>
              <w:rPr>
                <w:rFonts w:hint="eastAsia" w:ascii="宋体" w:hAnsi="宋体" w:eastAsia="宋体" w:cs="Times New Roman"/>
                <w:szCs w:val="21"/>
              </w:rPr>
            </w:pPr>
          </w:p>
        </w:tc>
      </w:tr>
    </w:tbl>
    <w:p w14:paraId="2406F2A5">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根据上述业绩情况，按招标文件要求附销售或服务合同复印件及评审标准要求的证明材料。</w:t>
      </w:r>
    </w:p>
    <w:p w14:paraId="34DE4092">
      <w:pPr>
        <w:widowControl/>
        <w:jc w:val="left"/>
        <w:rPr>
          <w:rFonts w:ascii="Calibri" w:hAnsi="Calibri" w:eastAsia="宋体" w:cs="Times New Roman"/>
          <w:kern w:val="0"/>
          <w:sz w:val="20"/>
          <w:szCs w:val="20"/>
          <w:lang w:eastAsia="zh-Hans"/>
        </w:rPr>
      </w:pPr>
    </w:p>
    <w:p w14:paraId="0FA7F481">
      <w:pPr>
        <w:widowControl/>
        <w:jc w:val="left"/>
        <w:rPr>
          <w:rFonts w:ascii="Calibri" w:hAnsi="Calibri" w:eastAsia="宋体" w:cs="Times New Roman"/>
          <w:kern w:val="0"/>
          <w:sz w:val="20"/>
          <w:szCs w:val="20"/>
        </w:rPr>
      </w:pPr>
    </w:p>
    <w:p w14:paraId="7E145F17">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822350B">
      <w:pPr>
        <w:widowControl/>
        <w:jc w:val="left"/>
        <w:rPr>
          <w:rFonts w:ascii="Calibri" w:hAnsi="Calibri" w:eastAsia="宋体" w:cs="Times New Roman"/>
          <w:kern w:val="0"/>
          <w:sz w:val="20"/>
          <w:szCs w:val="20"/>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C5474FC">
      <w:pPr>
        <w:pageBreakBefore/>
        <w:rPr>
          <w:rFonts w:ascii="Calibri" w:hAnsi="Calibri" w:eastAsia="宋体" w:cs="Times New Roman"/>
          <w:kern w:val="0"/>
          <w:sz w:val="20"/>
          <w:szCs w:val="20"/>
          <w:lang w:eastAsia="zh-Hans"/>
        </w:rPr>
      </w:pPr>
      <w:bookmarkStart w:id="52" w:name="_Toc169799800"/>
      <w:r>
        <w:rPr>
          <w:rFonts w:ascii="宋体" w:hAnsi="宋体" w:eastAsia="宋体"/>
          <w:b/>
          <w:bCs/>
          <w:sz w:val="24"/>
          <w:szCs w:val="28"/>
        </w:rPr>
        <w:t>格式十</w:t>
      </w:r>
      <w:r>
        <w:rPr>
          <w:rFonts w:hint="eastAsia" w:ascii="宋体" w:hAnsi="宋体" w:eastAsia="宋体"/>
          <w:b/>
          <w:bCs/>
          <w:sz w:val="24"/>
          <w:szCs w:val="28"/>
          <w:lang w:val="en-US" w:eastAsia="zh-CN"/>
        </w:rPr>
        <w:t>四</w:t>
      </w:r>
      <w:r>
        <w:rPr>
          <w:rFonts w:ascii="宋体" w:hAnsi="宋体" w:eastAsia="宋体"/>
          <w:b/>
          <w:bCs/>
          <w:sz w:val="24"/>
          <w:szCs w:val="28"/>
        </w:rPr>
        <w:t>：</w:t>
      </w:r>
      <w:bookmarkEnd w:id="52"/>
    </w:p>
    <w:p w14:paraId="623B4721">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375BE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5B4FA170">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序号</w:t>
            </w:r>
          </w:p>
        </w:tc>
        <w:tc>
          <w:tcPr>
            <w:tcW w:w="421" w:type="pct"/>
            <w:vAlign w:val="center"/>
          </w:tcPr>
          <w:p w14:paraId="2DFB1127">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参数性质</w:t>
            </w:r>
          </w:p>
        </w:tc>
        <w:tc>
          <w:tcPr>
            <w:tcW w:w="842" w:type="pct"/>
            <w:vAlign w:val="center"/>
          </w:tcPr>
          <w:p w14:paraId="5DC39CDE">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Hans"/>
              </w:rPr>
              <w:t>招标文件</w:t>
            </w:r>
            <w:r>
              <w:rPr>
                <w:rFonts w:ascii="Calibri" w:hAnsi="Calibri" w:eastAsia="宋体" w:cs="Times New Roman"/>
                <w:b/>
                <w:bCs/>
                <w:kern w:val="0"/>
                <w:szCs w:val="21"/>
                <w:lang w:eastAsia="zh-Hans"/>
              </w:rPr>
              <w:t>规定的技术和服务要求</w:t>
            </w:r>
          </w:p>
        </w:tc>
        <w:tc>
          <w:tcPr>
            <w:tcW w:w="673" w:type="pct"/>
            <w:vAlign w:val="center"/>
          </w:tcPr>
          <w:p w14:paraId="78AFE261">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投标文件响应的具体内容</w:t>
            </w:r>
          </w:p>
        </w:tc>
        <w:tc>
          <w:tcPr>
            <w:tcW w:w="673" w:type="pct"/>
            <w:vAlign w:val="center"/>
          </w:tcPr>
          <w:p w14:paraId="626E3C64">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型号</w:t>
            </w:r>
          </w:p>
        </w:tc>
        <w:tc>
          <w:tcPr>
            <w:tcW w:w="757" w:type="pct"/>
            <w:vAlign w:val="center"/>
          </w:tcPr>
          <w:p w14:paraId="54F1088D">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是否偏离</w:t>
            </w:r>
          </w:p>
        </w:tc>
        <w:tc>
          <w:tcPr>
            <w:tcW w:w="674" w:type="pct"/>
            <w:vAlign w:val="center"/>
          </w:tcPr>
          <w:p w14:paraId="6F7A672E">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证明文件所在位置</w:t>
            </w:r>
          </w:p>
        </w:tc>
        <w:tc>
          <w:tcPr>
            <w:tcW w:w="455" w:type="pct"/>
            <w:vAlign w:val="center"/>
          </w:tcPr>
          <w:p w14:paraId="498C1294">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备注</w:t>
            </w:r>
          </w:p>
        </w:tc>
      </w:tr>
      <w:tr w14:paraId="48278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7A3FC61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21" w:type="pct"/>
          </w:tcPr>
          <w:p w14:paraId="462BB751">
            <w:pPr>
              <w:jc w:val="center"/>
              <w:rPr>
                <w:rFonts w:ascii="Calibri" w:hAnsi="Calibri" w:eastAsia="宋体" w:cs="Times New Roman"/>
                <w:szCs w:val="24"/>
              </w:rPr>
            </w:pPr>
          </w:p>
        </w:tc>
        <w:tc>
          <w:tcPr>
            <w:tcW w:w="842" w:type="pct"/>
          </w:tcPr>
          <w:p w14:paraId="08C468AA">
            <w:pPr>
              <w:jc w:val="center"/>
              <w:rPr>
                <w:rFonts w:ascii="Calibri" w:hAnsi="Calibri" w:eastAsia="宋体" w:cs="Times New Roman"/>
                <w:szCs w:val="24"/>
              </w:rPr>
            </w:pPr>
          </w:p>
        </w:tc>
        <w:tc>
          <w:tcPr>
            <w:tcW w:w="673" w:type="pct"/>
          </w:tcPr>
          <w:p w14:paraId="7E92370B">
            <w:pPr>
              <w:jc w:val="center"/>
              <w:rPr>
                <w:rFonts w:ascii="Calibri" w:hAnsi="Calibri" w:eastAsia="宋体" w:cs="Times New Roman"/>
                <w:szCs w:val="24"/>
              </w:rPr>
            </w:pPr>
          </w:p>
        </w:tc>
        <w:tc>
          <w:tcPr>
            <w:tcW w:w="673" w:type="pct"/>
          </w:tcPr>
          <w:p w14:paraId="36304637">
            <w:pPr>
              <w:jc w:val="center"/>
              <w:rPr>
                <w:rFonts w:ascii="Calibri" w:hAnsi="Calibri" w:eastAsia="宋体" w:cs="Times New Roman"/>
                <w:szCs w:val="24"/>
              </w:rPr>
            </w:pPr>
          </w:p>
        </w:tc>
        <w:tc>
          <w:tcPr>
            <w:tcW w:w="757" w:type="pct"/>
          </w:tcPr>
          <w:p w14:paraId="3C382810">
            <w:pPr>
              <w:jc w:val="center"/>
              <w:rPr>
                <w:rFonts w:ascii="Calibri" w:hAnsi="Calibri" w:eastAsia="宋体" w:cs="Times New Roman"/>
                <w:szCs w:val="24"/>
              </w:rPr>
            </w:pPr>
          </w:p>
        </w:tc>
        <w:tc>
          <w:tcPr>
            <w:tcW w:w="674" w:type="pct"/>
          </w:tcPr>
          <w:p w14:paraId="3BA31C17">
            <w:pPr>
              <w:jc w:val="center"/>
              <w:rPr>
                <w:rFonts w:ascii="Calibri" w:hAnsi="Calibri" w:eastAsia="宋体" w:cs="Times New Roman"/>
                <w:szCs w:val="24"/>
              </w:rPr>
            </w:pPr>
          </w:p>
        </w:tc>
        <w:tc>
          <w:tcPr>
            <w:tcW w:w="455" w:type="pct"/>
          </w:tcPr>
          <w:p w14:paraId="532AA381">
            <w:pPr>
              <w:jc w:val="center"/>
              <w:rPr>
                <w:rFonts w:ascii="Calibri" w:hAnsi="Calibri" w:eastAsia="宋体" w:cs="Times New Roman"/>
                <w:szCs w:val="24"/>
              </w:rPr>
            </w:pPr>
          </w:p>
        </w:tc>
      </w:tr>
      <w:tr w14:paraId="55527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7F6400E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21" w:type="pct"/>
          </w:tcPr>
          <w:p w14:paraId="215BEDBC">
            <w:pPr>
              <w:jc w:val="center"/>
              <w:rPr>
                <w:rFonts w:ascii="Calibri" w:hAnsi="Calibri" w:eastAsia="宋体" w:cs="Times New Roman"/>
                <w:szCs w:val="24"/>
              </w:rPr>
            </w:pPr>
          </w:p>
        </w:tc>
        <w:tc>
          <w:tcPr>
            <w:tcW w:w="842" w:type="pct"/>
          </w:tcPr>
          <w:p w14:paraId="31EBF181">
            <w:pPr>
              <w:jc w:val="center"/>
              <w:rPr>
                <w:rFonts w:ascii="Calibri" w:hAnsi="Calibri" w:eastAsia="宋体" w:cs="Times New Roman"/>
                <w:szCs w:val="24"/>
              </w:rPr>
            </w:pPr>
          </w:p>
        </w:tc>
        <w:tc>
          <w:tcPr>
            <w:tcW w:w="673" w:type="pct"/>
          </w:tcPr>
          <w:p w14:paraId="2DBF6C29">
            <w:pPr>
              <w:jc w:val="center"/>
              <w:rPr>
                <w:rFonts w:ascii="Calibri" w:hAnsi="Calibri" w:eastAsia="宋体" w:cs="Times New Roman"/>
                <w:szCs w:val="24"/>
              </w:rPr>
            </w:pPr>
          </w:p>
        </w:tc>
        <w:tc>
          <w:tcPr>
            <w:tcW w:w="673" w:type="pct"/>
          </w:tcPr>
          <w:p w14:paraId="61F1ADFA">
            <w:pPr>
              <w:jc w:val="center"/>
              <w:rPr>
                <w:rFonts w:ascii="Calibri" w:hAnsi="Calibri" w:eastAsia="宋体" w:cs="Times New Roman"/>
                <w:szCs w:val="24"/>
              </w:rPr>
            </w:pPr>
          </w:p>
        </w:tc>
        <w:tc>
          <w:tcPr>
            <w:tcW w:w="757" w:type="pct"/>
          </w:tcPr>
          <w:p w14:paraId="008E0DDA">
            <w:pPr>
              <w:jc w:val="center"/>
              <w:rPr>
                <w:rFonts w:ascii="Calibri" w:hAnsi="Calibri" w:eastAsia="宋体" w:cs="Times New Roman"/>
                <w:szCs w:val="24"/>
              </w:rPr>
            </w:pPr>
          </w:p>
        </w:tc>
        <w:tc>
          <w:tcPr>
            <w:tcW w:w="674" w:type="pct"/>
          </w:tcPr>
          <w:p w14:paraId="64A53332">
            <w:pPr>
              <w:jc w:val="center"/>
              <w:rPr>
                <w:rFonts w:ascii="Calibri" w:hAnsi="Calibri" w:eastAsia="宋体" w:cs="Times New Roman"/>
                <w:szCs w:val="24"/>
              </w:rPr>
            </w:pPr>
          </w:p>
        </w:tc>
        <w:tc>
          <w:tcPr>
            <w:tcW w:w="455" w:type="pct"/>
          </w:tcPr>
          <w:p w14:paraId="2CA2C667">
            <w:pPr>
              <w:jc w:val="center"/>
              <w:rPr>
                <w:rFonts w:ascii="Calibri" w:hAnsi="Calibri" w:eastAsia="宋体" w:cs="Times New Roman"/>
                <w:szCs w:val="24"/>
              </w:rPr>
            </w:pPr>
          </w:p>
        </w:tc>
      </w:tr>
      <w:tr w14:paraId="65C63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737CFC9B">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21" w:type="pct"/>
          </w:tcPr>
          <w:p w14:paraId="6EDD9267">
            <w:pPr>
              <w:jc w:val="center"/>
              <w:rPr>
                <w:rFonts w:ascii="Calibri" w:hAnsi="Calibri" w:eastAsia="宋体" w:cs="Times New Roman"/>
                <w:szCs w:val="24"/>
              </w:rPr>
            </w:pPr>
          </w:p>
        </w:tc>
        <w:tc>
          <w:tcPr>
            <w:tcW w:w="842" w:type="pct"/>
          </w:tcPr>
          <w:p w14:paraId="1A67A282">
            <w:pPr>
              <w:jc w:val="center"/>
              <w:rPr>
                <w:rFonts w:ascii="Calibri" w:hAnsi="Calibri" w:eastAsia="宋体" w:cs="Times New Roman"/>
                <w:szCs w:val="24"/>
              </w:rPr>
            </w:pPr>
          </w:p>
        </w:tc>
        <w:tc>
          <w:tcPr>
            <w:tcW w:w="673" w:type="pct"/>
          </w:tcPr>
          <w:p w14:paraId="7173BF56">
            <w:pPr>
              <w:jc w:val="center"/>
              <w:rPr>
                <w:rFonts w:ascii="Calibri" w:hAnsi="Calibri" w:eastAsia="宋体" w:cs="Times New Roman"/>
                <w:szCs w:val="24"/>
              </w:rPr>
            </w:pPr>
          </w:p>
        </w:tc>
        <w:tc>
          <w:tcPr>
            <w:tcW w:w="673" w:type="pct"/>
          </w:tcPr>
          <w:p w14:paraId="52B77CF6">
            <w:pPr>
              <w:jc w:val="center"/>
              <w:rPr>
                <w:rFonts w:ascii="Calibri" w:hAnsi="Calibri" w:eastAsia="宋体" w:cs="Times New Roman"/>
                <w:szCs w:val="24"/>
              </w:rPr>
            </w:pPr>
          </w:p>
        </w:tc>
        <w:tc>
          <w:tcPr>
            <w:tcW w:w="757" w:type="pct"/>
          </w:tcPr>
          <w:p w14:paraId="736E0BA8">
            <w:pPr>
              <w:jc w:val="center"/>
              <w:rPr>
                <w:rFonts w:ascii="Calibri" w:hAnsi="Calibri" w:eastAsia="宋体" w:cs="Times New Roman"/>
                <w:szCs w:val="24"/>
              </w:rPr>
            </w:pPr>
          </w:p>
        </w:tc>
        <w:tc>
          <w:tcPr>
            <w:tcW w:w="674" w:type="pct"/>
          </w:tcPr>
          <w:p w14:paraId="042EB6CD">
            <w:pPr>
              <w:jc w:val="center"/>
              <w:rPr>
                <w:rFonts w:ascii="Calibri" w:hAnsi="Calibri" w:eastAsia="宋体" w:cs="Times New Roman"/>
                <w:szCs w:val="24"/>
              </w:rPr>
            </w:pPr>
          </w:p>
        </w:tc>
        <w:tc>
          <w:tcPr>
            <w:tcW w:w="455" w:type="pct"/>
          </w:tcPr>
          <w:p w14:paraId="3D981D69">
            <w:pPr>
              <w:jc w:val="center"/>
              <w:rPr>
                <w:rFonts w:ascii="Calibri" w:hAnsi="Calibri" w:eastAsia="宋体" w:cs="Times New Roman"/>
                <w:szCs w:val="24"/>
              </w:rPr>
            </w:pPr>
          </w:p>
        </w:tc>
      </w:tr>
      <w:tr w14:paraId="45F9C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9F32D0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21" w:type="pct"/>
          </w:tcPr>
          <w:p w14:paraId="0E69B02D">
            <w:pPr>
              <w:jc w:val="center"/>
              <w:rPr>
                <w:rFonts w:ascii="Calibri" w:hAnsi="Calibri" w:eastAsia="宋体" w:cs="Times New Roman"/>
                <w:szCs w:val="24"/>
              </w:rPr>
            </w:pPr>
          </w:p>
        </w:tc>
        <w:tc>
          <w:tcPr>
            <w:tcW w:w="842" w:type="pct"/>
          </w:tcPr>
          <w:p w14:paraId="3D7BE88E">
            <w:pPr>
              <w:jc w:val="center"/>
              <w:rPr>
                <w:rFonts w:ascii="Calibri" w:hAnsi="Calibri" w:eastAsia="宋体" w:cs="Times New Roman"/>
                <w:szCs w:val="24"/>
              </w:rPr>
            </w:pPr>
          </w:p>
        </w:tc>
        <w:tc>
          <w:tcPr>
            <w:tcW w:w="673" w:type="pct"/>
          </w:tcPr>
          <w:p w14:paraId="7E53FBD3">
            <w:pPr>
              <w:jc w:val="center"/>
              <w:rPr>
                <w:rFonts w:ascii="Calibri" w:hAnsi="Calibri" w:eastAsia="宋体" w:cs="Times New Roman"/>
                <w:szCs w:val="24"/>
              </w:rPr>
            </w:pPr>
          </w:p>
        </w:tc>
        <w:tc>
          <w:tcPr>
            <w:tcW w:w="673" w:type="pct"/>
          </w:tcPr>
          <w:p w14:paraId="5F80EDE6">
            <w:pPr>
              <w:jc w:val="center"/>
              <w:rPr>
                <w:rFonts w:ascii="Calibri" w:hAnsi="Calibri" w:eastAsia="宋体" w:cs="Times New Roman"/>
                <w:szCs w:val="24"/>
              </w:rPr>
            </w:pPr>
          </w:p>
        </w:tc>
        <w:tc>
          <w:tcPr>
            <w:tcW w:w="757" w:type="pct"/>
          </w:tcPr>
          <w:p w14:paraId="2304E6BC">
            <w:pPr>
              <w:jc w:val="center"/>
              <w:rPr>
                <w:rFonts w:ascii="Calibri" w:hAnsi="Calibri" w:eastAsia="宋体" w:cs="Times New Roman"/>
                <w:szCs w:val="24"/>
              </w:rPr>
            </w:pPr>
          </w:p>
        </w:tc>
        <w:tc>
          <w:tcPr>
            <w:tcW w:w="674" w:type="pct"/>
          </w:tcPr>
          <w:p w14:paraId="574EFEA4">
            <w:pPr>
              <w:jc w:val="center"/>
              <w:rPr>
                <w:rFonts w:ascii="Calibri" w:hAnsi="Calibri" w:eastAsia="宋体" w:cs="Times New Roman"/>
                <w:szCs w:val="24"/>
              </w:rPr>
            </w:pPr>
          </w:p>
        </w:tc>
        <w:tc>
          <w:tcPr>
            <w:tcW w:w="455" w:type="pct"/>
          </w:tcPr>
          <w:p w14:paraId="676A68CD">
            <w:pPr>
              <w:jc w:val="center"/>
              <w:rPr>
                <w:rFonts w:ascii="Calibri" w:hAnsi="Calibri" w:eastAsia="宋体" w:cs="Times New Roman"/>
                <w:szCs w:val="24"/>
              </w:rPr>
            </w:pPr>
          </w:p>
        </w:tc>
      </w:tr>
      <w:tr w14:paraId="2B0B0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F212E03">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21" w:type="pct"/>
          </w:tcPr>
          <w:p w14:paraId="2DF0AB98">
            <w:pPr>
              <w:jc w:val="center"/>
              <w:rPr>
                <w:rFonts w:ascii="Calibri" w:hAnsi="Calibri" w:eastAsia="宋体" w:cs="Times New Roman"/>
                <w:szCs w:val="24"/>
              </w:rPr>
            </w:pPr>
          </w:p>
        </w:tc>
        <w:tc>
          <w:tcPr>
            <w:tcW w:w="842" w:type="pct"/>
          </w:tcPr>
          <w:p w14:paraId="40DC2DA2">
            <w:pPr>
              <w:jc w:val="center"/>
              <w:rPr>
                <w:rFonts w:ascii="Calibri" w:hAnsi="Calibri" w:eastAsia="宋体" w:cs="Times New Roman"/>
                <w:szCs w:val="24"/>
              </w:rPr>
            </w:pPr>
          </w:p>
        </w:tc>
        <w:tc>
          <w:tcPr>
            <w:tcW w:w="673" w:type="pct"/>
          </w:tcPr>
          <w:p w14:paraId="6A577545">
            <w:pPr>
              <w:jc w:val="center"/>
              <w:rPr>
                <w:rFonts w:ascii="Calibri" w:hAnsi="Calibri" w:eastAsia="宋体" w:cs="Times New Roman"/>
                <w:szCs w:val="24"/>
              </w:rPr>
            </w:pPr>
          </w:p>
        </w:tc>
        <w:tc>
          <w:tcPr>
            <w:tcW w:w="673" w:type="pct"/>
          </w:tcPr>
          <w:p w14:paraId="650404E1">
            <w:pPr>
              <w:jc w:val="center"/>
              <w:rPr>
                <w:rFonts w:ascii="Calibri" w:hAnsi="Calibri" w:eastAsia="宋体" w:cs="Times New Roman"/>
                <w:szCs w:val="24"/>
              </w:rPr>
            </w:pPr>
          </w:p>
        </w:tc>
        <w:tc>
          <w:tcPr>
            <w:tcW w:w="757" w:type="pct"/>
          </w:tcPr>
          <w:p w14:paraId="48933ADB">
            <w:pPr>
              <w:jc w:val="center"/>
              <w:rPr>
                <w:rFonts w:ascii="Calibri" w:hAnsi="Calibri" w:eastAsia="宋体" w:cs="Times New Roman"/>
                <w:szCs w:val="24"/>
              </w:rPr>
            </w:pPr>
          </w:p>
        </w:tc>
        <w:tc>
          <w:tcPr>
            <w:tcW w:w="674" w:type="pct"/>
          </w:tcPr>
          <w:p w14:paraId="5EEC79DD">
            <w:pPr>
              <w:jc w:val="center"/>
              <w:rPr>
                <w:rFonts w:ascii="Calibri" w:hAnsi="Calibri" w:eastAsia="宋体" w:cs="Times New Roman"/>
                <w:szCs w:val="24"/>
              </w:rPr>
            </w:pPr>
          </w:p>
        </w:tc>
        <w:tc>
          <w:tcPr>
            <w:tcW w:w="455" w:type="pct"/>
          </w:tcPr>
          <w:p w14:paraId="6EDF7065">
            <w:pPr>
              <w:jc w:val="center"/>
              <w:rPr>
                <w:rFonts w:ascii="Calibri" w:hAnsi="Calibri" w:eastAsia="宋体" w:cs="Times New Roman"/>
                <w:szCs w:val="24"/>
              </w:rPr>
            </w:pPr>
          </w:p>
        </w:tc>
      </w:tr>
      <w:tr w14:paraId="3E542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C4528D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21" w:type="pct"/>
          </w:tcPr>
          <w:p w14:paraId="65CB9B69">
            <w:pPr>
              <w:jc w:val="center"/>
              <w:rPr>
                <w:rFonts w:ascii="Calibri" w:hAnsi="Calibri" w:eastAsia="宋体" w:cs="Times New Roman"/>
                <w:szCs w:val="24"/>
              </w:rPr>
            </w:pPr>
          </w:p>
        </w:tc>
        <w:tc>
          <w:tcPr>
            <w:tcW w:w="842" w:type="pct"/>
          </w:tcPr>
          <w:p w14:paraId="6EC72A60">
            <w:pPr>
              <w:jc w:val="center"/>
              <w:rPr>
                <w:rFonts w:ascii="Calibri" w:hAnsi="Calibri" w:eastAsia="宋体" w:cs="Times New Roman"/>
                <w:szCs w:val="24"/>
              </w:rPr>
            </w:pPr>
          </w:p>
        </w:tc>
        <w:tc>
          <w:tcPr>
            <w:tcW w:w="673" w:type="pct"/>
          </w:tcPr>
          <w:p w14:paraId="6FB35265">
            <w:pPr>
              <w:jc w:val="center"/>
              <w:rPr>
                <w:rFonts w:ascii="Calibri" w:hAnsi="Calibri" w:eastAsia="宋体" w:cs="Times New Roman"/>
                <w:szCs w:val="24"/>
              </w:rPr>
            </w:pPr>
          </w:p>
        </w:tc>
        <w:tc>
          <w:tcPr>
            <w:tcW w:w="673" w:type="pct"/>
          </w:tcPr>
          <w:p w14:paraId="4D4174E8">
            <w:pPr>
              <w:jc w:val="center"/>
              <w:rPr>
                <w:rFonts w:ascii="Calibri" w:hAnsi="Calibri" w:eastAsia="宋体" w:cs="Times New Roman"/>
                <w:szCs w:val="24"/>
              </w:rPr>
            </w:pPr>
          </w:p>
        </w:tc>
        <w:tc>
          <w:tcPr>
            <w:tcW w:w="757" w:type="pct"/>
          </w:tcPr>
          <w:p w14:paraId="7FA9D6D0">
            <w:pPr>
              <w:jc w:val="center"/>
              <w:rPr>
                <w:rFonts w:ascii="Calibri" w:hAnsi="Calibri" w:eastAsia="宋体" w:cs="Times New Roman"/>
                <w:szCs w:val="24"/>
              </w:rPr>
            </w:pPr>
          </w:p>
        </w:tc>
        <w:tc>
          <w:tcPr>
            <w:tcW w:w="674" w:type="pct"/>
          </w:tcPr>
          <w:p w14:paraId="13CE5BBC">
            <w:pPr>
              <w:jc w:val="center"/>
              <w:rPr>
                <w:rFonts w:ascii="Calibri" w:hAnsi="Calibri" w:eastAsia="宋体" w:cs="Times New Roman"/>
                <w:szCs w:val="24"/>
              </w:rPr>
            </w:pPr>
          </w:p>
        </w:tc>
        <w:tc>
          <w:tcPr>
            <w:tcW w:w="455" w:type="pct"/>
          </w:tcPr>
          <w:p w14:paraId="40A93A28">
            <w:pPr>
              <w:jc w:val="center"/>
              <w:rPr>
                <w:rFonts w:ascii="Calibri" w:hAnsi="Calibri" w:eastAsia="宋体" w:cs="Times New Roman"/>
                <w:szCs w:val="24"/>
              </w:rPr>
            </w:pPr>
          </w:p>
        </w:tc>
      </w:tr>
      <w:tr w14:paraId="7E6E3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EC4C4E6">
            <w:pPr>
              <w:widowControl/>
              <w:jc w:val="center"/>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w:t>
            </w:r>
          </w:p>
        </w:tc>
        <w:tc>
          <w:tcPr>
            <w:tcW w:w="421" w:type="pct"/>
          </w:tcPr>
          <w:p w14:paraId="567C07D7">
            <w:pPr>
              <w:jc w:val="center"/>
              <w:rPr>
                <w:rFonts w:ascii="Calibri" w:hAnsi="Calibri" w:eastAsia="宋体" w:cs="Times New Roman"/>
                <w:szCs w:val="24"/>
              </w:rPr>
            </w:pPr>
          </w:p>
        </w:tc>
        <w:tc>
          <w:tcPr>
            <w:tcW w:w="842" w:type="pct"/>
          </w:tcPr>
          <w:p w14:paraId="38723E90">
            <w:pPr>
              <w:jc w:val="center"/>
              <w:rPr>
                <w:rFonts w:ascii="Calibri" w:hAnsi="Calibri" w:eastAsia="宋体" w:cs="Times New Roman"/>
                <w:szCs w:val="24"/>
              </w:rPr>
            </w:pPr>
          </w:p>
        </w:tc>
        <w:tc>
          <w:tcPr>
            <w:tcW w:w="673" w:type="pct"/>
          </w:tcPr>
          <w:p w14:paraId="7D6E2DF5">
            <w:pPr>
              <w:jc w:val="center"/>
              <w:rPr>
                <w:rFonts w:ascii="Calibri" w:hAnsi="Calibri" w:eastAsia="宋体" w:cs="Times New Roman"/>
                <w:szCs w:val="24"/>
              </w:rPr>
            </w:pPr>
          </w:p>
        </w:tc>
        <w:tc>
          <w:tcPr>
            <w:tcW w:w="673" w:type="pct"/>
          </w:tcPr>
          <w:p w14:paraId="795015EB">
            <w:pPr>
              <w:jc w:val="center"/>
              <w:rPr>
                <w:rFonts w:ascii="Calibri" w:hAnsi="Calibri" w:eastAsia="宋体" w:cs="Times New Roman"/>
                <w:szCs w:val="24"/>
              </w:rPr>
            </w:pPr>
          </w:p>
        </w:tc>
        <w:tc>
          <w:tcPr>
            <w:tcW w:w="757" w:type="pct"/>
          </w:tcPr>
          <w:p w14:paraId="65E40E70">
            <w:pPr>
              <w:jc w:val="center"/>
              <w:rPr>
                <w:rFonts w:ascii="Calibri" w:hAnsi="Calibri" w:eastAsia="宋体" w:cs="Times New Roman"/>
                <w:szCs w:val="24"/>
              </w:rPr>
            </w:pPr>
          </w:p>
        </w:tc>
        <w:tc>
          <w:tcPr>
            <w:tcW w:w="674" w:type="pct"/>
          </w:tcPr>
          <w:p w14:paraId="0056B91D">
            <w:pPr>
              <w:jc w:val="center"/>
              <w:rPr>
                <w:rFonts w:ascii="Calibri" w:hAnsi="Calibri" w:eastAsia="宋体" w:cs="Times New Roman"/>
                <w:szCs w:val="24"/>
              </w:rPr>
            </w:pPr>
          </w:p>
        </w:tc>
        <w:tc>
          <w:tcPr>
            <w:tcW w:w="455" w:type="pct"/>
          </w:tcPr>
          <w:p w14:paraId="73EECC06">
            <w:pPr>
              <w:jc w:val="center"/>
              <w:rPr>
                <w:rFonts w:ascii="Calibri" w:hAnsi="Calibri" w:eastAsia="宋体" w:cs="Times New Roman"/>
                <w:szCs w:val="24"/>
              </w:rPr>
            </w:pPr>
          </w:p>
        </w:tc>
      </w:tr>
    </w:tbl>
    <w:p w14:paraId="15FE946A">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1F204B97">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招标文</w:t>
      </w:r>
      <w:r>
        <w:rPr>
          <w:rFonts w:ascii="宋体" w:hAnsi="宋体" w:eastAsia="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26E7EC9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24826FD8">
      <w:pPr>
        <w:widowControl/>
        <w:jc w:val="left"/>
        <w:rPr>
          <w:rFonts w:hint="eastAsia"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lang w:eastAsia="zh-Hans"/>
        </w:rPr>
        <w:t>“型号</w:t>
      </w:r>
      <w:r>
        <w:rPr>
          <w:rFonts w:ascii="宋体" w:hAnsi="宋体" w:eastAsia="宋体" w:cs="Calibri"/>
          <w:kern w:val="0"/>
          <w:szCs w:val="21"/>
          <w:lang w:eastAsia="zh-Hans"/>
        </w:rPr>
        <w:t>”</w:t>
      </w:r>
      <w:r>
        <w:rPr>
          <w:rFonts w:hint="eastAsia" w:ascii="宋体" w:hAnsi="宋体" w:eastAsia="宋体" w:cs="Calibri"/>
          <w:kern w:val="0"/>
          <w:szCs w:val="21"/>
          <w:lang w:eastAsia="zh-Hans"/>
        </w:rPr>
        <w:t>项，若无，填写：</w:t>
      </w:r>
      <w:r>
        <w:rPr>
          <w:rFonts w:ascii="宋体" w:hAnsi="宋体" w:eastAsia="宋体" w:cs="Times New Roman"/>
          <w:kern w:val="0"/>
          <w:szCs w:val="21"/>
          <w:lang w:eastAsia="zh-Hans"/>
        </w:rPr>
        <w:t>“</w:t>
      </w:r>
      <w:r>
        <w:rPr>
          <w:rFonts w:hint="eastAsia" w:ascii="宋体" w:hAnsi="宋体" w:eastAsia="宋体" w:cs="Times New Roman"/>
          <w:kern w:val="0"/>
          <w:szCs w:val="21"/>
        </w:rPr>
        <w:t xml:space="preserve"> </w:t>
      </w:r>
      <w:r>
        <w:rPr>
          <w:rStyle w:val="15"/>
          <w:rFonts w:ascii="宋体" w:hAnsi="宋体" w:eastAsia="宋体" w:cs="Arial"/>
          <w:i w:val="0"/>
          <w:iCs w:val="0"/>
          <w:szCs w:val="21"/>
          <w:shd w:val="clear" w:color="auto" w:fill="FFFFFF"/>
        </w:rPr>
        <w:t>/</w:t>
      </w:r>
      <w:r>
        <w:rPr>
          <w:rStyle w:val="15"/>
          <w:rFonts w:hint="eastAsia" w:ascii="宋体" w:hAnsi="宋体" w:eastAsia="宋体" w:cs="Arial"/>
          <w:i w:val="0"/>
          <w:iCs w:val="0"/>
          <w:szCs w:val="21"/>
          <w:shd w:val="clear" w:color="auto" w:fill="FFFFFF"/>
        </w:rPr>
        <w:t xml:space="preserve"> </w:t>
      </w:r>
      <w:r>
        <w:rPr>
          <w:rFonts w:ascii="宋体" w:hAnsi="宋体" w:eastAsia="宋体" w:cs="Calibri"/>
          <w:kern w:val="0"/>
          <w:szCs w:val="21"/>
          <w:lang w:eastAsia="zh-Hans"/>
        </w:rPr>
        <w:t>”</w:t>
      </w:r>
      <w:r>
        <w:rPr>
          <w:rStyle w:val="15"/>
          <w:rFonts w:ascii="宋体" w:hAnsi="宋体" w:eastAsia="宋体" w:cs="Arial"/>
          <w:i w:val="0"/>
          <w:iCs w:val="0"/>
          <w:szCs w:val="21"/>
          <w:shd w:val="clear" w:color="auto" w:fill="FFFFFF"/>
        </w:rPr>
        <w:t>。</w:t>
      </w:r>
    </w:p>
    <w:p w14:paraId="1FFC0EF2">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rPr>
        <w:t>4</w:t>
      </w:r>
      <w:r>
        <w:rPr>
          <w:rFonts w:ascii="宋体" w:hAnsi="宋体" w:eastAsia="宋体" w:cs="Times New Roman"/>
          <w:kern w:val="0"/>
          <w:szCs w:val="21"/>
          <w:lang w:eastAsia="zh-Hans"/>
        </w:rPr>
        <w:t>.“是否偏离”项下应按下列规定填写：优于的，填写“正偏离”；符合的，填写“无偏离”；低于的，填写“负偏离”。</w:t>
      </w:r>
    </w:p>
    <w:p w14:paraId="69A1ECD4">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rPr>
        <w:t>5</w:t>
      </w:r>
      <w:r>
        <w:rPr>
          <w:rFonts w:ascii="宋体" w:hAnsi="宋体" w:eastAsia="宋体" w:cs="Times New Roman"/>
          <w:kern w:val="0"/>
          <w:szCs w:val="21"/>
          <w:lang w:eastAsia="zh-Hans"/>
        </w:rPr>
        <w:t>.</w:t>
      </w:r>
      <w:bookmarkStart w:id="53" w:name="_Hlk169717981"/>
      <w:r>
        <w:rPr>
          <w:rFonts w:ascii="宋体" w:hAnsi="宋体" w:eastAsia="宋体" w:cs="Times New Roman"/>
          <w:kern w:val="0"/>
          <w:szCs w:val="21"/>
          <w:lang w:eastAsia="zh-Hans"/>
        </w:rPr>
        <w:t>“备注”</w:t>
      </w:r>
      <w:bookmarkEnd w:id="53"/>
      <w:r>
        <w:rPr>
          <w:rFonts w:ascii="宋体" w:hAnsi="宋体" w:eastAsia="宋体" w:cs="Times New Roman"/>
          <w:kern w:val="0"/>
          <w:szCs w:val="21"/>
          <w:lang w:eastAsia="zh-Hans"/>
        </w:rPr>
        <w:t>处可填写偏离情况的说明。</w:t>
      </w:r>
    </w:p>
    <w:p w14:paraId="408616EA">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7D06075">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0AB34F5">
      <w:pPr>
        <w:pageBreakBefore/>
        <w:rPr>
          <w:rFonts w:ascii="Calibri" w:hAnsi="Calibri" w:eastAsia="宋体" w:cs="Times New Roman"/>
          <w:kern w:val="0"/>
          <w:sz w:val="20"/>
          <w:szCs w:val="20"/>
          <w:lang w:eastAsia="zh-Hans"/>
        </w:rPr>
      </w:pPr>
      <w:bookmarkStart w:id="54" w:name="_Toc169799801"/>
      <w:r>
        <w:rPr>
          <w:rFonts w:ascii="宋体" w:hAnsi="宋体" w:eastAsia="宋体"/>
          <w:b/>
          <w:bCs/>
          <w:sz w:val="24"/>
          <w:szCs w:val="28"/>
        </w:rPr>
        <w:t>格式十</w:t>
      </w:r>
      <w:r>
        <w:rPr>
          <w:rFonts w:hint="eastAsia" w:ascii="宋体" w:hAnsi="宋体" w:eastAsia="宋体"/>
          <w:b/>
          <w:bCs/>
          <w:sz w:val="24"/>
          <w:szCs w:val="28"/>
          <w:lang w:val="en-US" w:eastAsia="zh-CN"/>
        </w:rPr>
        <w:t>五</w:t>
      </w:r>
      <w:r>
        <w:rPr>
          <w:rFonts w:ascii="宋体" w:hAnsi="宋体" w:eastAsia="宋体"/>
          <w:b/>
          <w:bCs/>
          <w:sz w:val="24"/>
          <w:szCs w:val="28"/>
        </w:rPr>
        <w:t>：</w:t>
      </w:r>
      <w:bookmarkEnd w:id="54"/>
    </w:p>
    <w:p w14:paraId="516A100D">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5FA2A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524A55D5">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76" w:type="pct"/>
            <w:vAlign w:val="center"/>
          </w:tcPr>
          <w:p w14:paraId="674E8F8B">
            <w:pPr>
              <w:widowControl/>
              <w:jc w:val="center"/>
              <w:rPr>
                <w:rFonts w:hint="eastAsia" w:ascii="宋体" w:hAnsi="宋体" w:eastAsia="宋体" w:cs="Times New Roman"/>
                <w:b/>
                <w:bCs/>
                <w:kern w:val="0"/>
                <w:szCs w:val="21"/>
              </w:rPr>
            </w:pPr>
            <w:r>
              <w:rPr>
                <w:rFonts w:ascii="宋体" w:hAnsi="宋体" w:eastAsia="宋体" w:cs="Times New Roman"/>
                <w:b/>
                <w:bCs/>
                <w:kern w:val="0"/>
                <w:szCs w:val="21"/>
                <w:lang w:eastAsia="zh-Hans"/>
              </w:rPr>
              <w:t>参数性质</w:t>
            </w:r>
          </w:p>
        </w:tc>
        <w:tc>
          <w:tcPr>
            <w:tcW w:w="850" w:type="pct"/>
            <w:vAlign w:val="center"/>
          </w:tcPr>
          <w:p w14:paraId="0ABDE87D">
            <w:pPr>
              <w:widowControl/>
              <w:jc w:val="center"/>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招标</w:t>
            </w:r>
            <w:r>
              <w:rPr>
                <w:rFonts w:ascii="宋体" w:hAnsi="宋体" w:eastAsia="宋体" w:cs="Times New Roman"/>
                <w:b/>
                <w:bCs/>
                <w:kern w:val="0"/>
                <w:szCs w:val="21"/>
                <w:lang w:eastAsia="zh-Hans"/>
              </w:rPr>
              <w:t>文件规定的商务条件</w:t>
            </w:r>
          </w:p>
        </w:tc>
        <w:tc>
          <w:tcPr>
            <w:tcW w:w="896" w:type="pct"/>
            <w:vAlign w:val="center"/>
          </w:tcPr>
          <w:p w14:paraId="08936E36">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712" w:type="pct"/>
            <w:vAlign w:val="center"/>
          </w:tcPr>
          <w:p w14:paraId="02D3BD84">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712" w:type="pct"/>
            <w:vAlign w:val="center"/>
          </w:tcPr>
          <w:p w14:paraId="079E5E21">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c>
          <w:tcPr>
            <w:tcW w:w="712" w:type="pct"/>
            <w:vAlign w:val="center"/>
          </w:tcPr>
          <w:p w14:paraId="26AB6C87">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备注</w:t>
            </w:r>
          </w:p>
        </w:tc>
      </w:tr>
      <w:tr w14:paraId="5D51A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C32BA5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76" w:type="pct"/>
          </w:tcPr>
          <w:p w14:paraId="114CE81A">
            <w:pPr>
              <w:rPr>
                <w:rFonts w:hint="eastAsia" w:ascii="宋体" w:hAnsi="宋体" w:eastAsia="宋体" w:cs="Times New Roman"/>
                <w:szCs w:val="21"/>
              </w:rPr>
            </w:pPr>
          </w:p>
        </w:tc>
        <w:tc>
          <w:tcPr>
            <w:tcW w:w="850" w:type="pct"/>
          </w:tcPr>
          <w:p w14:paraId="64A51BDE">
            <w:pPr>
              <w:rPr>
                <w:rFonts w:hint="eastAsia" w:ascii="宋体" w:hAnsi="宋体" w:eastAsia="宋体" w:cs="Times New Roman"/>
                <w:szCs w:val="21"/>
              </w:rPr>
            </w:pPr>
          </w:p>
        </w:tc>
        <w:tc>
          <w:tcPr>
            <w:tcW w:w="896" w:type="pct"/>
          </w:tcPr>
          <w:p w14:paraId="5ADC26D4">
            <w:pPr>
              <w:rPr>
                <w:rFonts w:hint="eastAsia" w:ascii="宋体" w:hAnsi="宋体" w:eastAsia="宋体" w:cs="Times New Roman"/>
                <w:szCs w:val="21"/>
              </w:rPr>
            </w:pPr>
          </w:p>
        </w:tc>
        <w:tc>
          <w:tcPr>
            <w:tcW w:w="712" w:type="pct"/>
          </w:tcPr>
          <w:p w14:paraId="76FBB7C5">
            <w:pPr>
              <w:rPr>
                <w:rFonts w:hint="eastAsia" w:ascii="宋体" w:hAnsi="宋体" w:eastAsia="宋体" w:cs="Times New Roman"/>
                <w:szCs w:val="21"/>
              </w:rPr>
            </w:pPr>
          </w:p>
        </w:tc>
        <w:tc>
          <w:tcPr>
            <w:tcW w:w="712" w:type="pct"/>
          </w:tcPr>
          <w:p w14:paraId="5D7A1ADF">
            <w:pPr>
              <w:rPr>
                <w:rFonts w:hint="eastAsia" w:ascii="宋体" w:hAnsi="宋体" w:eastAsia="宋体" w:cs="Times New Roman"/>
                <w:szCs w:val="21"/>
              </w:rPr>
            </w:pPr>
          </w:p>
        </w:tc>
        <w:tc>
          <w:tcPr>
            <w:tcW w:w="712" w:type="pct"/>
          </w:tcPr>
          <w:p w14:paraId="69E7DF9F">
            <w:pPr>
              <w:rPr>
                <w:rFonts w:hint="eastAsia" w:ascii="宋体" w:hAnsi="宋体" w:eastAsia="宋体" w:cs="Times New Roman"/>
                <w:szCs w:val="21"/>
              </w:rPr>
            </w:pPr>
          </w:p>
        </w:tc>
      </w:tr>
      <w:tr w14:paraId="6FAFB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1B331C5C">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76" w:type="pct"/>
          </w:tcPr>
          <w:p w14:paraId="6EC9B65F">
            <w:pPr>
              <w:rPr>
                <w:rFonts w:hint="eastAsia" w:ascii="宋体" w:hAnsi="宋体" w:eastAsia="宋体" w:cs="Times New Roman"/>
                <w:szCs w:val="21"/>
              </w:rPr>
            </w:pPr>
          </w:p>
        </w:tc>
        <w:tc>
          <w:tcPr>
            <w:tcW w:w="850" w:type="pct"/>
          </w:tcPr>
          <w:p w14:paraId="22E41918">
            <w:pPr>
              <w:rPr>
                <w:rFonts w:hint="eastAsia" w:ascii="宋体" w:hAnsi="宋体" w:eastAsia="宋体" w:cs="Times New Roman"/>
                <w:szCs w:val="21"/>
              </w:rPr>
            </w:pPr>
          </w:p>
        </w:tc>
        <w:tc>
          <w:tcPr>
            <w:tcW w:w="896" w:type="pct"/>
          </w:tcPr>
          <w:p w14:paraId="0F924241">
            <w:pPr>
              <w:rPr>
                <w:rFonts w:hint="eastAsia" w:ascii="宋体" w:hAnsi="宋体" w:eastAsia="宋体" w:cs="Times New Roman"/>
                <w:szCs w:val="21"/>
              </w:rPr>
            </w:pPr>
          </w:p>
        </w:tc>
        <w:tc>
          <w:tcPr>
            <w:tcW w:w="712" w:type="pct"/>
          </w:tcPr>
          <w:p w14:paraId="620A79D4">
            <w:pPr>
              <w:rPr>
                <w:rFonts w:hint="eastAsia" w:ascii="宋体" w:hAnsi="宋体" w:eastAsia="宋体" w:cs="Times New Roman"/>
                <w:szCs w:val="21"/>
              </w:rPr>
            </w:pPr>
          </w:p>
        </w:tc>
        <w:tc>
          <w:tcPr>
            <w:tcW w:w="712" w:type="pct"/>
          </w:tcPr>
          <w:p w14:paraId="6540C6DD">
            <w:pPr>
              <w:rPr>
                <w:rFonts w:hint="eastAsia" w:ascii="宋体" w:hAnsi="宋体" w:eastAsia="宋体" w:cs="Times New Roman"/>
                <w:szCs w:val="21"/>
              </w:rPr>
            </w:pPr>
          </w:p>
        </w:tc>
        <w:tc>
          <w:tcPr>
            <w:tcW w:w="712" w:type="pct"/>
          </w:tcPr>
          <w:p w14:paraId="09617B7E">
            <w:pPr>
              <w:rPr>
                <w:rFonts w:hint="eastAsia" w:ascii="宋体" w:hAnsi="宋体" w:eastAsia="宋体" w:cs="Times New Roman"/>
                <w:szCs w:val="21"/>
              </w:rPr>
            </w:pPr>
          </w:p>
        </w:tc>
      </w:tr>
      <w:tr w14:paraId="3B672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2A1F3E8">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76" w:type="pct"/>
          </w:tcPr>
          <w:p w14:paraId="59F513DA">
            <w:pPr>
              <w:rPr>
                <w:rFonts w:hint="eastAsia" w:ascii="宋体" w:hAnsi="宋体" w:eastAsia="宋体" w:cs="Times New Roman"/>
                <w:szCs w:val="21"/>
              </w:rPr>
            </w:pPr>
          </w:p>
        </w:tc>
        <w:tc>
          <w:tcPr>
            <w:tcW w:w="850" w:type="pct"/>
          </w:tcPr>
          <w:p w14:paraId="11AEFF8F">
            <w:pPr>
              <w:rPr>
                <w:rFonts w:hint="eastAsia" w:ascii="宋体" w:hAnsi="宋体" w:eastAsia="宋体" w:cs="Times New Roman"/>
                <w:szCs w:val="21"/>
              </w:rPr>
            </w:pPr>
          </w:p>
        </w:tc>
        <w:tc>
          <w:tcPr>
            <w:tcW w:w="896" w:type="pct"/>
          </w:tcPr>
          <w:p w14:paraId="4D53B815">
            <w:pPr>
              <w:rPr>
                <w:rFonts w:hint="eastAsia" w:ascii="宋体" w:hAnsi="宋体" w:eastAsia="宋体" w:cs="Times New Roman"/>
                <w:szCs w:val="21"/>
              </w:rPr>
            </w:pPr>
          </w:p>
        </w:tc>
        <w:tc>
          <w:tcPr>
            <w:tcW w:w="712" w:type="pct"/>
          </w:tcPr>
          <w:p w14:paraId="49C193DC">
            <w:pPr>
              <w:rPr>
                <w:rFonts w:hint="eastAsia" w:ascii="宋体" w:hAnsi="宋体" w:eastAsia="宋体" w:cs="Times New Roman"/>
                <w:szCs w:val="21"/>
              </w:rPr>
            </w:pPr>
          </w:p>
        </w:tc>
        <w:tc>
          <w:tcPr>
            <w:tcW w:w="712" w:type="pct"/>
          </w:tcPr>
          <w:p w14:paraId="0CE8B608">
            <w:pPr>
              <w:rPr>
                <w:rFonts w:hint="eastAsia" w:ascii="宋体" w:hAnsi="宋体" w:eastAsia="宋体" w:cs="Times New Roman"/>
                <w:szCs w:val="21"/>
              </w:rPr>
            </w:pPr>
          </w:p>
        </w:tc>
        <w:tc>
          <w:tcPr>
            <w:tcW w:w="712" w:type="pct"/>
          </w:tcPr>
          <w:p w14:paraId="1A3A1648">
            <w:pPr>
              <w:rPr>
                <w:rFonts w:hint="eastAsia" w:ascii="宋体" w:hAnsi="宋体" w:eastAsia="宋体" w:cs="Times New Roman"/>
                <w:szCs w:val="21"/>
              </w:rPr>
            </w:pPr>
          </w:p>
        </w:tc>
      </w:tr>
      <w:tr w14:paraId="4D6E7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6139717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76" w:type="pct"/>
          </w:tcPr>
          <w:p w14:paraId="6F29A31A">
            <w:pPr>
              <w:rPr>
                <w:rFonts w:hint="eastAsia" w:ascii="宋体" w:hAnsi="宋体" w:eastAsia="宋体" w:cs="Times New Roman"/>
                <w:szCs w:val="21"/>
              </w:rPr>
            </w:pPr>
          </w:p>
        </w:tc>
        <w:tc>
          <w:tcPr>
            <w:tcW w:w="850" w:type="pct"/>
          </w:tcPr>
          <w:p w14:paraId="7D7EFC3D">
            <w:pPr>
              <w:rPr>
                <w:rFonts w:hint="eastAsia" w:ascii="宋体" w:hAnsi="宋体" w:eastAsia="宋体" w:cs="Times New Roman"/>
                <w:szCs w:val="21"/>
              </w:rPr>
            </w:pPr>
          </w:p>
        </w:tc>
        <w:tc>
          <w:tcPr>
            <w:tcW w:w="896" w:type="pct"/>
          </w:tcPr>
          <w:p w14:paraId="15FE1099">
            <w:pPr>
              <w:rPr>
                <w:rFonts w:hint="eastAsia" w:ascii="宋体" w:hAnsi="宋体" w:eastAsia="宋体" w:cs="Times New Roman"/>
                <w:szCs w:val="21"/>
              </w:rPr>
            </w:pPr>
          </w:p>
        </w:tc>
        <w:tc>
          <w:tcPr>
            <w:tcW w:w="712" w:type="pct"/>
          </w:tcPr>
          <w:p w14:paraId="7CF69BDE">
            <w:pPr>
              <w:rPr>
                <w:rFonts w:hint="eastAsia" w:ascii="宋体" w:hAnsi="宋体" w:eastAsia="宋体" w:cs="Times New Roman"/>
                <w:szCs w:val="21"/>
              </w:rPr>
            </w:pPr>
          </w:p>
        </w:tc>
        <w:tc>
          <w:tcPr>
            <w:tcW w:w="712" w:type="pct"/>
          </w:tcPr>
          <w:p w14:paraId="141DDFDB">
            <w:pPr>
              <w:rPr>
                <w:rFonts w:hint="eastAsia" w:ascii="宋体" w:hAnsi="宋体" w:eastAsia="宋体" w:cs="Times New Roman"/>
                <w:szCs w:val="21"/>
              </w:rPr>
            </w:pPr>
          </w:p>
        </w:tc>
        <w:tc>
          <w:tcPr>
            <w:tcW w:w="712" w:type="pct"/>
          </w:tcPr>
          <w:p w14:paraId="74D85906">
            <w:pPr>
              <w:rPr>
                <w:rFonts w:hint="eastAsia" w:ascii="宋体" w:hAnsi="宋体" w:eastAsia="宋体" w:cs="Times New Roman"/>
                <w:szCs w:val="21"/>
              </w:rPr>
            </w:pPr>
          </w:p>
        </w:tc>
      </w:tr>
      <w:tr w14:paraId="732D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C0067DB">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676" w:type="pct"/>
          </w:tcPr>
          <w:p w14:paraId="2D9C0CCA">
            <w:pPr>
              <w:rPr>
                <w:rFonts w:hint="eastAsia" w:ascii="宋体" w:hAnsi="宋体" w:eastAsia="宋体" w:cs="Times New Roman"/>
                <w:szCs w:val="21"/>
              </w:rPr>
            </w:pPr>
          </w:p>
        </w:tc>
        <w:tc>
          <w:tcPr>
            <w:tcW w:w="850" w:type="pct"/>
          </w:tcPr>
          <w:p w14:paraId="449D0C54">
            <w:pPr>
              <w:rPr>
                <w:rFonts w:hint="eastAsia" w:ascii="宋体" w:hAnsi="宋体" w:eastAsia="宋体" w:cs="Times New Roman"/>
                <w:szCs w:val="21"/>
              </w:rPr>
            </w:pPr>
          </w:p>
        </w:tc>
        <w:tc>
          <w:tcPr>
            <w:tcW w:w="896" w:type="pct"/>
          </w:tcPr>
          <w:p w14:paraId="6A7B053A">
            <w:pPr>
              <w:rPr>
                <w:rFonts w:hint="eastAsia" w:ascii="宋体" w:hAnsi="宋体" w:eastAsia="宋体" w:cs="Times New Roman"/>
                <w:szCs w:val="21"/>
              </w:rPr>
            </w:pPr>
          </w:p>
        </w:tc>
        <w:tc>
          <w:tcPr>
            <w:tcW w:w="712" w:type="pct"/>
          </w:tcPr>
          <w:p w14:paraId="27B2706B">
            <w:pPr>
              <w:rPr>
                <w:rFonts w:hint="eastAsia" w:ascii="宋体" w:hAnsi="宋体" w:eastAsia="宋体" w:cs="Times New Roman"/>
                <w:szCs w:val="21"/>
              </w:rPr>
            </w:pPr>
          </w:p>
        </w:tc>
        <w:tc>
          <w:tcPr>
            <w:tcW w:w="712" w:type="pct"/>
          </w:tcPr>
          <w:p w14:paraId="2E77B141">
            <w:pPr>
              <w:rPr>
                <w:rFonts w:hint="eastAsia" w:ascii="宋体" w:hAnsi="宋体" w:eastAsia="宋体" w:cs="Times New Roman"/>
                <w:szCs w:val="21"/>
              </w:rPr>
            </w:pPr>
          </w:p>
        </w:tc>
        <w:tc>
          <w:tcPr>
            <w:tcW w:w="712" w:type="pct"/>
          </w:tcPr>
          <w:p w14:paraId="471593B6">
            <w:pPr>
              <w:rPr>
                <w:rFonts w:hint="eastAsia" w:ascii="宋体" w:hAnsi="宋体" w:eastAsia="宋体" w:cs="Times New Roman"/>
                <w:szCs w:val="21"/>
              </w:rPr>
            </w:pPr>
          </w:p>
        </w:tc>
      </w:tr>
      <w:tr w14:paraId="13AD6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64FD56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676" w:type="pct"/>
          </w:tcPr>
          <w:p w14:paraId="3856CA3E">
            <w:pPr>
              <w:rPr>
                <w:rFonts w:hint="eastAsia" w:ascii="宋体" w:hAnsi="宋体" w:eastAsia="宋体" w:cs="Times New Roman"/>
                <w:szCs w:val="21"/>
              </w:rPr>
            </w:pPr>
          </w:p>
        </w:tc>
        <w:tc>
          <w:tcPr>
            <w:tcW w:w="850" w:type="pct"/>
          </w:tcPr>
          <w:p w14:paraId="4E59E3F6">
            <w:pPr>
              <w:rPr>
                <w:rFonts w:hint="eastAsia" w:ascii="宋体" w:hAnsi="宋体" w:eastAsia="宋体" w:cs="Times New Roman"/>
                <w:szCs w:val="21"/>
              </w:rPr>
            </w:pPr>
          </w:p>
        </w:tc>
        <w:tc>
          <w:tcPr>
            <w:tcW w:w="896" w:type="pct"/>
          </w:tcPr>
          <w:p w14:paraId="0A90D3C1">
            <w:pPr>
              <w:rPr>
                <w:rFonts w:hint="eastAsia" w:ascii="宋体" w:hAnsi="宋体" w:eastAsia="宋体" w:cs="Times New Roman"/>
                <w:szCs w:val="21"/>
              </w:rPr>
            </w:pPr>
          </w:p>
        </w:tc>
        <w:tc>
          <w:tcPr>
            <w:tcW w:w="712" w:type="pct"/>
          </w:tcPr>
          <w:p w14:paraId="01C41956">
            <w:pPr>
              <w:rPr>
                <w:rFonts w:hint="eastAsia" w:ascii="宋体" w:hAnsi="宋体" w:eastAsia="宋体" w:cs="Times New Roman"/>
                <w:szCs w:val="21"/>
              </w:rPr>
            </w:pPr>
          </w:p>
        </w:tc>
        <w:tc>
          <w:tcPr>
            <w:tcW w:w="712" w:type="pct"/>
          </w:tcPr>
          <w:p w14:paraId="5B975F55">
            <w:pPr>
              <w:rPr>
                <w:rFonts w:hint="eastAsia" w:ascii="宋体" w:hAnsi="宋体" w:eastAsia="宋体" w:cs="Times New Roman"/>
                <w:szCs w:val="21"/>
              </w:rPr>
            </w:pPr>
          </w:p>
        </w:tc>
        <w:tc>
          <w:tcPr>
            <w:tcW w:w="712" w:type="pct"/>
          </w:tcPr>
          <w:p w14:paraId="3A1835F5">
            <w:pPr>
              <w:rPr>
                <w:rFonts w:hint="eastAsia" w:ascii="宋体" w:hAnsi="宋体" w:eastAsia="宋体" w:cs="Times New Roman"/>
                <w:szCs w:val="21"/>
              </w:rPr>
            </w:pPr>
          </w:p>
        </w:tc>
      </w:tr>
      <w:tr w14:paraId="6BF39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1E47BA2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676" w:type="pct"/>
          </w:tcPr>
          <w:p w14:paraId="06A32027">
            <w:pPr>
              <w:rPr>
                <w:rFonts w:hint="eastAsia" w:ascii="宋体" w:hAnsi="宋体" w:eastAsia="宋体" w:cs="Times New Roman"/>
                <w:szCs w:val="21"/>
              </w:rPr>
            </w:pPr>
          </w:p>
        </w:tc>
        <w:tc>
          <w:tcPr>
            <w:tcW w:w="850" w:type="pct"/>
          </w:tcPr>
          <w:p w14:paraId="3AB96B89">
            <w:pPr>
              <w:rPr>
                <w:rFonts w:hint="eastAsia" w:ascii="宋体" w:hAnsi="宋体" w:eastAsia="宋体" w:cs="Times New Roman"/>
                <w:szCs w:val="21"/>
              </w:rPr>
            </w:pPr>
          </w:p>
        </w:tc>
        <w:tc>
          <w:tcPr>
            <w:tcW w:w="896" w:type="pct"/>
          </w:tcPr>
          <w:p w14:paraId="2A39AA4E">
            <w:pPr>
              <w:rPr>
                <w:rFonts w:hint="eastAsia" w:ascii="宋体" w:hAnsi="宋体" w:eastAsia="宋体" w:cs="Times New Roman"/>
                <w:szCs w:val="21"/>
              </w:rPr>
            </w:pPr>
          </w:p>
        </w:tc>
        <w:tc>
          <w:tcPr>
            <w:tcW w:w="712" w:type="pct"/>
          </w:tcPr>
          <w:p w14:paraId="5C04316D">
            <w:pPr>
              <w:rPr>
                <w:rFonts w:hint="eastAsia" w:ascii="宋体" w:hAnsi="宋体" w:eastAsia="宋体" w:cs="Times New Roman"/>
                <w:szCs w:val="21"/>
              </w:rPr>
            </w:pPr>
          </w:p>
        </w:tc>
        <w:tc>
          <w:tcPr>
            <w:tcW w:w="712" w:type="pct"/>
          </w:tcPr>
          <w:p w14:paraId="20737D1A">
            <w:pPr>
              <w:rPr>
                <w:rFonts w:hint="eastAsia" w:ascii="宋体" w:hAnsi="宋体" w:eastAsia="宋体" w:cs="Times New Roman"/>
                <w:szCs w:val="21"/>
              </w:rPr>
            </w:pPr>
          </w:p>
        </w:tc>
        <w:tc>
          <w:tcPr>
            <w:tcW w:w="712" w:type="pct"/>
          </w:tcPr>
          <w:p w14:paraId="1F7C10C4">
            <w:pPr>
              <w:rPr>
                <w:rFonts w:hint="eastAsia" w:ascii="宋体" w:hAnsi="宋体" w:eastAsia="宋体" w:cs="Times New Roman"/>
                <w:szCs w:val="21"/>
              </w:rPr>
            </w:pPr>
          </w:p>
        </w:tc>
      </w:tr>
      <w:tr w14:paraId="16186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BF026C">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8</w:t>
            </w:r>
          </w:p>
        </w:tc>
        <w:tc>
          <w:tcPr>
            <w:tcW w:w="676" w:type="pct"/>
          </w:tcPr>
          <w:p w14:paraId="36E5B4D1">
            <w:pPr>
              <w:rPr>
                <w:rFonts w:hint="eastAsia" w:ascii="宋体" w:hAnsi="宋体" w:eastAsia="宋体" w:cs="Times New Roman"/>
                <w:szCs w:val="21"/>
              </w:rPr>
            </w:pPr>
          </w:p>
        </w:tc>
        <w:tc>
          <w:tcPr>
            <w:tcW w:w="850" w:type="pct"/>
          </w:tcPr>
          <w:p w14:paraId="5093EE3B">
            <w:pPr>
              <w:rPr>
                <w:rFonts w:hint="eastAsia" w:ascii="宋体" w:hAnsi="宋体" w:eastAsia="宋体" w:cs="Times New Roman"/>
                <w:szCs w:val="21"/>
              </w:rPr>
            </w:pPr>
          </w:p>
        </w:tc>
        <w:tc>
          <w:tcPr>
            <w:tcW w:w="896" w:type="pct"/>
          </w:tcPr>
          <w:p w14:paraId="688AC798">
            <w:pPr>
              <w:rPr>
                <w:rFonts w:hint="eastAsia" w:ascii="宋体" w:hAnsi="宋体" w:eastAsia="宋体" w:cs="Times New Roman"/>
                <w:szCs w:val="21"/>
              </w:rPr>
            </w:pPr>
          </w:p>
        </w:tc>
        <w:tc>
          <w:tcPr>
            <w:tcW w:w="712" w:type="pct"/>
          </w:tcPr>
          <w:p w14:paraId="3603E039">
            <w:pPr>
              <w:rPr>
                <w:rFonts w:hint="eastAsia" w:ascii="宋体" w:hAnsi="宋体" w:eastAsia="宋体" w:cs="Times New Roman"/>
                <w:szCs w:val="21"/>
              </w:rPr>
            </w:pPr>
          </w:p>
        </w:tc>
        <w:tc>
          <w:tcPr>
            <w:tcW w:w="712" w:type="pct"/>
          </w:tcPr>
          <w:p w14:paraId="6F23A74A">
            <w:pPr>
              <w:rPr>
                <w:rFonts w:hint="eastAsia" w:ascii="宋体" w:hAnsi="宋体" w:eastAsia="宋体" w:cs="Times New Roman"/>
                <w:szCs w:val="21"/>
              </w:rPr>
            </w:pPr>
          </w:p>
        </w:tc>
        <w:tc>
          <w:tcPr>
            <w:tcW w:w="712" w:type="pct"/>
          </w:tcPr>
          <w:p w14:paraId="1DBE3F2A">
            <w:pPr>
              <w:rPr>
                <w:rFonts w:hint="eastAsia" w:ascii="宋体" w:hAnsi="宋体" w:eastAsia="宋体" w:cs="Times New Roman"/>
                <w:szCs w:val="21"/>
              </w:rPr>
            </w:pPr>
          </w:p>
        </w:tc>
      </w:tr>
      <w:tr w14:paraId="2F047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BAA2AF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9</w:t>
            </w:r>
          </w:p>
        </w:tc>
        <w:tc>
          <w:tcPr>
            <w:tcW w:w="676" w:type="pct"/>
          </w:tcPr>
          <w:p w14:paraId="4A7CD884">
            <w:pPr>
              <w:rPr>
                <w:rFonts w:hint="eastAsia" w:ascii="宋体" w:hAnsi="宋体" w:eastAsia="宋体" w:cs="Times New Roman"/>
                <w:szCs w:val="21"/>
              </w:rPr>
            </w:pPr>
          </w:p>
        </w:tc>
        <w:tc>
          <w:tcPr>
            <w:tcW w:w="850" w:type="pct"/>
          </w:tcPr>
          <w:p w14:paraId="1DE1ACDF">
            <w:pPr>
              <w:rPr>
                <w:rFonts w:hint="eastAsia" w:ascii="宋体" w:hAnsi="宋体" w:eastAsia="宋体" w:cs="Times New Roman"/>
                <w:szCs w:val="21"/>
              </w:rPr>
            </w:pPr>
          </w:p>
        </w:tc>
        <w:tc>
          <w:tcPr>
            <w:tcW w:w="896" w:type="pct"/>
          </w:tcPr>
          <w:p w14:paraId="1E3B1E68">
            <w:pPr>
              <w:rPr>
                <w:rFonts w:hint="eastAsia" w:ascii="宋体" w:hAnsi="宋体" w:eastAsia="宋体" w:cs="Times New Roman"/>
                <w:szCs w:val="21"/>
              </w:rPr>
            </w:pPr>
          </w:p>
        </w:tc>
        <w:tc>
          <w:tcPr>
            <w:tcW w:w="712" w:type="pct"/>
          </w:tcPr>
          <w:p w14:paraId="078186BE">
            <w:pPr>
              <w:rPr>
                <w:rFonts w:hint="eastAsia" w:ascii="宋体" w:hAnsi="宋体" w:eastAsia="宋体" w:cs="Times New Roman"/>
                <w:szCs w:val="21"/>
              </w:rPr>
            </w:pPr>
          </w:p>
        </w:tc>
        <w:tc>
          <w:tcPr>
            <w:tcW w:w="712" w:type="pct"/>
          </w:tcPr>
          <w:p w14:paraId="4234C0A9">
            <w:pPr>
              <w:rPr>
                <w:rFonts w:hint="eastAsia" w:ascii="宋体" w:hAnsi="宋体" w:eastAsia="宋体" w:cs="Times New Roman"/>
                <w:szCs w:val="21"/>
              </w:rPr>
            </w:pPr>
          </w:p>
        </w:tc>
        <w:tc>
          <w:tcPr>
            <w:tcW w:w="712" w:type="pct"/>
          </w:tcPr>
          <w:p w14:paraId="524B7A11">
            <w:pPr>
              <w:rPr>
                <w:rFonts w:hint="eastAsia" w:ascii="宋体" w:hAnsi="宋体" w:eastAsia="宋体" w:cs="Times New Roman"/>
                <w:szCs w:val="21"/>
              </w:rPr>
            </w:pPr>
          </w:p>
        </w:tc>
      </w:tr>
      <w:tr w14:paraId="5CF27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47964A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76" w:type="pct"/>
          </w:tcPr>
          <w:p w14:paraId="524D2BB6">
            <w:pPr>
              <w:rPr>
                <w:rFonts w:hint="eastAsia" w:ascii="宋体" w:hAnsi="宋体" w:eastAsia="宋体" w:cs="Times New Roman"/>
                <w:szCs w:val="21"/>
              </w:rPr>
            </w:pPr>
          </w:p>
        </w:tc>
        <w:tc>
          <w:tcPr>
            <w:tcW w:w="850" w:type="pct"/>
          </w:tcPr>
          <w:p w14:paraId="3C7B9EA9">
            <w:pPr>
              <w:rPr>
                <w:rFonts w:hint="eastAsia" w:ascii="宋体" w:hAnsi="宋体" w:eastAsia="宋体" w:cs="Times New Roman"/>
                <w:szCs w:val="21"/>
              </w:rPr>
            </w:pPr>
          </w:p>
        </w:tc>
        <w:tc>
          <w:tcPr>
            <w:tcW w:w="896" w:type="pct"/>
          </w:tcPr>
          <w:p w14:paraId="4CCC8A5C">
            <w:pPr>
              <w:rPr>
                <w:rFonts w:hint="eastAsia" w:ascii="宋体" w:hAnsi="宋体" w:eastAsia="宋体" w:cs="Times New Roman"/>
                <w:szCs w:val="21"/>
              </w:rPr>
            </w:pPr>
          </w:p>
        </w:tc>
        <w:tc>
          <w:tcPr>
            <w:tcW w:w="712" w:type="pct"/>
          </w:tcPr>
          <w:p w14:paraId="128F4787">
            <w:pPr>
              <w:rPr>
                <w:rFonts w:hint="eastAsia" w:ascii="宋体" w:hAnsi="宋体" w:eastAsia="宋体" w:cs="Times New Roman"/>
                <w:szCs w:val="21"/>
              </w:rPr>
            </w:pPr>
          </w:p>
        </w:tc>
        <w:tc>
          <w:tcPr>
            <w:tcW w:w="712" w:type="pct"/>
          </w:tcPr>
          <w:p w14:paraId="27BA0F14">
            <w:pPr>
              <w:rPr>
                <w:rFonts w:hint="eastAsia" w:ascii="宋体" w:hAnsi="宋体" w:eastAsia="宋体" w:cs="Times New Roman"/>
                <w:szCs w:val="21"/>
              </w:rPr>
            </w:pPr>
          </w:p>
        </w:tc>
        <w:tc>
          <w:tcPr>
            <w:tcW w:w="712" w:type="pct"/>
          </w:tcPr>
          <w:p w14:paraId="2C497B5B">
            <w:pPr>
              <w:rPr>
                <w:rFonts w:hint="eastAsia" w:ascii="宋体" w:hAnsi="宋体" w:eastAsia="宋体" w:cs="Times New Roman"/>
                <w:szCs w:val="21"/>
              </w:rPr>
            </w:pPr>
          </w:p>
        </w:tc>
      </w:tr>
    </w:tbl>
    <w:p w14:paraId="0652BE96">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1905C77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w:t>
      </w:r>
      <w:r>
        <w:rPr>
          <w:rFonts w:ascii="宋体" w:hAnsi="宋体" w:eastAsia="宋体" w:cs="Times New Roman"/>
          <w:kern w:val="0"/>
          <w:szCs w:val="21"/>
          <w:lang w:eastAsia="zh-Hans"/>
        </w:rPr>
        <w:t>文件规定的商务条件”项下填写的内容应与招标文件中采购需求的“商务要求”的内容保持一致。</w:t>
      </w:r>
    </w:p>
    <w:p w14:paraId="155888B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51DFF9A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6836BBC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4.“是否偏离”项下应按下列规定填写：优于的，填写“正偏离”；符合的，填写“无偏离”；低于的，填写“负偏离”。</w:t>
      </w:r>
    </w:p>
    <w:p w14:paraId="56F9BEE5">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5.“备注”处可填写偏离情况的说明。</w:t>
      </w:r>
    </w:p>
    <w:p w14:paraId="25F40317">
      <w:pPr>
        <w:widowControl/>
        <w:spacing w:before="435" w:beforeLines="1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571EE30C">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0B1E9E5">
      <w:pPr>
        <w:pageBreakBefore/>
        <w:rPr>
          <w:rFonts w:ascii="Calibri" w:hAnsi="Calibri" w:eastAsia="宋体" w:cs="Times New Roman"/>
          <w:kern w:val="0"/>
          <w:sz w:val="20"/>
          <w:szCs w:val="20"/>
          <w:lang w:eastAsia="zh-Hans"/>
        </w:rPr>
      </w:pPr>
      <w:bookmarkStart w:id="55" w:name="_Toc169799802"/>
      <w:r>
        <w:rPr>
          <w:rFonts w:ascii="宋体" w:hAnsi="宋体" w:eastAsia="宋体"/>
          <w:b/>
          <w:bCs/>
          <w:sz w:val="24"/>
          <w:szCs w:val="28"/>
        </w:rPr>
        <w:t>格式</w:t>
      </w:r>
      <w:r>
        <w:rPr>
          <w:rFonts w:hint="eastAsia" w:ascii="宋体" w:hAnsi="宋体" w:eastAsia="宋体"/>
          <w:b/>
          <w:bCs/>
          <w:sz w:val="24"/>
          <w:szCs w:val="28"/>
          <w:lang w:val="en-US" w:eastAsia="zh-CN"/>
        </w:rPr>
        <w:t>十六</w:t>
      </w:r>
      <w:r>
        <w:rPr>
          <w:rFonts w:ascii="宋体" w:hAnsi="宋体" w:eastAsia="宋体"/>
          <w:b/>
          <w:bCs/>
          <w:sz w:val="24"/>
          <w:szCs w:val="28"/>
        </w:rPr>
        <w:t>：</w:t>
      </w:r>
      <w:bookmarkEnd w:id="55"/>
    </w:p>
    <w:p w14:paraId="5D63B112">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（以下格式文件由供应商根据需要选用）</w:t>
      </w:r>
    </w:p>
    <w:p w14:paraId="76C89FA5">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各类证明材料</w:t>
      </w:r>
    </w:p>
    <w:p w14:paraId="5DDD066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1.招标文件要求提供的其他资料。</w:t>
      </w:r>
    </w:p>
    <w:p w14:paraId="34C19E8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2.投标人认为需提供的其他资料。</w:t>
      </w:r>
    </w:p>
    <w:p w14:paraId="029A1473">
      <w:pPr>
        <w:widowControl/>
        <w:jc w:val="left"/>
        <w:rPr>
          <w:rFonts w:ascii="Calibri" w:hAnsi="Calibri" w:eastAsia="宋体" w:cs="Times New Roman"/>
          <w:kern w:val="0"/>
          <w:sz w:val="20"/>
          <w:szCs w:val="20"/>
          <w:lang w:eastAsia="zh-Hans"/>
        </w:rPr>
      </w:pPr>
    </w:p>
    <w:p w14:paraId="520906F6">
      <w:pPr>
        <w:pageBreakBefore/>
        <w:rPr>
          <w:rFonts w:ascii="Calibri" w:hAnsi="Calibri" w:eastAsia="宋体" w:cs="Times New Roman"/>
          <w:kern w:val="0"/>
          <w:sz w:val="20"/>
          <w:szCs w:val="20"/>
          <w:lang w:eastAsia="zh-Hans"/>
        </w:rPr>
      </w:pPr>
      <w:bookmarkStart w:id="56" w:name="_Toc169799803"/>
      <w:r>
        <w:rPr>
          <w:rFonts w:ascii="宋体" w:hAnsi="宋体" w:eastAsia="宋体"/>
          <w:b/>
          <w:bCs/>
          <w:sz w:val="24"/>
          <w:szCs w:val="28"/>
        </w:rPr>
        <w:t>格式</w:t>
      </w:r>
      <w:r>
        <w:rPr>
          <w:rFonts w:hint="eastAsia" w:ascii="宋体" w:hAnsi="宋体" w:eastAsia="宋体"/>
          <w:b/>
          <w:bCs/>
          <w:sz w:val="24"/>
          <w:szCs w:val="28"/>
          <w:lang w:val="en-US" w:eastAsia="zh-CN"/>
        </w:rPr>
        <w:t>十七</w:t>
      </w:r>
      <w:r>
        <w:rPr>
          <w:rFonts w:ascii="宋体" w:hAnsi="宋体" w:eastAsia="宋体"/>
          <w:b/>
          <w:bCs/>
          <w:sz w:val="24"/>
          <w:szCs w:val="28"/>
        </w:rPr>
        <w:t>：</w:t>
      </w:r>
      <w:bookmarkEnd w:id="56"/>
    </w:p>
    <w:p w14:paraId="32508291">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采购代理服务费支付承诺书</w:t>
      </w:r>
    </w:p>
    <w:p w14:paraId="07CA2CEB">
      <w:pPr>
        <w:widowControl/>
        <w:spacing w:before="217" w:beforeLines="50" w:after="217" w:afterLines="50"/>
        <w:jc w:val="left"/>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广东智汇城市招标采购有限公司</w:t>
      </w:r>
    </w:p>
    <w:p w14:paraId="152376F3">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如果我方在贵采购代理机构组织的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u w:val="single"/>
          <w:lang w:eastAsia="zh-Hans"/>
        </w:rPr>
        <w:t>（采购项目名称）</w:t>
      </w:r>
      <w:r>
        <w:rPr>
          <w:rFonts w:hint="eastAsia" w:ascii="宋体" w:hAnsi="宋体" w:eastAsia="宋体" w:cs="Times New Roman"/>
          <w:kern w:val="0"/>
          <w:szCs w:val="21"/>
          <w:u w:val="single"/>
        </w:rPr>
        <w:t>、（项目编号：   ）</w:t>
      </w:r>
      <w:r>
        <w:rPr>
          <w:rFonts w:ascii="宋体" w:hAnsi="宋体" w:eastAsia="宋体" w:cs="Times New Roman"/>
          <w:kern w:val="0"/>
          <w:szCs w:val="21"/>
          <w:lang w:eastAsia="zh-Hans"/>
        </w:rPr>
        <w:t>招标中获中标，我方保证在收取《中标通知书》时，按招标文件对代理服务费支付方式的约定，承担本项目代理服务费。</w:t>
      </w:r>
    </w:p>
    <w:p w14:paraId="6ABB3C93">
      <w:pPr>
        <w:widowControl/>
        <w:spacing w:before="217" w:beforeLines="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特此承诺！</w:t>
      </w:r>
    </w:p>
    <w:p w14:paraId="5D242ACA">
      <w:pPr>
        <w:widowControl/>
        <w:spacing w:before="1087" w:beforeLines="250"/>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投标人名称（公章）</w:t>
      </w:r>
      <w:r>
        <w:rPr>
          <w:rFonts w:hint="eastAsia" w:ascii="宋体" w:hAnsi="宋体" w:eastAsia="宋体" w:cs="Times New Roman"/>
          <w:kern w:val="0"/>
          <w:szCs w:val="21"/>
          <w:lang w:eastAsia="zh-Hans"/>
        </w:rPr>
        <w:t>：</w:t>
      </w:r>
    </w:p>
    <w:p w14:paraId="53C141AC">
      <w:pPr>
        <w:widowControl/>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投标人地址：</w:t>
      </w:r>
    </w:p>
    <w:p w14:paraId="4608B199">
      <w:pPr>
        <w:widowControl/>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p>
    <w:p w14:paraId="7808F4A8">
      <w:pPr>
        <w:widowControl/>
        <w:ind w:firstLine="3542" w:firstLineChars="1687"/>
        <w:jc w:val="left"/>
        <w:rPr>
          <w:rFonts w:hint="eastAsia" w:ascii="宋体" w:hAnsi="宋体" w:eastAsia="宋体" w:cs="Times New Roman"/>
          <w:kern w:val="0"/>
          <w:szCs w:val="21"/>
        </w:rPr>
      </w:pPr>
      <w:r>
        <w:rPr>
          <w:rFonts w:ascii="宋体" w:hAnsi="宋体" w:eastAsia="宋体" w:cs="Times New Roman"/>
          <w:kern w:val="0"/>
          <w:szCs w:val="21"/>
          <w:lang w:eastAsia="zh-Hans"/>
        </w:rPr>
        <w:t>电 话：</w:t>
      </w:r>
    </w:p>
    <w:p w14:paraId="468F13CC">
      <w:pPr>
        <w:widowControl/>
        <w:ind w:firstLine="3542" w:firstLineChars="1687"/>
        <w:jc w:val="left"/>
        <w:rPr>
          <w:rFonts w:ascii="Calibri" w:hAnsi="Calibri" w:eastAsia="宋体" w:cs="Times New Roman"/>
          <w:kern w:val="0"/>
          <w:sz w:val="20"/>
          <w:szCs w:val="20"/>
        </w:rPr>
      </w:pPr>
      <w:r>
        <w:rPr>
          <w:rFonts w:ascii="宋体" w:hAnsi="宋体" w:eastAsia="宋体" w:cs="Times New Roman"/>
          <w:kern w:val="0"/>
          <w:szCs w:val="21"/>
          <w:lang w:eastAsia="zh-Hans"/>
        </w:rPr>
        <w:t>承诺日期：</w:t>
      </w:r>
    </w:p>
    <w:p w14:paraId="2D957065">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36D2B243">
      <w:pPr>
        <w:pageBreakBefore/>
        <w:rPr>
          <w:rFonts w:ascii="Calibri" w:hAnsi="Calibri" w:eastAsia="宋体" w:cs="Times New Roman"/>
          <w:kern w:val="0"/>
          <w:sz w:val="20"/>
          <w:szCs w:val="20"/>
          <w:lang w:eastAsia="zh-Hans"/>
        </w:rPr>
      </w:pPr>
      <w:bookmarkStart w:id="57" w:name="_Toc169799804"/>
      <w:r>
        <w:rPr>
          <w:rFonts w:ascii="宋体" w:hAnsi="宋体" w:eastAsia="宋体"/>
          <w:b/>
          <w:bCs/>
          <w:sz w:val="24"/>
          <w:szCs w:val="28"/>
        </w:rPr>
        <w:t>格式</w:t>
      </w:r>
      <w:r>
        <w:rPr>
          <w:rFonts w:hint="eastAsia" w:ascii="宋体" w:hAnsi="宋体" w:eastAsia="宋体"/>
          <w:b/>
          <w:bCs/>
          <w:sz w:val="24"/>
          <w:szCs w:val="28"/>
          <w:lang w:val="en-US" w:eastAsia="zh-CN"/>
        </w:rPr>
        <w:t>十八</w:t>
      </w:r>
      <w:r>
        <w:rPr>
          <w:rFonts w:ascii="宋体" w:hAnsi="宋体" w:eastAsia="宋体"/>
          <w:b/>
          <w:bCs/>
          <w:sz w:val="24"/>
          <w:szCs w:val="28"/>
        </w:rPr>
        <w:t>：</w:t>
      </w:r>
      <w:bookmarkEnd w:id="57"/>
    </w:p>
    <w:p w14:paraId="7CBDE262">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09FBA3F9">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询问函、质疑函、投诉书格式</w:t>
      </w:r>
    </w:p>
    <w:p w14:paraId="09296843">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说明：本部分格式为投标人提交询问函、质疑函、投诉函时使用，不属于投标文件格式的组成部分。</w:t>
      </w:r>
    </w:p>
    <w:p w14:paraId="57C74E28">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w:t>
      </w:r>
    </w:p>
    <w:p w14:paraId="37BCE0FE">
      <w:pPr>
        <w:widowControl/>
        <w:spacing w:after="217" w:afterLines="50"/>
        <w:jc w:val="left"/>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广东智汇城市招标采购有限公司</w:t>
      </w:r>
    </w:p>
    <w:p w14:paraId="5F649026">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我单位已获取招标文件并准备参与</w:t>
      </w:r>
      <w:r>
        <w:rPr>
          <w:rFonts w:ascii="宋体" w:hAnsi="宋体" w:eastAsia="宋体"/>
          <w:i/>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）的投标（或报价）活动，现有以下几个内容（或条款）存在疑问（或无法理解），特提出询问。</w:t>
      </w:r>
    </w:p>
    <w:p w14:paraId="1E4C87BE">
      <w:pPr>
        <w:widowControl/>
        <w:tabs>
          <w:tab w:val="center" w:pos="5019"/>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（事项一）</w:t>
      </w:r>
      <w:r>
        <w:rPr>
          <w:rFonts w:ascii="宋体" w:hAnsi="宋体" w:eastAsia="宋体"/>
          <w:color w:val="000000" w:themeColor="text1"/>
          <w:szCs w:val="21"/>
          <w14:textFill>
            <w14:solidFill>
              <w14:schemeClr w14:val="tx1"/>
            </w14:solidFill>
          </w14:textFill>
        </w:rPr>
        <w:tab/>
      </w:r>
    </w:p>
    <w:p w14:paraId="39F66175">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1）</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（问题或条款内容）</w:t>
      </w:r>
    </w:p>
    <w:p w14:paraId="7A54505F">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2）</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（说明疑问或无法理解原因）</w:t>
      </w:r>
    </w:p>
    <w:p w14:paraId="615833BD">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（建议）</w:t>
      </w:r>
    </w:p>
    <w:p w14:paraId="7982E68A">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 xml:space="preserve"> （事项二）</w:t>
      </w:r>
    </w:p>
    <w:p w14:paraId="76C7DC8B">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p>
    <w:p w14:paraId="778BE15C">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随附相关证明材料如下：（目录）。</w:t>
      </w:r>
    </w:p>
    <w:p w14:paraId="6BB20B20">
      <w:pPr>
        <w:widowControl/>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询问人：（公章）</w:t>
      </w:r>
    </w:p>
    <w:p w14:paraId="0449D760">
      <w:pPr>
        <w:widowControl/>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法定代表人（授权代表）：</w:t>
      </w:r>
    </w:p>
    <w:p w14:paraId="47B8E33E">
      <w:pPr>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r>
        <w:rPr>
          <w:rFonts w:ascii="宋体" w:hAnsi="宋体" w:eastAsia="宋体"/>
          <w:color w:val="000000" w:themeColor="text1"/>
          <w:szCs w:val="21"/>
          <w14:textFill>
            <w14:solidFill>
              <w14:schemeClr w14:val="tx1"/>
            </w14:solidFill>
          </w14:textFill>
        </w:rPr>
        <w:t>/邮编：</w:t>
      </w:r>
    </w:p>
    <w:p w14:paraId="30FA0D28">
      <w:pPr>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r>
        <w:rPr>
          <w:rFonts w:ascii="宋体" w:hAnsi="宋体" w:eastAsia="宋体"/>
          <w:color w:val="000000" w:themeColor="text1"/>
          <w:szCs w:val="21"/>
          <w14:textFill>
            <w14:solidFill>
              <w14:schemeClr w14:val="tx1"/>
            </w14:solidFill>
          </w14:textFill>
        </w:rPr>
        <w:t>/传真：</w:t>
      </w:r>
    </w:p>
    <w:p w14:paraId="0D358A67">
      <w:pPr>
        <w:adjustRightInd w:val="0"/>
        <w:spacing w:before="435" w:beforeLines="100" w:line="360" w:lineRule="auto"/>
        <w:jc w:val="righ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w:t>
      </w:r>
    </w:p>
    <w:p w14:paraId="6875DEDC">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质疑函</w:t>
      </w:r>
    </w:p>
    <w:p w14:paraId="04A49F2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一、质疑供应商基本信息</w:t>
      </w:r>
    </w:p>
    <w:p w14:paraId="6D2D2A4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质疑供应商：</w:t>
      </w:r>
    </w:p>
    <w:p w14:paraId="393FD1E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1613AB8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0E8CBE41">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p>
    <w:p w14:paraId="4AC0D95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351BBCB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64FC9DE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二、质疑项目基本情况</w:t>
      </w:r>
    </w:p>
    <w:p w14:paraId="01C4BDD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质疑项目的名称：</w:t>
      </w:r>
      <w:r>
        <w:rPr>
          <w:rFonts w:hint="eastAsia" w:ascii="宋体" w:hAnsi="宋体" w:eastAsia="宋体" w:cs="Times New Roman"/>
          <w:kern w:val="0"/>
          <w:szCs w:val="21"/>
          <w:u w:val="single"/>
        </w:rPr>
        <w:t xml:space="preserve">                                                        </w:t>
      </w:r>
    </w:p>
    <w:p w14:paraId="6BDF058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质疑项目的编号：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2465E4E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4CF21E8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采购文件获取日期：</w:t>
      </w:r>
      <w:r>
        <w:rPr>
          <w:rFonts w:hint="eastAsia" w:ascii="宋体" w:hAnsi="宋体" w:eastAsia="宋体" w:cs="Times New Roman"/>
          <w:kern w:val="0"/>
          <w:szCs w:val="21"/>
          <w:u w:val="single"/>
        </w:rPr>
        <w:t xml:space="preserve">                                                      </w:t>
      </w:r>
    </w:p>
    <w:p w14:paraId="2DC591E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三、质疑事项具体内容</w:t>
      </w:r>
    </w:p>
    <w:p w14:paraId="2599110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质疑事项1：</w:t>
      </w:r>
      <w:r>
        <w:rPr>
          <w:rFonts w:hint="eastAsia" w:ascii="宋体" w:hAnsi="宋体" w:eastAsia="宋体" w:cs="Times New Roman"/>
          <w:kern w:val="0"/>
          <w:szCs w:val="21"/>
          <w:u w:val="single"/>
        </w:rPr>
        <w:t xml:space="preserve">                                                             </w:t>
      </w:r>
    </w:p>
    <w:p w14:paraId="52DE875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487C017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6ADB768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质疑事项2：</w:t>
      </w:r>
      <w:r>
        <w:rPr>
          <w:rFonts w:hint="eastAsia" w:ascii="宋体" w:hAnsi="宋体" w:eastAsia="宋体" w:cs="Times New Roman"/>
          <w:kern w:val="0"/>
          <w:szCs w:val="21"/>
          <w:u w:val="single"/>
        </w:rPr>
        <w:t xml:space="preserve">                                                              </w:t>
      </w:r>
    </w:p>
    <w:p w14:paraId="0F74619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5A8696E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四、与质疑事项相关的质疑请求</w:t>
      </w:r>
    </w:p>
    <w:p w14:paraId="0F040D4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294F906E">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签字(签章)：</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 xml:space="preserve"> 公章：</w:t>
      </w:r>
      <w:r>
        <w:rPr>
          <w:rFonts w:hint="eastAsia" w:ascii="宋体" w:hAnsi="宋体" w:eastAsia="宋体" w:cs="Times New Roman"/>
          <w:kern w:val="0"/>
          <w:szCs w:val="21"/>
          <w:u w:val="single"/>
        </w:rPr>
        <w:t xml:space="preserve">                           </w:t>
      </w:r>
    </w:p>
    <w:p w14:paraId="67040D6A">
      <w:pPr>
        <w:widowControl/>
        <w:spacing w:before="217" w:beforeLines="50"/>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日期： 年 月 日</w:t>
      </w:r>
    </w:p>
    <w:p w14:paraId="3C60C95D">
      <w:pPr>
        <w:widowControl/>
        <w:spacing w:before="217" w:beforeLines="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质疑函制作说明：</w:t>
      </w:r>
    </w:p>
    <w:p w14:paraId="0D021F9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1.供应商提出质疑时，应提交质疑函和必要的证明材料。</w:t>
      </w:r>
    </w:p>
    <w:p w14:paraId="252A678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18ACE5D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3.质疑供应商若对项目的某一分包进行质疑，质疑函中应列明具体采购包号。</w:t>
      </w:r>
    </w:p>
    <w:p w14:paraId="1C6D9DD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4.质疑函的质疑事项应具体、明确，并有必要的事实依据和法律依据。</w:t>
      </w:r>
    </w:p>
    <w:p w14:paraId="6DF72C1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5.质疑函的质疑请求应与质疑事项相关。</w:t>
      </w:r>
    </w:p>
    <w:p w14:paraId="2A725D20">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14:paraId="076AC4E3">
      <w:pPr>
        <w:widowControl/>
        <w:spacing w:before="1087" w:beforeLines="250" w:after="435" w:afterLines="100"/>
        <w:jc w:val="center"/>
        <w:outlineLvl w:val="3"/>
        <w:rPr>
          <w:rFonts w:ascii="Calibri" w:hAnsi="Calibri" w:eastAsia="宋体" w:cs="Times New Roman"/>
          <w:kern w:val="0"/>
          <w:szCs w:val="21"/>
          <w:lang w:eastAsia="zh-Hans"/>
        </w:rPr>
      </w:pPr>
      <w:r>
        <w:rPr>
          <w:rFonts w:ascii="Calibri" w:hAnsi="Calibri" w:eastAsia="宋体" w:cs="Times New Roman"/>
          <w:b/>
          <w:kern w:val="0"/>
          <w:sz w:val="32"/>
          <w:lang w:eastAsia="zh-Hans"/>
        </w:rPr>
        <w:t>投诉书</w:t>
      </w:r>
    </w:p>
    <w:p w14:paraId="217C2E57">
      <w:pPr>
        <w:widowControl/>
        <w:jc w:val="left"/>
        <w:rPr>
          <w:rFonts w:hint="eastAsia" w:ascii="宋体" w:hAnsi="宋体" w:eastAsia="宋体" w:cs="Times New Roman"/>
          <w:kern w:val="0"/>
          <w:szCs w:val="21"/>
          <w:lang w:eastAsia="zh-Hans"/>
        </w:rPr>
      </w:pPr>
      <w:bookmarkStart w:id="58" w:name="_Hlk170136144"/>
      <w:r>
        <w:rPr>
          <w:rFonts w:ascii="宋体" w:hAnsi="宋体" w:eastAsia="宋体" w:cs="Times New Roman"/>
          <w:kern w:val="0"/>
          <w:szCs w:val="21"/>
          <w:lang w:eastAsia="zh-Hans"/>
        </w:rPr>
        <w:t>一、投诉相关主体基本情况</w:t>
      </w:r>
    </w:p>
    <w:p w14:paraId="53CF9C80">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投诉人：</w:t>
      </w:r>
      <w:r>
        <w:rPr>
          <w:rFonts w:hint="eastAsia" w:ascii="宋体" w:hAnsi="宋体" w:eastAsia="宋体" w:cs="Times New Roman"/>
          <w:kern w:val="0"/>
          <w:szCs w:val="21"/>
          <w:u w:val="single"/>
        </w:rPr>
        <w:t xml:space="preserve">                                                                      </w:t>
      </w:r>
    </w:p>
    <w:p w14:paraId="33994659">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7188613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法定代表人/主要负责人：</w:t>
      </w:r>
      <w:r>
        <w:rPr>
          <w:rFonts w:hint="eastAsia" w:ascii="宋体" w:hAnsi="宋体" w:eastAsia="宋体" w:cs="Times New Roman"/>
          <w:kern w:val="0"/>
          <w:szCs w:val="21"/>
          <w:u w:val="single"/>
        </w:rPr>
        <w:t xml:space="preserve">                                                       </w:t>
      </w:r>
    </w:p>
    <w:p w14:paraId="37B4D12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71827D31">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4C91039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35EF358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被投诉人1：</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0C9C48F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_</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66C281E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3F39DD7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被投诉人2：</w:t>
      </w:r>
      <w:r>
        <w:rPr>
          <w:rFonts w:hint="eastAsia" w:ascii="宋体" w:hAnsi="宋体" w:eastAsia="宋体" w:cs="Times New Roman"/>
          <w:kern w:val="0"/>
          <w:szCs w:val="21"/>
          <w:u w:val="single"/>
        </w:rPr>
        <w:t xml:space="preserve">                                                                   </w:t>
      </w:r>
    </w:p>
    <w:p w14:paraId="1630463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4D7003B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相关供应商：</w:t>
      </w:r>
      <w:r>
        <w:rPr>
          <w:rFonts w:hint="eastAsia" w:ascii="宋体" w:hAnsi="宋体" w:eastAsia="宋体" w:cs="Times New Roman"/>
          <w:kern w:val="0"/>
          <w:szCs w:val="21"/>
          <w:u w:val="single"/>
        </w:rPr>
        <w:t xml:space="preserve">                                                                   </w:t>
      </w:r>
    </w:p>
    <w:p w14:paraId="0C29218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7DEF939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3599046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二、投诉项目基本情况</w:t>
      </w:r>
    </w:p>
    <w:p w14:paraId="4774FD5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采购项目名称：</w:t>
      </w:r>
      <w:r>
        <w:rPr>
          <w:rFonts w:hint="eastAsia" w:ascii="宋体" w:hAnsi="宋体" w:eastAsia="宋体" w:cs="Times New Roman"/>
          <w:kern w:val="0"/>
          <w:szCs w:val="21"/>
          <w:u w:val="single"/>
        </w:rPr>
        <w:t xml:space="preserve">                                                                 </w:t>
      </w:r>
    </w:p>
    <w:p w14:paraId="7EDCD04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采购项目编号：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5ACE424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011E7435">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代理机构名称：</w:t>
      </w:r>
      <w:r>
        <w:rPr>
          <w:rFonts w:hint="eastAsia" w:ascii="宋体" w:hAnsi="宋体" w:eastAsia="宋体" w:cs="Times New Roman"/>
          <w:kern w:val="0"/>
          <w:szCs w:val="21"/>
          <w:u w:val="single"/>
        </w:rPr>
        <w:t xml:space="preserve">                                                                 </w:t>
      </w:r>
    </w:p>
    <w:p w14:paraId="67A57AF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采购文件公告</w:t>
      </w:r>
      <w:r>
        <w:rPr>
          <w:rFonts w:hint="eastAsia" w:ascii="宋体" w:hAnsi="宋体" w:eastAsia="宋体" w:cs="Times New Roman"/>
          <w:kern w:val="0"/>
          <w:szCs w:val="21"/>
          <w:lang w:eastAsia="zh-CN"/>
        </w:rPr>
        <w:t>：</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406FDBB4">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采购结果公告</w:t>
      </w:r>
      <w:r>
        <w:rPr>
          <w:rFonts w:hint="eastAsia" w:ascii="宋体" w:hAnsi="宋体" w:eastAsia="宋体" w:cs="Times New Roman"/>
          <w:kern w:val="0"/>
          <w:szCs w:val="21"/>
          <w:lang w:eastAsia="zh-CN"/>
        </w:rPr>
        <w:t>：</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29EBE4B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三、质疑基本情况</w:t>
      </w:r>
    </w:p>
    <w:p w14:paraId="6AC9BCB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投诉人于 ____年____月____日</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向提出质疑，质疑事项为：</w:t>
      </w:r>
      <w:r>
        <w:rPr>
          <w:rFonts w:hint="eastAsia" w:ascii="宋体" w:hAnsi="宋体" w:eastAsia="宋体" w:cs="Times New Roman"/>
          <w:kern w:val="0"/>
          <w:szCs w:val="21"/>
          <w:u w:val="single"/>
        </w:rPr>
        <w:t xml:space="preserve">                            </w:t>
      </w:r>
    </w:p>
    <w:p w14:paraId="61B0F0E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采购人/代理机构</w:t>
      </w:r>
      <w:r>
        <w:rPr>
          <w:rFonts w:ascii="宋体" w:hAnsi="宋体" w:eastAsia="宋体" w:cs="Times New Roman"/>
          <w:kern w:val="0"/>
          <w:szCs w:val="21"/>
          <w:lang w:eastAsia="zh-Hans"/>
        </w:rPr>
        <w:t>于____年____月____日</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就质疑事项作出了答复/没有在法定期限内作出答复。</w:t>
      </w:r>
    </w:p>
    <w:p w14:paraId="2B654D9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四、投诉事项具体内容</w:t>
      </w:r>
    </w:p>
    <w:p w14:paraId="10D3022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投诉事项1：</w:t>
      </w:r>
      <w:r>
        <w:rPr>
          <w:rFonts w:hint="eastAsia" w:ascii="宋体" w:hAnsi="宋体" w:eastAsia="宋体" w:cs="Times New Roman"/>
          <w:kern w:val="0"/>
          <w:szCs w:val="21"/>
          <w:u w:val="single"/>
        </w:rPr>
        <w:t xml:space="preserve">                                                                    </w:t>
      </w:r>
    </w:p>
    <w:p w14:paraId="6ECD87F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75DCFB2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2D5EF14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投诉事项2：</w:t>
      </w:r>
      <w:r>
        <w:rPr>
          <w:rFonts w:hint="eastAsia" w:ascii="宋体" w:hAnsi="宋体" w:eastAsia="宋体" w:cs="Times New Roman"/>
          <w:kern w:val="0"/>
          <w:szCs w:val="21"/>
          <w:u w:val="single"/>
        </w:rPr>
        <w:t xml:space="preserve">                                                                    </w:t>
      </w:r>
    </w:p>
    <w:p w14:paraId="4D24080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1AAB7ED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五、与投诉事项相关的投诉请求</w:t>
      </w:r>
    </w:p>
    <w:p w14:paraId="6BCA2D4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40EF25D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签字(签章)： </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公章</w:t>
      </w:r>
      <w:r>
        <w:rPr>
          <w:rFonts w:hint="eastAsia" w:ascii="宋体" w:hAnsi="宋体" w:eastAsia="宋体" w:cs="Times New Roman"/>
          <w:kern w:val="0"/>
          <w:szCs w:val="21"/>
          <w:u w:val="single"/>
        </w:rPr>
        <w:t xml:space="preserve">                                      </w:t>
      </w:r>
    </w:p>
    <w:p w14:paraId="25AA34C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日期：____年____月____日</w:t>
      </w:r>
    </w:p>
    <w:p w14:paraId="331E806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投诉书制作说明：</w:t>
      </w:r>
    </w:p>
    <w:p w14:paraId="0C7A9E5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1.投诉人提起投诉时，应当提交投诉书和必要的证明材料，并按照被投诉人和与投诉事项有关的供应商数量提供投诉书副本。</w:t>
      </w:r>
    </w:p>
    <w:p w14:paraId="268AD02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E9F7B3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3.投诉人若对项目的某一分包进行投诉，投诉书应列明具体分包号。</w:t>
      </w:r>
    </w:p>
    <w:p w14:paraId="52B9692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4.投诉书应简要列明质疑事项，质疑函、质疑答复等作为附件材料提供。</w:t>
      </w:r>
    </w:p>
    <w:p w14:paraId="14B6490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5.投诉书的投诉事项应具体、明确，并有必要的事实依据和法律依据。</w:t>
      </w:r>
    </w:p>
    <w:p w14:paraId="108DB6C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6.投诉书的投诉请求应与投诉事项相关。</w:t>
      </w:r>
    </w:p>
    <w:p w14:paraId="43CABEC2">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58"/>
    <w:p w14:paraId="73736C05">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0D091D43">
      <w:pPr>
        <w:widowControl/>
        <w:jc w:val="left"/>
        <w:rPr>
          <w:rFonts w:ascii="Calibri" w:hAnsi="Calibri" w:eastAsia="宋体" w:cs="Times New Roman"/>
          <w:kern w:val="0"/>
          <w:sz w:val="20"/>
          <w:szCs w:val="20"/>
          <w:lang w:eastAsia="zh-Hans"/>
        </w:rPr>
      </w:pPr>
    </w:p>
    <w:p w14:paraId="2EAE7258">
      <w:pPr>
        <w:widowControl/>
        <w:jc w:val="left"/>
        <w:rPr>
          <w:rFonts w:ascii="Calibri" w:hAnsi="Calibri" w:eastAsia="宋体" w:cs="Times New Roman"/>
          <w:kern w:val="0"/>
          <w:sz w:val="20"/>
          <w:szCs w:val="20"/>
          <w:lang w:eastAsia="zh-Hans"/>
        </w:rPr>
      </w:pPr>
    </w:p>
    <w:p w14:paraId="33006CA9">
      <w:pPr>
        <w:pageBreakBefore/>
        <w:rPr>
          <w:rFonts w:ascii="Calibri" w:hAnsi="Calibri" w:eastAsia="宋体" w:cs="Times New Roman"/>
          <w:kern w:val="0"/>
          <w:sz w:val="20"/>
          <w:szCs w:val="20"/>
          <w:lang w:eastAsia="zh-Hans"/>
        </w:rPr>
      </w:pPr>
      <w:bookmarkStart w:id="59" w:name="_Toc169799806"/>
      <w:r>
        <w:rPr>
          <w:rFonts w:ascii="宋体" w:hAnsi="宋体" w:eastAsia="宋体"/>
          <w:b/>
          <w:bCs/>
          <w:sz w:val="24"/>
          <w:szCs w:val="28"/>
        </w:rPr>
        <w:t>格式</w:t>
      </w:r>
      <w:r>
        <w:rPr>
          <w:rFonts w:hint="eastAsia" w:ascii="宋体" w:hAnsi="宋体" w:eastAsia="宋体"/>
          <w:b/>
          <w:bCs/>
          <w:sz w:val="24"/>
          <w:szCs w:val="28"/>
          <w:lang w:val="en-US" w:eastAsia="zh-CN"/>
        </w:rPr>
        <w:t>十九</w:t>
      </w:r>
      <w:r>
        <w:rPr>
          <w:rFonts w:ascii="宋体" w:hAnsi="宋体" w:eastAsia="宋体"/>
          <w:b/>
          <w:bCs/>
          <w:sz w:val="24"/>
          <w:szCs w:val="28"/>
        </w:rPr>
        <w:t>：</w:t>
      </w:r>
      <w:bookmarkEnd w:id="59"/>
    </w:p>
    <w:p w14:paraId="0269C7C5">
      <w:pPr>
        <w:widowControl/>
        <w:jc w:val="left"/>
        <w:rPr>
          <w:rFonts w:ascii="Calibri" w:hAnsi="Calibri" w:eastAsia="宋体" w:cs="Times New Roman"/>
          <w:kern w:val="0"/>
          <w:sz w:val="21"/>
          <w:szCs w:val="21"/>
          <w:lang w:eastAsia="zh-Hans"/>
        </w:rPr>
      </w:pPr>
      <w:r>
        <w:rPr>
          <w:rFonts w:ascii="Calibri" w:hAnsi="Calibri" w:eastAsia="宋体" w:cs="Times New Roman"/>
          <w:kern w:val="0"/>
          <w:sz w:val="21"/>
          <w:szCs w:val="21"/>
          <w:lang w:eastAsia="zh-Hans"/>
        </w:rPr>
        <w:t>（以下格式文件由供应商根据需要选用）</w:t>
      </w:r>
    </w:p>
    <w:p w14:paraId="01573560">
      <w:pPr>
        <w:pStyle w:val="18"/>
        <w:rPr>
          <w:rFonts w:hint="default" w:ascii="Calibri" w:hAnsi="Calibri" w:eastAsia="宋体" w:cs="Times New Roman"/>
          <w:sz w:val="21"/>
          <w:szCs w:val="21"/>
        </w:rPr>
      </w:pPr>
      <w:r>
        <w:rPr>
          <w:rFonts w:ascii="Calibri" w:hAnsi="Calibri" w:eastAsia="宋体" w:cs="Times New Roman"/>
          <w:sz w:val="21"/>
          <w:szCs w:val="21"/>
        </w:rPr>
        <w:t>项目实施方案、质量保证及售后服务承诺等内容和格式自拟。</w:t>
      </w:r>
    </w:p>
    <w:p w14:paraId="23147C5A">
      <w:pPr>
        <w:rPr>
          <w:rFonts w:hint="eastAsia"/>
        </w:rPr>
      </w:pPr>
    </w:p>
    <w:p w14:paraId="18E29AC8">
      <w:pPr>
        <w:rPr>
          <w:rFonts w:ascii="Calibri" w:hAnsi="Calibri" w:eastAsia="宋体" w:cs="Times New Roman"/>
          <w:kern w:val="0"/>
          <w:sz w:val="20"/>
          <w:szCs w:val="20"/>
          <w:lang w:eastAsia="zh-Hans"/>
        </w:rPr>
      </w:pPr>
    </w:p>
    <w:p w14:paraId="576ECE6D">
      <w:pPr>
        <w:pageBreakBefore/>
        <w:rPr>
          <w:rFonts w:hint="eastAsia"/>
          <w:bCs/>
        </w:rPr>
      </w:pPr>
      <w:r>
        <w:rPr>
          <w:rFonts w:hint="eastAsia" w:ascii="宋体" w:hAnsi="宋体" w:eastAsia="宋体"/>
          <w:b/>
          <w:bCs/>
          <w:sz w:val="24"/>
          <w:szCs w:val="28"/>
        </w:rPr>
        <w:t>唱标信封格式</w:t>
      </w:r>
    </w:p>
    <w:p w14:paraId="2EFC8728">
      <w:pPr>
        <w:spacing w:before="652" w:beforeLines="150"/>
        <w:jc w:val="center"/>
        <w:rPr>
          <w:rFonts w:hint="eastAsia" w:ascii="宋体" w:hAnsi="宋体" w:eastAsia="宋体"/>
          <w:b/>
          <w:bCs/>
          <w:sz w:val="72"/>
          <w:szCs w:val="72"/>
          <w:lang w:eastAsia="zh-CN"/>
        </w:rPr>
      </w:pPr>
      <w:r>
        <w:rPr>
          <w:rFonts w:hint="eastAsia" w:ascii="宋体" w:hAnsi="宋体" w:eastAsia="宋体"/>
          <w:b/>
          <w:bCs/>
          <w:sz w:val="72"/>
          <w:szCs w:val="72"/>
          <w:lang w:eastAsia="zh-CN"/>
        </w:rPr>
        <w:t>2025年东莞市农药包装废弃物与废旧农膜回收处理项目（二次采购）</w:t>
      </w:r>
    </w:p>
    <w:p w14:paraId="2AED11B5">
      <w:pPr>
        <w:spacing w:before="652" w:beforeLines="150"/>
        <w:jc w:val="center"/>
        <w:rPr>
          <w:rFonts w:hint="eastAsia" w:ascii="宋体" w:hAnsi="宋体" w:eastAsia="宋体"/>
          <w:b/>
          <w:bCs/>
          <w:sz w:val="80"/>
          <w:szCs w:val="80"/>
        </w:rPr>
      </w:pPr>
      <w:r>
        <w:rPr>
          <w:rFonts w:hint="eastAsia" w:ascii="宋体" w:hAnsi="宋体" w:eastAsia="宋体"/>
          <w:b/>
          <w:bCs/>
          <w:sz w:val="80"/>
          <w:szCs w:val="80"/>
        </w:rPr>
        <w:t>唱标信封</w:t>
      </w:r>
    </w:p>
    <w:p w14:paraId="4DE4F916">
      <w:pPr>
        <w:jc w:val="center"/>
        <w:rPr>
          <w:rFonts w:hint="eastAsia" w:ascii="宋体" w:hAnsi="宋体" w:eastAsia="宋体"/>
          <w:b/>
          <w:bCs/>
        </w:rPr>
      </w:pPr>
      <w:r>
        <w:rPr>
          <w:rFonts w:ascii="宋体" w:hAnsi="宋体" w:eastAsia="宋体"/>
          <w:b/>
          <w:bCs/>
        </w:rPr>
        <w:br w:type="textWrapping"/>
      </w:r>
    </w:p>
    <w:p w14:paraId="3B6841D0">
      <w:pPr>
        <w:keepNext w:val="0"/>
        <w:keepLines w:val="0"/>
        <w:pageBreakBefore w:val="0"/>
        <w:widowControl/>
        <w:kinsoku/>
        <w:wordWrap/>
        <w:overflowPunct/>
        <w:topLinePunct w:val="0"/>
        <w:autoSpaceDE/>
        <w:autoSpaceDN/>
        <w:bidi w:val="0"/>
        <w:adjustRightInd/>
        <w:snapToGrid/>
        <w:spacing w:before="3482" w:beforeLines="800" w:line="360" w:lineRule="auto"/>
        <w:ind w:firstLine="1558" w:firstLineChars="485"/>
        <w:jc w:val="left"/>
        <w:textAlignment w:val="auto"/>
        <w:outlineLvl w:val="3"/>
        <w:rPr>
          <w:rFonts w:hint="eastAsia" w:ascii="宋体" w:hAnsi="宋体" w:eastAsia="宋体" w:cs="Times New Roman"/>
          <w:kern w:val="0"/>
          <w:sz w:val="32"/>
          <w:szCs w:val="32"/>
          <w:lang w:eastAsia="zh-CN"/>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lang w:eastAsia="zh-CN"/>
        </w:rPr>
        <w:t>ZHDGZC2025070-1</w:t>
      </w:r>
    </w:p>
    <w:p w14:paraId="44D3A940">
      <w:pPr>
        <w:widowControl/>
        <w:spacing w:line="360" w:lineRule="auto"/>
        <w:ind w:firstLine="1558" w:firstLineChars="485"/>
        <w:jc w:val="left"/>
        <w:outlineLvl w:val="3"/>
        <w:rPr>
          <w:rFonts w:hint="eastAsia"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54EC070A">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547FA5D0">
      <w:pPr>
        <w:spacing w:line="360" w:lineRule="auto"/>
        <w:jc w:val="center"/>
        <w:rPr>
          <w:rFonts w:hint="eastAsia" w:ascii="黑体" w:hAnsi="黑体" w:eastAsia="黑体"/>
          <w:bCs/>
          <w:color w:val="000000" w:themeColor="text1"/>
          <w:sz w:val="50"/>
          <w:szCs w:val="50"/>
          <w14:textFill>
            <w14:solidFill>
              <w14:schemeClr w14:val="tx1"/>
            </w14:solidFill>
          </w14:textFill>
        </w:rPr>
      </w:pPr>
    </w:p>
    <w:p w14:paraId="258B0036">
      <w:pPr>
        <w:pStyle w:val="24"/>
        <w:numPr>
          <w:ilvl w:val="0"/>
          <w:numId w:val="112"/>
        </w:numPr>
        <w:spacing w:line="360" w:lineRule="auto"/>
        <w:ind w:firstLineChars="0"/>
        <w:rPr>
          <w:rFonts w:hint="eastAsia" w:ascii="宋体" w:hAnsi="宋体" w:eastAsia="宋体"/>
          <w:szCs w:val="21"/>
        </w:rPr>
      </w:pPr>
      <w:r>
        <w:rPr>
          <w:rFonts w:hint="eastAsia" w:ascii="宋体" w:hAnsi="宋体" w:eastAsia="宋体"/>
          <w:szCs w:val="21"/>
        </w:rPr>
        <w:t>开标一览表加盖投标人公章；</w:t>
      </w:r>
    </w:p>
    <w:p w14:paraId="520925B8">
      <w:pPr>
        <w:pStyle w:val="24"/>
        <w:numPr>
          <w:ilvl w:val="0"/>
          <w:numId w:val="112"/>
        </w:numPr>
        <w:spacing w:line="360" w:lineRule="auto"/>
        <w:ind w:firstLineChars="0"/>
        <w:rPr>
          <w:rFonts w:hint="eastAsia" w:ascii="宋体" w:hAnsi="宋体" w:eastAsia="宋体"/>
          <w:szCs w:val="21"/>
        </w:rPr>
      </w:pPr>
      <w:r>
        <w:rPr>
          <w:rFonts w:hint="eastAsia" w:ascii="宋体" w:hAnsi="宋体" w:eastAsia="宋体"/>
          <w:szCs w:val="21"/>
        </w:rPr>
        <w:t>法定代表人证明书或法定代表人授权委托书加盖投标人公章；</w:t>
      </w:r>
    </w:p>
    <w:p w14:paraId="178D72C7">
      <w:pPr>
        <w:pStyle w:val="24"/>
        <w:numPr>
          <w:ilvl w:val="0"/>
          <w:numId w:val="112"/>
        </w:numPr>
        <w:spacing w:line="360" w:lineRule="auto"/>
        <w:ind w:firstLineChars="0"/>
        <w:rPr>
          <w:rFonts w:hint="eastAsia"/>
        </w:rPr>
      </w:pPr>
      <w:r>
        <w:rPr>
          <w:rFonts w:hint="eastAsia" w:ascii="宋体" w:hAnsi="宋体" w:eastAsia="宋体"/>
          <w:bCs/>
          <w:szCs w:val="21"/>
        </w:rPr>
        <w:t>《联合投标协议》原件（非联合体投标除外）。</w:t>
      </w: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41E54481">
        <w:pPr>
          <w:pStyle w:val="7"/>
          <w:jc w:val="center"/>
          <w:rPr>
            <w:rFonts w:hint="eastAsia"/>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DF371">
    <w:pPr>
      <w:pStyle w:val="8"/>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85871"/>
    <w:multiLevelType w:val="multilevel"/>
    <w:tmpl w:val="85D8587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85E395FC"/>
    <w:multiLevelType w:val="singleLevel"/>
    <w:tmpl w:val="85E395FC"/>
    <w:lvl w:ilvl="0" w:tentative="0">
      <w:start w:val="1"/>
      <w:numFmt w:val="decimal"/>
      <w:lvlText w:val="%1."/>
      <w:lvlJc w:val="left"/>
      <w:pPr>
        <w:ind w:left="425" w:hanging="425"/>
      </w:pPr>
      <w:rPr>
        <w:rFonts w:hint="default"/>
      </w:rPr>
    </w:lvl>
  </w:abstractNum>
  <w:abstractNum w:abstractNumId="2">
    <w:nsid w:val="967C8D94"/>
    <w:multiLevelType w:val="singleLevel"/>
    <w:tmpl w:val="967C8D94"/>
    <w:lvl w:ilvl="0" w:tentative="0">
      <w:start w:val="1"/>
      <w:numFmt w:val="decimal"/>
      <w:lvlText w:val="%1."/>
      <w:lvlJc w:val="left"/>
      <w:pPr>
        <w:ind w:left="425" w:hanging="425"/>
      </w:pPr>
      <w:rPr>
        <w:rFonts w:hint="default"/>
      </w:rPr>
    </w:lvl>
  </w:abstractNum>
  <w:abstractNum w:abstractNumId="3">
    <w:nsid w:val="973A3D36"/>
    <w:multiLevelType w:val="singleLevel"/>
    <w:tmpl w:val="973A3D36"/>
    <w:lvl w:ilvl="0" w:tentative="0">
      <w:start w:val="1"/>
      <w:numFmt w:val="decimal"/>
      <w:lvlText w:val="(%1)"/>
      <w:lvlJc w:val="left"/>
      <w:pPr>
        <w:ind w:left="425" w:hanging="425"/>
      </w:pPr>
      <w:rPr>
        <w:rFonts w:hint="default"/>
      </w:rPr>
    </w:lvl>
  </w:abstractNum>
  <w:abstractNum w:abstractNumId="4">
    <w:nsid w:val="9BECE626"/>
    <w:multiLevelType w:val="singleLevel"/>
    <w:tmpl w:val="9BECE626"/>
    <w:lvl w:ilvl="0" w:tentative="0">
      <w:start w:val="1"/>
      <w:numFmt w:val="decimal"/>
      <w:lvlText w:val="%1."/>
      <w:lvlJc w:val="left"/>
      <w:pPr>
        <w:ind w:left="425" w:hanging="425"/>
      </w:pPr>
      <w:rPr>
        <w:rFonts w:hint="default"/>
      </w:rPr>
    </w:lvl>
  </w:abstractNum>
  <w:abstractNum w:abstractNumId="5">
    <w:nsid w:val="A62AA547"/>
    <w:multiLevelType w:val="singleLevel"/>
    <w:tmpl w:val="A62AA547"/>
    <w:lvl w:ilvl="0" w:tentative="0">
      <w:start w:val="1"/>
      <w:numFmt w:val="decimal"/>
      <w:lvlText w:val="%1."/>
      <w:lvlJc w:val="left"/>
      <w:pPr>
        <w:ind w:left="425" w:hanging="425"/>
      </w:pPr>
      <w:rPr>
        <w:rFonts w:hint="default"/>
      </w:rPr>
    </w:lvl>
  </w:abstractNum>
  <w:abstractNum w:abstractNumId="6">
    <w:nsid w:val="AB0CB8AE"/>
    <w:multiLevelType w:val="singleLevel"/>
    <w:tmpl w:val="AB0CB8AE"/>
    <w:lvl w:ilvl="0" w:tentative="0">
      <w:start w:val="1"/>
      <w:numFmt w:val="decimal"/>
      <w:lvlText w:val="%1."/>
      <w:lvlJc w:val="left"/>
      <w:pPr>
        <w:ind w:left="425" w:hanging="425"/>
      </w:pPr>
      <w:rPr>
        <w:rFonts w:hint="default"/>
      </w:rPr>
    </w:lvl>
  </w:abstractNum>
  <w:abstractNum w:abstractNumId="7">
    <w:nsid w:val="AC24F4D6"/>
    <w:multiLevelType w:val="singleLevel"/>
    <w:tmpl w:val="AC24F4D6"/>
    <w:lvl w:ilvl="0" w:tentative="0">
      <w:start w:val="1"/>
      <w:numFmt w:val="decimal"/>
      <w:lvlText w:val="%1."/>
      <w:lvlJc w:val="left"/>
      <w:pPr>
        <w:ind w:left="425" w:hanging="425"/>
      </w:pPr>
      <w:rPr>
        <w:rFonts w:hint="default"/>
      </w:rPr>
    </w:lvl>
  </w:abstractNum>
  <w:abstractNum w:abstractNumId="8">
    <w:nsid w:val="C0B037EB"/>
    <w:multiLevelType w:val="singleLevel"/>
    <w:tmpl w:val="C0B037EB"/>
    <w:lvl w:ilvl="0" w:tentative="0">
      <w:start w:val="1"/>
      <w:numFmt w:val="decimal"/>
      <w:lvlText w:val="%1."/>
      <w:lvlJc w:val="left"/>
      <w:pPr>
        <w:ind w:left="425" w:hanging="425"/>
      </w:pPr>
      <w:rPr>
        <w:rFonts w:hint="default"/>
      </w:rPr>
    </w:lvl>
  </w:abstractNum>
  <w:abstractNum w:abstractNumId="9">
    <w:nsid w:val="D3915E7E"/>
    <w:multiLevelType w:val="singleLevel"/>
    <w:tmpl w:val="D3915E7E"/>
    <w:lvl w:ilvl="0" w:tentative="0">
      <w:start w:val="1"/>
      <w:numFmt w:val="decimal"/>
      <w:lvlText w:val="(%1)"/>
      <w:lvlJc w:val="left"/>
      <w:pPr>
        <w:ind w:left="425" w:hanging="425"/>
      </w:pPr>
      <w:rPr>
        <w:rFonts w:hint="default"/>
      </w:rPr>
    </w:lvl>
  </w:abstractNum>
  <w:abstractNum w:abstractNumId="10">
    <w:nsid w:val="D40487B1"/>
    <w:multiLevelType w:val="singleLevel"/>
    <w:tmpl w:val="D40487B1"/>
    <w:lvl w:ilvl="0" w:tentative="0">
      <w:start w:val="1"/>
      <w:numFmt w:val="decimal"/>
      <w:lvlText w:val="(%1)"/>
      <w:lvlJc w:val="left"/>
      <w:pPr>
        <w:ind w:left="425" w:hanging="425"/>
      </w:pPr>
      <w:rPr>
        <w:rFonts w:hint="default"/>
      </w:rPr>
    </w:lvl>
  </w:abstractNum>
  <w:abstractNum w:abstractNumId="11">
    <w:nsid w:val="D8B0E390"/>
    <w:multiLevelType w:val="singleLevel"/>
    <w:tmpl w:val="D8B0E390"/>
    <w:lvl w:ilvl="0" w:tentative="0">
      <w:start w:val="1"/>
      <w:numFmt w:val="decimal"/>
      <w:lvlText w:val="(%1)"/>
      <w:lvlJc w:val="left"/>
      <w:pPr>
        <w:ind w:left="425" w:hanging="425"/>
      </w:pPr>
      <w:rPr>
        <w:rFonts w:hint="default"/>
        <w:sz w:val="21"/>
        <w:szCs w:val="21"/>
      </w:rPr>
    </w:lvl>
  </w:abstractNum>
  <w:abstractNum w:abstractNumId="12">
    <w:nsid w:val="DDD61DA1"/>
    <w:multiLevelType w:val="singleLevel"/>
    <w:tmpl w:val="DDD61DA1"/>
    <w:lvl w:ilvl="0" w:tentative="0">
      <w:start w:val="1"/>
      <w:numFmt w:val="decimal"/>
      <w:lvlText w:val="%1."/>
      <w:lvlJc w:val="left"/>
      <w:pPr>
        <w:ind w:left="425" w:hanging="425"/>
      </w:pPr>
      <w:rPr>
        <w:rFonts w:hint="default"/>
      </w:rPr>
    </w:lvl>
  </w:abstractNum>
  <w:abstractNum w:abstractNumId="13">
    <w:nsid w:val="ED82DA9A"/>
    <w:multiLevelType w:val="singleLevel"/>
    <w:tmpl w:val="ED82DA9A"/>
    <w:lvl w:ilvl="0" w:tentative="0">
      <w:start w:val="1"/>
      <w:numFmt w:val="decimal"/>
      <w:lvlText w:val="%1."/>
      <w:lvlJc w:val="left"/>
      <w:pPr>
        <w:ind w:left="425" w:hanging="425"/>
      </w:pPr>
      <w:rPr>
        <w:rFonts w:hint="default"/>
      </w:rPr>
    </w:lvl>
  </w:abstractNum>
  <w:abstractNum w:abstractNumId="14">
    <w:nsid w:val="EE8954F7"/>
    <w:multiLevelType w:val="singleLevel"/>
    <w:tmpl w:val="EE8954F7"/>
    <w:lvl w:ilvl="0" w:tentative="0">
      <w:start w:val="1"/>
      <w:numFmt w:val="decimal"/>
      <w:lvlText w:val="%1."/>
      <w:lvlJc w:val="left"/>
      <w:pPr>
        <w:ind w:left="425" w:hanging="425"/>
      </w:pPr>
      <w:rPr>
        <w:rFonts w:hint="default"/>
      </w:rPr>
    </w:lvl>
  </w:abstractNum>
  <w:abstractNum w:abstractNumId="15">
    <w:nsid w:val="F20A9806"/>
    <w:multiLevelType w:val="singleLevel"/>
    <w:tmpl w:val="F20A9806"/>
    <w:lvl w:ilvl="0" w:tentative="0">
      <w:start w:val="1"/>
      <w:numFmt w:val="decimal"/>
      <w:lvlText w:val="%1."/>
      <w:lvlJc w:val="left"/>
      <w:pPr>
        <w:ind w:left="425" w:hanging="425"/>
      </w:pPr>
      <w:rPr>
        <w:rFonts w:hint="default"/>
      </w:rPr>
    </w:lvl>
  </w:abstractNum>
  <w:abstractNum w:abstractNumId="16">
    <w:nsid w:val="F85E16BB"/>
    <w:multiLevelType w:val="singleLevel"/>
    <w:tmpl w:val="F85E16BB"/>
    <w:lvl w:ilvl="0" w:tentative="0">
      <w:start w:val="1"/>
      <w:numFmt w:val="decimal"/>
      <w:lvlText w:val="(%1)"/>
      <w:lvlJc w:val="left"/>
      <w:pPr>
        <w:ind w:left="425" w:hanging="425"/>
      </w:pPr>
      <w:rPr>
        <w:rFonts w:hint="default"/>
        <w:b w:val="0"/>
        <w:bCs w:val="0"/>
        <w:color w:val="auto"/>
      </w:rPr>
    </w:lvl>
  </w:abstractNum>
  <w:abstractNum w:abstractNumId="17">
    <w:nsid w:val="FF43A117"/>
    <w:multiLevelType w:val="singleLevel"/>
    <w:tmpl w:val="FF43A117"/>
    <w:lvl w:ilvl="0" w:tentative="0">
      <w:start w:val="1"/>
      <w:numFmt w:val="decimal"/>
      <w:lvlText w:val="%1."/>
      <w:lvlJc w:val="left"/>
      <w:pPr>
        <w:ind w:left="425" w:hanging="425"/>
      </w:pPr>
      <w:rPr>
        <w:rFonts w:hint="default"/>
      </w:rPr>
    </w:lvl>
  </w:abstractNum>
  <w:abstractNum w:abstractNumId="18">
    <w:nsid w:val="FF8E4286"/>
    <w:multiLevelType w:val="singleLevel"/>
    <w:tmpl w:val="FF8E4286"/>
    <w:lvl w:ilvl="0" w:tentative="0">
      <w:start w:val="1"/>
      <w:numFmt w:val="decimal"/>
      <w:lvlText w:val="(%1)"/>
      <w:lvlJc w:val="left"/>
      <w:pPr>
        <w:ind w:left="425" w:hanging="425"/>
      </w:pPr>
      <w:rPr>
        <w:rFonts w:hint="default"/>
        <w:sz w:val="21"/>
        <w:szCs w:val="21"/>
      </w:rPr>
    </w:lvl>
  </w:abstractNum>
  <w:abstractNum w:abstractNumId="19">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02F3796B"/>
    <w:multiLevelType w:val="singleLevel"/>
    <w:tmpl w:val="02F3796B"/>
    <w:lvl w:ilvl="0" w:tentative="0">
      <w:start w:val="1"/>
      <w:numFmt w:val="decimal"/>
      <w:lvlText w:val="(%1)"/>
      <w:lvlJc w:val="left"/>
      <w:pPr>
        <w:ind w:left="425" w:hanging="425"/>
      </w:pPr>
      <w:rPr>
        <w:rFonts w:hint="default"/>
      </w:rPr>
    </w:lvl>
  </w:abstractNum>
  <w:abstractNum w:abstractNumId="23">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4">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07020D7A"/>
    <w:multiLevelType w:val="multilevel"/>
    <w:tmpl w:val="07020D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0B317D2A"/>
    <w:multiLevelType w:val="multilevel"/>
    <w:tmpl w:val="0B317D2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0E4EC528"/>
    <w:multiLevelType w:val="singleLevel"/>
    <w:tmpl w:val="0E4EC528"/>
    <w:lvl w:ilvl="0" w:tentative="0">
      <w:start w:val="1"/>
      <w:numFmt w:val="decimal"/>
      <w:lvlText w:val="(%1)"/>
      <w:lvlJc w:val="left"/>
      <w:pPr>
        <w:ind w:left="425" w:hanging="425"/>
      </w:pPr>
      <w:rPr>
        <w:rFonts w:hint="default"/>
        <w:b w:val="0"/>
        <w:bCs w:val="0"/>
        <w:color w:val="auto"/>
      </w:rPr>
    </w:lvl>
  </w:abstractNum>
  <w:abstractNum w:abstractNumId="29">
    <w:nsid w:val="1177374B"/>
    <w:multiLevelType w:val="singleLevel"/>
    <w:tmpl w:val="1177374B"/>
    <w:lvl w:ilvl="0" w:tentative="0">
      <w:start w:val="1"/>
      <w:numFmt w:val="decimal"/>
      <w:lvlText w:val="%1."/>
      <w:lvlJc w:val="left"/>
      <w:pPr>
        <w:ind w:left="425" w:hanging="425"/>
      </w:pPr>
      <w:rPr>
        <w:rFonts w:hint="default"/>
      </w:rPr>
    </w:lvl>
  </w:abstractNum>
  <w:abstractNum w:abstractNumId="30">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228FCDB4"/>
    <w:multiLevelType w:val="multilevel"/>
    <w:tmpl w:val="228FCDB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0">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29E2ED3B"/>
    <w:multiLevelType w:val="singleLevel"/>
    <w:tmpl w:val="29E2ED3B"/>
    <w:lvl w:ilvl="0" w:tentative="0">
      <w:start w:val="1"/>
      <w:numFmt w:val="decimal"/>
      <w:lvlText w:val="(%1)"/>
      <w:lvlJc w:val="left"/>
      <w:pPr>
        <w:ind w:left="425" w:hanging="425"/>
      </w:pPr>
      <w:rPr>
        <w:rFonts w:hint="default"/>
      </w:rPr>
    </w:lvl>
  </w:abstractNum>
  <w:abstractNum w:abstractNumId="45">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2FAE2843"/>
    <w:multiLevelType w:val="singleLevel"/>
    <w:tmpl w:val="2FAE2843"/>
    <w:lvl w:ilvl="0" w:tentative="0">
      <w:start w:val="1"/>
      <w:numFmt w:val="decimal"/>
      <w:lvlText w:val="(%1)"/>
      <w:lvlJc w:val="left"/>
      <w:pPr>
        <w:ind w:left="425" w:hanging="425"/>
      </w:pPr>
      <w:rPr>
        <w:rFonts w:hint="default"/>
      </w:rPr>
    </w:lvl>
  </w:abstractNum>
  <w:abstractNum w:abstractNumId="47">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635C8F9"/>
    <w:multiLevelType w:val="singleLevel"/>
    <w:tmpl w:val="3635C8F9"/>
    <w:lvl w:ilvl="0" w:tentative="0">
      <w:start w:val="1"/>
      <w:numFmt w:val="chineseCounting"/>
      <w:suff w:val="nothing"/>
      <w:lvlText w:val="%1、"/>
      <w:lvlJc w:val="left"/>
      <w:pPr>
        <w:ind w:left="0" w:firstLine="420"/>
      </w:pPr>
      <w:rPr>
        <w:rFonts w:hint="eastAsia"/>
      </w:rPr>
    </w:lvl>
  </w:abstractNum>
  <w:abstractNum w:abstractNumId="50">
    <w:nsid w:val="36A9FF88"/>
    <w:multiLevelType w:val="singleLevel"/>
    <w:tmpl w:val="36A9FF88"/>
    <w:lvl w:ilvl="0" w:tentative="0">
      <w:start w:val="1"/>
      <w:numFmt w:val="decimal"/>
      <w:lvlText w:val="%1."/>
      <w:lvlJc w:val="left"/>
      <w:pPr>
        <w:ind w:left="425" w:hanging="425"/>
      </w:pPr>
      <w:rPr>
        <w:rFonts w:hint="default"/>
      </w:rPr>
    </w:lvl>
  </w:abstractNum>
  <w:abstractNum w:abstractNumId="51">
    <w:nsid w:val="386CB393"/>
    <w:multiLevelType w:val="singleLevel"/>
    <w:tmpl w:val="386CB393"/>
    <w:lvl w:ilvl="0" w:tentative="0">
      <w:start w:val="1"/>
      <w:numFmt w:val="decimal"/>
      <w:lvlText w:val="(%1)"/>
      <w:lvlJc w:val="left"/>
      <w:pPr>
        <w:ind w:left="425" w:hanging="425"/>
      </w:pPr>
      <w:rPr>
        <w:rFonts w:hint="default"/>
      </w:rPr>
    </w:lvl>
  </w:abstractNum>
  <w:abstractNum w:abstractNumId="52">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3">
    <w:nsid w:val="44DB0361"/>
    <w:multiLevelType w:val="singleLevel"/>
    <w:tmpl w:val="44DB0361"/>
    <w:lvl w:ilvl="0" w:tentative="0">
      <w:start w:val="1"/>
      <w:numFmt w:val="decimal"/>
      <w:lvlText w:val="%1."/>
      <w:lvlJc w:val="left"/>
      <w:pPr>
        <w:ind w:left="425" w:hanging="425"/>
      </w:pPr>
      <w:rPr>
        <w:rFonts w:hint="default"/>
        <w:b w:val="0"/>
        <w:bCs w:val="0"/>
        <w:sz w:val="21"/>
        <w:szCs w:val="21"/>
      </w:rPr>
    </w:lvl>
  </w:abstractNum>
  <w:abstractNum w:abstractNumId="64">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0C951F0"/>
    <w:multiLevelType w:val="singleLevel"/>
    <w:tmpl w:val="50C951F0"/>
    <w:lvl w:ilvl="0" w:tentative="0">
      <w:start w:val="1"/>
      <w:numFmt w:val="decimal"/>
      <w:lvlText w:val="%1."/>
      <w:lvlJc w:val="left"/>
      <w:pPr>
        <w:ind w:left="425" w:hanging="425"/>
      </w:pPr>
      <w:rPr>
        <w:rFonts w:hint="default"/>
      </w:rPr>
    </w:lvl>
  </w:abstractNum>
  <w:abstractNum w:abstractNumId="73">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7">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5756142"/>
    <w:multiLevelType w:val="singleLevel"/>
    <w:tmpl w:val="55756142"/>
    <w:lvl w:ilvl="0" w:tentative="0">
      <w:start w:val="1"/>
      <w:numFmt w:val="decimal"/>
      <w:lvlText w:val="(%1)"/>
      <w:lvlJc w:val="left"/>
      <w:pPr>
        <w:ind w:left="425" w:hanging="425"/>
      </w:pPr>
      <w:rPr>
        <w:rFonts w:hint="default"/>
      </w:rPr>
    </w:lvl>
  </w:abstractNum>
  <w:abstractNum w:abstractNumId="80">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5C14B3C2"/>
    <w:multiLevelType w:val="singleLevel"/>
    <w:tmpl w:val="5C14B3C2"/>
    <w:lvl w:ilvl="0" w:tentative="0">
      <w:start w:val="1"/>
      <w:numFmt w:val="decimal"/>
      <w:lvlText w:val="%1."/>
      <w:lvlJc w:val="left"/>
      <w:pPr>
        <w:ind w:left="425" w:hanging="425"/>
      </w:pPr>
      <w:rPr>
        <w:rFonts w:hint="default"/>
      </w:rPr>
    </w:lvl>
  </w:abstractNum>
  <w:abstractNum w:abstractNumId="87">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2A33089"/>
    <w:multiLevelType w:val="singleLevel"/>
    <w:tmpl w:val="62A33089"/>
    <w:lvl w:ilvl="0" w:tentative="0">
      <w:start w:val="1"/>
      <w:numFmt w:val="decimal"/>
      <w:lvlText w:val="%1."/>
      <w:lvlJc w:val="left"/>
      <w:pPr>
        <w:ind w:left="425" w:hanging="425"/>
      </w:pPr>
      <w:rPr>
        <w:rFonts w:hint="default"/>
      </w:rPr>
    </w:lvl>
  </w:abstractNum>
  <w:abstractNum w:abstractNumId="90">
    <w:nsid w:val="62A79E3B"/>
    <w:multiLevelType w:val="singleLevel"/>
    <w:tmpl w:val="62A79E3B"/>
    <w:lvl w:ilvl="0" w:tentative="0">
      <w:start w:val="1"/>
      <w:numFmt w:val="decimal"/>
      <w:lvlText w:val="(%1)"/>
      <w:lvlJc w:val="left"/>
      <w:pPr>
        <w:ind w:left="425" w:hanging="425"/>
      </w:pPr>
      <w:rPr>
        <w:rFonts w:hint="default"/>
        <w:b w:val="0"/>
        <w:bCs w:val="0"/>
        <w:color w:val="auto"/>
      </w:rPr>
    </w:lvl>
  </w:abstractNum>
  <w:abstractNum w:abstractNumId="91">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7204DDD3"/>
    <w:multiLevelType w:val="singleLevel"/>
    <w:tmpl w:val="7204DDD3"/>
    <w:lvl w:ilvl="0" w:tentative="0">
      <w:start w:val="1"/>
      <w:numFmt w:val="decimal"/>
      <w:lvlText w:val="%1."/>
      <w:lvlJc w:val="left"/>
      <w:pPr>
        <w:ind w:left="425" w:hanging="425"/>
      </w:pPr>
      <w:rPr>
        <w:rFonts w:hint="default"/>
      </w:rPr>
    </w:lvl>
  </w:abstractNum>
  <w:abstractNum w:abstractNumId="100">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2">
    <w:nsid w:val="738E3C21"/>
    <w:multiLevelType w:val="singleLevel"/>
    <w:tmpl w:val="738E3C21"/>
    <w:lvl w:ilvl="0" w:tentative="0">
      <w:start w:val="1"/>
      <w:numFmt w:val="decimal"/>
      <w:lvlText w:val="(%1)"/>
      <w:lvlJc w:val="left"/>
      <w:pPr>
        <w:ind w:left="425" w:hanging="425"/>
      </w:pPr>
      <w:rPr>
        <w:rFonts w:hint="default"/>
      </w:rPr>
    </w:lvl>
  </w:abstractNum>
  <w:abstractNum w:abstractNumId="103">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4">
    <w:nsid w:val="757B7DE6"/>
    <w:multiLevelType w:val="singleLevel"/>
    <w:tmpl w:val="757B7DE6"/>
    <w:lvl w:ilvl="0" w:tentative="0">
      <w:start w:val="1"/>
      <w:numFmt w:val="decimal"/>
      <w:lvlText w:val="%1."/>
      <w:lvlJc w:val="left"/>
      <w:pPr>
        <w:ind w:left="425" w:hanging="425"/>
      </w:pPr>
      <w:rPr>
        <w:rFonts w:hint="default"/>
      </w:rPr>
    </w:lvl>
  </w:abstractNum>
  <w:abstractNum w:abstractNumId="105">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6">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7">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8">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9">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0">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1">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8"/>
  </w:num>
  <w:num w:numId="2">
    <w:abstractNumId w:val="42"/>
  </w:num>
  <w:num w:numId="3">
    <w:abstractNumId w:val="61"/>
  </w:num>
  <w:num w:numId="4">
    <w:abstractNumId w:val="47"/>
  </w:num>
  <w:num w:numId="5">
    <w:abstractNumId w:val="69"/>
  </w:num>
  <w:num w:numId="6">
    <w:abstractNumId w:val="101"/>
  </w:num>
  <w:num w:numId="7">
    <w:abstractNumId w:val="103"/>
  </w:num>
  <w:num w:numId="8">
    <w:abstractNumId w:val="77"/>
  </w:num>
  <w:num w:numId="9">
    <w:abstractNumId w:val="108"/>
  </w:num>
  <w:num w:numId="10">
    <w:abstractNumId w:val="24"/>
  </w:num>
  <w:num w:numId="11">
    <w:abstractNumId w:val="2"/>
  </w:num>
  <w:num w:numId="12">
    <w:abstractNumId w:val="1"/>
  </w:num>
  <w:num w:numId="13">
    <w:abstractNumId w:val="38"/>
  </w:num>
  <w:num w:numId="14">
    <w:abstractNumId w:val="8"/>
  </w:num>
  <w:num w:numId="15">
    <w:abstractNumId w:val="25"/>
  </w:num>
  <w:num w:numId="16">
    <w:abstractNumId w:val="11"/>
  </w:num>
  <w:num w:numId="17">
    <w:abstractNumId w:val="0"/>
  </w:num>
  <w:num w:numId="18">
    <w:abstractNumId w:val="18"/>
  </w:num>
  <w:num w:numId="19">
    <w:abstractNumId w:val="102"/>
  </w:num>
  <w:num w:numId="20">
    <w:abstractNumId w:val="16"/>
  </w:num>
  <w:num w:numId="21">
    <w:abstractNumId w:val="90"/>
  </w:num>
  <w:num w:numId="22">
    <w:abstractNumId w:val="44"/>
  </w:num>
  <w:num w:numId="23">
    <w:abstractNumId w:val="27"/>
  </w:num>
  <w:num w:numId="24">
    <w:abstractNumId w:val="15"/>
  </w:num>
  <w:num w:numId="25">
    <w:abstractNumId w:val="59"/>
  </w:num>
  <w:num w:numId="26">
    <w:abstractNumId w:val="100"/>
  </w:num>
  <w:num w:numId="27">
    <w:abstractNumId w:val="85"/>
  </w:num>
  <w:num w:numId="28">
    <w:abstractNumId w:val="57"/>
  </w:num>
  <w:num w:numId="29">
    <w:abstractNumId w:val="35"/>
  </w:num>
  <w:num w:numId="30">
    <w:abstractNumId w:val="109"/>
  </w:num>
  <w:num w:numId="31">
    <w:abstractNumId w:val="81"/>
  </w:num>
  <w:num w:numId="32">
    <w:abstractNumId w:val="45"/>
  </w:num>
  <w:num w:numId="33">
    <w:abstractNumId w:val="91"/>
  </w:num>
  <w:num w:numId="34">
    <w:abstractNumId w:val="52"/>
  </w:num>
  <w:num w:numId="35">
    <w:abstractNumId w:val="92"/>
  </w:num>
  <w:num w:numId="36">
    <w:abstractNumId w:val="87"/>
  </w:num>
  <w:num w:numId="37">
    <w:abstractNumId w:val="98"/>
  </w:num>
  <w:num w:numId="38">
    <w:abstractNumId w:val="96"/>
  </w:num>
  <w:num w:numId="39">
    <w:abstractNumId w:val="36"/>
  </w:num>
  <w:num w:numId="40">
    <w:abstractNumId w:val="30"/>
  </w:num>
  <w:num w:numId="41">
    <w:abstractNumId w:val="68"/>
  </w:num>
  <w:num w:numId="42">
    <w:abstractNumId w:val="60"/>
  </w:num>
  <w:num w:numId="43">
    <w:abstractNumId w:val="84"/>
  </w:num>
  <w:num w:numId="44">
    <w:abstractNumId w:val="105"/>
  </w:num>
  <w:num w:numId="45">
    <w:abstractNumId w:val="65"/>
  </w:num>
  <w:num w:numId="46">
    <w:abstractNumId w:val="55"/>
  </w:num>
  <w:num w:numId="47">
    <w:abstractNumId w:val="54"/>
  </w:num>
  <w:num w:numId="48">
    <w:abstractNumId w:val="67"/>
  </w:num>
  <w:num w:numId="49">
    <w:abstractNumId w:val="21"/>
  </w:num>
  <w:num w:numId="50">
    <w:abstractNumId w:val="82"/>
  </w:num>
  <w:num w:numId="51">
    <w:abstractNumId w:val="95"/>
  </w:num>
  <w:num w:numId="52">
    <w:abstractNumId w:val="97"/>
  </w:num>
  <w:num w:numId="53">
    <w:abstractNumId w:val="33"/>
  </w:num>
  <w:num w:numId="54">
    <w:abstractNumId w:val="43"/>
  </w:num>
  <w:num w:numId="55">
    <w:abstractNumId w:val="83"/>
  </w:num>
  <w:num w:numId="56">
    <w:abstractNumId w:val="32"/>
  </w:num>
  <w:num w:numId="57">
    <w:abstractNumId w:val="34"/>
  </w:num>
  <w:num w:numId="58">
    <w:abstractNumId w:val="26"/>
  </w:num>
  <w:num w:numId="59">
    <w:abstractNumId w:val="64"/>
  </w:num>
  <w:num w:numId="60">
    <w:abstractNumId w:val="75"/>
  </w:num>
  <w:num w:numId="61">
    <w:abstractNumId w:val="88"/>
  </w:num>
  <w:num w:numId="62">
    <w:abstractNumId w:val="56"/>
  </w:num>
  <w:num w:numId="63">
    <w:abstractNumId w:val="58"/>
  </w:num>
  <w:num w:numId="64">
    <w:abstractNumId w:val="78"/>
  </w:num>
  <w:num w:numId="65">
    <w:abstractNumId w:val="93"/>
  </w:num>
  <w:num w:numId="66">
    <w:abstractNumId w:val="94"/>
  </w:num>
  <w:num w:numId="67">
    <w:abstractNumId w:val="70"/>
  </w:num>
  <w:num w:numId="68">
    <w:abstractNumId w:val="71"/>
  </w:num>
  <w:num w:numId="69">
    <w:abstractNumId w:val="111"/>
  </w:num>
  <w:num w:numId="70">
    <w:abstractNumId w:val="40"/>
  </w:num>
  <w:num w:numId="71">
    <w:abstractNumId w:val="73"/>
  </w:num>
  <w:num w:numId="72">
    <w:abstractNumId w:val="66"/>
  </w:num>
  <w:num w:numId="73">
    <w:abstractNumId w:val="110"/>
  </w:num>
  <w:num w:numId="74">
    <w:abstractNumId w:val="39"/>
  </w:num>
  <w:num w:numId="75">
    <w:abstractNumId w:val="62"/>
  </w:num>
  <w:num w:numId="76">
    <w:abstractNumId w:val="107"/>
  </w:num>
  <w:num w:numId="77">
    <w:abstractNumId w:val="23"/>
  </w:num>
  <w:num w:numId="78">
    <w:abstractNumId w:val="41"/>
  </w:num>
  <w:num w:numId="79">
    <w:abstractNumId w:val="76"/>
  </w:num>
  <w:num w:numId="80">
    <w:abstractNumId w:val="74"/>
  </w:num>
  <w:num w:numId="81">
    <w:abstractNumId w:val="31"/>
  </w:num>
  <w:num w:numId="82">
    <w:abstractNumId w:val="20"/>
  </w:num>
  <w:num w:numId="83">
    <w:abstractNumId w:val="106"/>
  </w:num>
  <w:num w:numId="84">
    <w:abstractNumId w:val="19"/>
  </w:num>
  <w:num w:numId="85">
    <w:abstractNumId w:val="14"/>
  </w:num>
  <w:num w:numId="86">
    <w:abstractNumId w:val="29"/>
  </w:num>
  <w:num w:numId="87">
    <w:abstractNumId w:val="12"/>
  </w:num>
  <w:num w:numId="88">
    <w:abstractNumId w:val="51"/>
  </w:num>
  <w:num w:numId="89">
    <w:abstractNumId w:val="79"/>
  </w:num>
  <w:num w:numId="90">
    <w:abstractNumId w:val="5"/>
  </w:num>
  <w:num w:numId="91">
    <w:abstractNumId w:val="89"/>
  </w:num>
  <w:num w:numId="92">
    <w:abstractNumId w:val="50"/>
  </w:num>
  <w:num w:numId="93">
    <w:abstractNumId w:val="7"/>
  </w:num>
  <w:num w:numId="94">
    <w:abstractNumId w:val="37"/>
  </w:num>
  <w:num w:numId="95">
    <w:abstractNumId w:val="10"/>
  </w:num>
  <w:num w:numId="96">
    <w:abstractNumId w:val="17"/>
  </w:num>
  <w:num w:numId="97">
    <w:abstractNumId w:val="46"/>
  </w:num>
  <w:num w:numId="98">
    <w:abstractNumId w:val="3"/>
  </w:num>
  <w:num w:numId="99">
    <w:abstractNumId w:val="28"/>
  </w:num>
  <w:num w:numId="100">
    <w:abstractNumId w:val="22"/>
  </w:num>
  <w:num w:numId="101">
    <w:abstractNumId w:val="9"/>
  </w:num>
  <w:num w:numId="102">
    <w:abstractNumId w:val="72"/>
  </w:num>
  <w:num w:numId="103">
    <w:abstractNumId w:val="63"/>
  </w:num>
  <w:num w:numId="104">
    <w:abstractNumId w:val="4"/>
  </w:num>
  <w:num w:numId="105">
    <w:abstractNumId w:val="86"/>
  </w:num>
  <w:num w:numId="106">
    <w:abstractNumId w:val="13"/>
  </w:num>
  <w:num w:numId="107">
    <w:abstractNumId w:val="99"/>
  </w:num>
  <w:num w:numId="108">
    <w:abstractNumId w:val="6"/>
  </w:num>
  <w:num w:numId="109">
    <w:abstractNumId w:val="104"/>
  </w:num>
  <w:num w:numId="110">
    <w:abstractNumId w:val="49"/>
  </w:num>
  <w:num w:numId="111">
    <w:abstractNumId w:val="53"/>
  </w:num>
  <w:num w:numId="112">
    <w:abstractNumId w:val="8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DGNJ3">
    <w15:presenceInfo w15:providerId="None" w15:userId="DGNJ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0271"/>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2E3F10"/>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52C"/>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4A79"/>
    <w:rsid w:val="006C5F70"/>
    <w:rsid w:val="006C7FB0"/>
    <w:rsid w:val="006D5498"/>
    <w:rsid w:val="006D70F7"/>
    <w:rsid w:val="006D7398"/>
    <w:rsid w:val="006F733D"/>
    <w:rsid w:val="00703741"/>
    <w:rsid w:val="0073290E"/>
    <w:rsid w:val="00737DF1"/>
    <w:rsid w:val="00751C3A"/>
    <w:rsid w:val="00752CC2"/>
    <w:rsid w:val="00757716"/>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77B1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67531"/>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AB"/>
    <w:rsid w:val="00C455C8"/>
    <w:rsid w:val="00C57C13"/>
    <w:rsid w:val="00C61C5A"/>
    <w:rsid w:val="00CC070C"/>
    <w:rsid w:val="00CC15F7"/>
    <w:rsid w:val="00CD24D8"/>
    <w:rsid w:val="00CD2B6B"/>
    <w:rsid w:val="00CD7230"/>
    <w:rsid w:val="00CD7E51"/>
    <w:rsid w:val="00CE2E8D"/>
    <w:rsid w:val="00CF014B"/>
    <w:rsid w:val="00D00447"/>
    <w:rsid w:val="00D03805"/>
    <w:rsid w:val="00D05BC6"/>
    <w:rsid w:val="00D079A2"/>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AAF"/>
    <w:rsid w:val="00F72D56"/>
    <w:rsid w:val="00F77AFB"/>
    <w:rsid w:val="00F85FA3"/>
    <w:rsid w:val="00F9215D"/>
    <w:rsid w:val="00F952BC"/>
    <w:rsid w:val="00F96FB5"/>
    <w:rsid w:val="00FA1715"/>
    <w:rsid w:val="00FA6090"/>
    <w:rsid w:val="00FA7F4B"/>
    <w:rsid w:val="00FC7957"/>
    <w:rsid w:val="00FE239F"/>
    <w:rsid w:val="00FE277A"/>
    <w:rsid w:val="01225F6B"/>
    <w:rsid w:val="013D6CF9"/>
    <w:rsid w:val="01FB40D3"/>
    <w:rsid w:val="023C44BA"/>
    <w:rsid w:val="02C50533"/>
    <w:rsid w:val="031E62CB"/>
    <w:rsid w:val="033C6A89"/>
    <w:rsid w:val="03F309CB"/>
    <w:rsid w:val="0449796F"/>
    <w:rsid w:val="050723CE"/>
    <w:rsid w:val="05444432"/>
    <w:rsid w:val="0574717F"/>
    <w:rsid w:val="066A0082"/>
    <w:rsid w:val="06AC4047"/>
    <w:rsid w:val="06B81D95"/>
    <w:rsid w:val="06F00D62"/>
    <w:rsid w:val="07156475"/>
    <w:rsid w:val="07647CAF"/>
    <w:rsid w:val="0818412D"/>
    <w:rsid w:val="08B93377"/>
    <w:rsid w:val="08F55D20"/>
    <w:rsid w:val="08F74842"/>
    <w:rsid w:val="092B5F96"/>
    <w:rsid w:val="093E43D5"/>
    <w:rsid w:val="0A21672A"/>
    <w:rsid w:val="0A707854"/>
    <w:rsid w:val="0B1B0CC4"/>
    <w:rsid w:val="0B935630"/>
    <w:rsid w:val="0BBC48D3"/>
    <w:rsid w:val="0BDB587F"/>
    <w:rsid w:val="0BDF3D90"/>
    <w:rsid w:val="0BED7182"/>
    <w:rsid w:val="0C0F0EA7"/>
    <w:rsid w:val="0C2B2187"/>
    <w:rsid w:val="0C5E25D5"/>
    <w:rsid w:val="0CA84FD3"/>
    <w:rsid w:val="0CBB5B8B"/>
    <w:rsid w:val="0D7E5606"/>
    <w:rsid w:val="0DAA3ED2"/>
    <w:rsid w:val="0E413A70"/>
    <w:rsid w:val="0E825B5E"/>
    <w:rsid w:val="0E995783"/>
    <w:rsid w:val="105A7962"/>
    <w:rsid w:val="108A26B0"/>
    <w:rsid w:val="11096801"/>
    <w:rsid w:val="11250330"/>
    <w:rsid w:val="113B2058"/>
    <w:rsid w:val="11C15FB0"/>
    <w:rsid w:val="121A7943"/>
    <w:rsid w:val="12263756"/>
    <w:rsid w:val="122F4065"/>
    <w:rsid w:val="12591626"/>
    <w:rsid w:val="12A9001C"/>
    <w:rsid w:val="13BD455E"/>
    <w:rsid w:val="13DA081E"/>
    <w:rsid w:val="14223741"/>
    <w:rsid w:val="143C503F"/>
    <w:rsid w:val="14702016"/>
    <w:rsid w:val="159E053B"/>
    <w:rsid w:val="183923CC"/>
    <w:rsid w:val="188F2DDB"/>
    <w:rsid w:val="189D00F6"/>
    <w:rsid w:val="1905081B"/>
    <w:rsid w:val="19B27315"/>
    <w:rsid w:val="19B50128"/>
    <w:rsid w:val="1A287679"/>
    <w:rsid w:val="1A43439E"/>
    <w:rsid w:val="1A5302BC"/>
    <w:rsid w:val="1B1F0B0A"/>
    <w:rsid w:val="1B427DC5"/>
    <w:rsid w:val="1BDA123E"/>
    <w:rsid w:val="1C6536FE"/>
    <w:rsid w:val="1CAD6710"/>
    <w:rsid w:val="1CBE39E2"/>
    <w:rsid w:val="1DC7686B"/>
    <w:rsid w:val="1DE37094"/>
    <w:rsid w:val="1DF42BB2"/>
    <w:rsid w:val="1E0A05D9"/>
    <w:rsid w:val="1E192299"/>
    <w:rsid w:val="2008261D"/>
    <w:rsid w:val="205D342E"/>
    <w:rsid w:val="206E6F02"/>
    <w:rsid w:val="22573718"/>
    <w:rsid w:val="226136F6"/>
    <w:rsid w:val="234B10F5"/>
    <w:rsid w:val="24593831"/>
    <w:rsid w:val="250C32D4"/>
    <w:rsid w:val="25637566"/>
    <w:rsid w:val="256945C8"/>
    <w:rsid w:val="25A96658"/>
    <w:rsid w:val="25E023B3"/>
    <w:rsid w:val="25F832BF"/>
    <w:rsid w:val="26785DA9"/>
    <w:rsid w:val="267C5EF5"/>
    <w:rsid w:val="26A8437A"/>
    <w:rsid w:val="26D12FC0"/>
    <w:rsid w:val="26F217CD"/>
    <w:rsid w:val="274A6102"/>
    <w:rsid w:val="282E04AF"/>
    <w:rsid w:val="28465B43"/>
    <w:rsid w:val="28790163"/>
    <w:rsid w:val="28CD627E"/>
    <w:rsid w:val="291908FB"/>
    <w:rsid w:val="2A0A5C85"/>
    <w:rsid w:val="2A321596"/>
    <w:rsid w:val="2A3978F7"/>
    <w:rsid w:val="2A3A5489"/>
    <w:rsid w:val="2A791605"/>
    <w:rsid w:val="2B062899"/>
    <w:rsid w:val="2B563729"/>
    <w:rsid w:val="2BC508DC"/>
    <w:rsid w:val="2BF42E9D"/>
    <w:rsid w:val="2D60377E"/>
    <w:rsid w:val="2D625537"/>
    <w:rsid w:val="2DF65282"/>
    <w:rsid w:val="2E206E6C"/>
    <w:rsid w:val="2E3D31FA"/>
    <w:rsid w:val="2EDE5274"/>
    <w:rsid w:val="2EE9067E"/>
    <w:rsid w:val="2EF912D0"/>
    <w:rsid w:val="2FE547A2"/>
    <w:rsid w:val="2FF80CC3"/>
    <w:rsid w:val="31506C9A"/>
    <w:rsid w:val="31CE5693"/>
    <w:rsid w:val="31F75486"/>
    <w:rsid w:val="325C7890"/>
    <w:rsid w:val="32C37159"/>
    <w:rsid w:val="32DA54BB"/>
    <w:rsid w:val="33011314"/>
    <w:rsid w:val="333B2EA1"/>
    <w:rsid w:val="33853FC1"/>
    <w:rsid w:val="36B62551"/>
    <w:rsid w:val="37090CD6"/>
    <w:rsid w:val="37CB4618"/>
    <w:rsid w:val="37D238D3"/>
    <w:rsid w:val="384C3910"/>
    <w:rsid w:val="3862667F"/>
    <w:rsid w:val="38654816"/>
    <w:rsid w:val="387B6706"/>
    <w:rsid w:val="38993B50"/>
    <w:rsid w:val="393357C5"/>
    <w:rsid w:val="396A6E98"/>
    <w:rsid w:val="3A6058D6"/>
    <w:rsid w:val="3AB939E6"/>
    <w:rsid w:val="3AF90F4C"/>
    <w:rsid w:val="3B6E70E8"/>
    <w:rsid w:val="3B9C785C"/>
    <w:rsid w:val="3BC33E98"/>
    <w:rsid w:val="3BCB3A73"/>
    <w:rsid w:val="3C932C37"/>
    <w:rsid w:val="3D8F6522"/>
    <w:rsid w:val="3D965098"/>
    <w:rsid w:val="3DD206D6"/>
    <w:rsid w:val="3E1375BC"/>
    <w:rsid w:val="3E802A97"/>
    <w:rsid w:val="3EDB4A95"/>
    <w:rsid w:val="3EFF6BE9"/>
    <w:rsid w:val="3F3775E4"/>
    <w:rsid w:val="3F6A0496"/>
    <w:rsid w:val="3F8E1B07"/>
    <w:rsid w:val="3FE51083"/>
    <w:rsid w:val="3FFF200F"/>
    <w:rsid w:val="401818B4"/>
    <w:rsid w:val="40934A80"/>
    <w:rsid w:val="41076015"/>
    <w:rsid w:val="41357278"/>
    <w:rsid w:val="4191369F"/>
    <w:rsid w:val="4205365D"/>
    <w:rsid w:val="42220A0F"/>
    <w:rsid w:val="42947A49"/>
    <w:rsid w:val="42DE0EC0"/>
    <w:rsid w:val="42DF2149"/>
    <w:rsid w:val="42EE49B4"/>
    <w:rsid w:val="431D6BDB"/>
    <w:rsid w:val="444E229E"/>
    <w:rsid w:val="44773462"/>
    <w:rsid w:val="44FE1322"/>
    <w:rsid w:val="453B6B7C"/>
    <w:rsid w:val="45662D6A"/>
    <w:rsid w:val="4570367A"/>
    <w:rsid w:val="458F3F2F"/>
    <w:rsid w:val="47B922BA"/>
    <w:rsid w:val="481B6ADB"/>
    <w:rsid w:val="48900C98"/>
    <w:rsid w:val="48EB00AD"/>
    <w:rsid w:val="49B93111"/>
    <w:rsid w:val="49CF169A"/>
    <w:rsid w:val="4AC544BB"/>
    <w:rsid w:val="4B1F5D09"/>
    <w:rsid w:val="4BBF2155"/>
    <w:rsid w:val="4C1B6FEB"/>
    <w:rsid w:val="4C9246AB"/>
    <w:rsid w:val="4CB64C6B"/>
    <w:rsid w:val="4DE41E5A"/>
    <w:rsid w:val="4E077A90"/>
    <w:rsid w:val="4E0D6869"/>
    <w:rsid w:val="4FC92F74"/>
    <w:rsid w:val="4FE528A4"/>
    <w:rsid w:val="51047446"/>
    <w:rsid w:val="517F39A6"/>
    <w:rsid w:val="51C1782C"/>
    <w:rsid w:val="51F837D1"/>
    <w:rsid w:val="52054A9D"/>
    <w:rsid w:val="52CF5520"/>
    <w:rsid w:val="53BF72F1"/>
    <w:rsid w:val="54C54621"/>
    <w:rsid w:val="54FB3FF7"/>
    <w:rsid w:val="55F751A5"/>
    <w:rsid w:val="563F70BA"/>
    <w:rsid w:val="566775D0"/>
    <w:rsid w:val="56A959EA"/>
    <w:rsid w:val="56F25947"/>
    <w:rsid w:val="57796962"/>
    <w:rsid w:val="57A77F5C"/>
    <w:rsid w:val="57D61909"/>
    <w:rsid w:val="59140247"/>
    <w:rsid w:val="59563081"/>
    <w:rsid w:val="5B173CBE"/>
    <w:rsid w:val="5B28666B"/>
    <w:rsid w:val="5B5309E2"/>
    <w:rsid w:val="5B7E2B2B"/>
    <w:rsid w:val="5C184475"/>
    <w:rsid w:val="5C2F04B3"/>
    <w:rsid w:val="5C433B6E"/>
    <w:rsid w:val="5E1C6C20"/>
    <w:rsid w:val="5E731884"/>
    <w:rsid w:val="5E85179E"/>
    <w:rsid w:val="5E903B0D"/>
    <w:rsid w:val="5F185C8E"/>
    <w:rsid w:val="605E6EDA"/>
    <w:rsid w:val="60680A3A"/>
    <w:rsid w:val="60BB6C1F"/>
    <w:rsid w:val="60DF60FA"/>
    <w:rsid w:val="622F6D22"/>
    <w:rsid w:val="62E22BEB"/>
    <w:rsid w:val="633D16F7"/>
    <w:rsid w:val="63785DBF"/>
    <w:rsid w:val="6402057A"/>
    <w:rsid w:val="645C559A"/>
    <w:rsid w:val="649D15A1"/>
    <w:rsid w:val="64B11C70"/>
    <w:rsid w:val="64EE6C25"/>
    <w:rsid w:val="659D7CC2"/>
    <w:rsid w:val="65B23EF2"/>
    <w:rsid w:val="668734C3"/>
    <w:rsid w:val="669C6524"/>
    <w:rsid w:val="66BC011A"/>
    <w:rsid w:val="673B426B"/>
    <w:rsid w:val="6864524C"/>
    <w:rsid w:val="68C3086F"/>
    <w:rsid w:val="690D79EA"/>
    <w:rsid w:val="69246215"/>
    <w:rsid w:val="692F7B9E"/>
    <w:rsid w:val="6A22078E"/>
    <w:rsid w:val="6A555782"/>
    <w:rsid w:val="6A563204"/>
    <w:rsid w:val="6B8C0D41"/>
    <w:rsid w:val="6B8C547F"/>
    <w:rsid w:val="6BD20172"/>
    <w:rsid w:val="6C1956BC"/>
    <w:rsid w:val="6CD9769F"/>
    <w:rsid w:val="6D167504"/>
    <w:rsid w:val="6D1D2712"/>
    <w:rsid w:val="6D9510D7"/>
    <w:rsid w:val="6DEC3B3F"/>
    <w:rsid w:val="6E255041"/>
    <w:rsid w:val="6E794BCD"/>
    <w:rsid w:val="6FAA4F3F"/>
    <w:rsid w:val="6FE476A3"/>
    <w:rsid w:val="70EA114F"/>
    <w:rsid w:val="71BF3449"/>
    <w:rsid w:val="71E338E5"/>
    <w:rsid w:val="71FB452B"/>
    <w:rsid w:val="725714AD"/>
    <w:rsid w:val="727D3192"/>
    <w:rsid w:val="72DA63FB"/>
    <w:rsid w:val="72DB7FB8"/>
    <w:rsid w:val="731F693F"/>
    <w:rsid w:val="734813A9"/>
    <w:rsid w:val="73A56DC9"/>
    <w:rsid w:val="73E831D5"/>
    <w:rsid w:val="73FB1D56"/>
    <w:rsid w:val="75017085"/>
    <w:rsid w:val="75304351"/>
    <w:rsid w:val="75FB4D1F"/>
    <w:rsid w:val="78241686"/>
    <w:rsid w:val="799C3B90"/>
    <w:rsid w:val="7A2B3800"/>
    <w:rsid w:val="7A50273A"/>
    <w:rsid w:val="7A741675"/>
    <w:rsid w:val="7A887EF9"/>
    <w:rsid w:val="7B050F64"/>
    <w:rsid w:val="7B8472B4"/>
    <w:rsid w:val="7BEE565F"/>
    <w:rsid w:val="7C5E6C17"/>
    <w:rsid w:val="7C6E4CB3"/>
    <w:rsid w:val="7CA4190A"/>
    <w:rsid w:val="7D2C5EE0"/>
    <w:rsid w:val="7D3014EE"/>
    <w:rsid w:val="7D896705"/>
    <w:rsid w:val="7D964715"/>
    <w:rsid w:val="7E664DEE"/>
    <w:rsid w:val="7EC21C85"/>
    <w:rsid w:val="7F9D13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30"/>
    <w:qFormat/>
    <w:uiPriority w:val="0"/>
    <w:pPr>
      <w:spacing w:after="120"/>
    </w:pPr>
    <w:rPr>
      <w:rFonts w:ascii="Times New Roman" w:hAnsi="Times New Roman" w:eastAsia="宋体" w:cs="Times New Roman"/>
      <w:szCs w:val="24"/>
    </w:rPr>
  </w:style>
  <w:style w:type="paragraph" w:styleId="5">
    <w:name w:val="annotation text"/>
    <w:basedOn w:val="1"/>
    <w:link w:val="21"/>
    <w:unhideWhenUsed/>
    <w:qFormat/>
    <w:uiPriority w:val="99"/>
    <w:pPr>
      <w:jc w:val="left"/>
    </w:pPr>
  </w:style>
  <w:style w:type="paragraph" w:styleId="6">
    <w:name w:val="toc 3"/>
    <w:basedOn w:val="1"/>
    <w:next w:val="1"/>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toc 2"/>
    <w:basedOn w:val="1"/>
    <w:next w:val="1"/>
    <w:unhideWhenUsed/>
    <w:qFormat/>
    <w:uiPriority w:val="39"/>
    <w:pPr>
      <w:ind w:left="420" w:leftChars="200"/>
    </w:pPr>
  </w:style>
  <w:style w:type="paragraph" w:styleId="11">
    <w:name w:val="annotation subject"/>
    <w:basedOn w:val="5"/>
    <w:next w:val="5"/>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5"/>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4"/>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2"/>
    <w:qFormat/>
    <w:uiPriority w:val="0"/>
    <w:rPr>
      <w:rFonts w:ascii="Times New Roman" w:hAnsi="Times New Roman" w:eastAsia="宋体" w:cs="Times New Roman"/>
      <w:szCs w:val="24"/>
    </w:rPr>
  </w:style>
  <w:style w:type="character" w:customStyle="1" w:styleId="31">
    <w:name w:val="标题 1 字符"/>
    <w:basedOn w:val="14"/>
    <w:link w:val="3"/>
    <w:qFormat/>
    <w:uiPriority w:val="9"/>
    <w:rPr>
      <w:b/>
      <w:bCs/>
      <w:kern w:val="44"/>
      <w:sz w:val="44"/>
      <w:szCs w:val="44"/>
    </w:rPr>
  </w:style>
  <w:style w:type="paragraph" w:customStyle="1" w:styleId="32">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34">
    <w:name w:val="正文文本11"/>
    <w:basedOn w:val="1"/>
    <w:qFormat/>
    <w:uiPriority w:val="0"/>
    <w:pPr>
      <w:tabs>
        <w:tab w:val="left" w:pos="567"/>
      </w:tabs>
      <w:spacing w:before="120" w:line="22" w:lineRule="atLeast"/>
    </w:pPr>
    <w:rPr>
      <w:rFonts w:ascii="宋体" w:hAnsi="宋体"/>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72</Pages>
  <Words>14170</Words>
  <Characters>14697</Characters>
  <Lines>304</Lines>
  <Paragraphs>85</Paragraphs>
  <TotalTime>2</TotalTime>
  <ScaleCrop>false</ScaleCrop>
  <LinksUpToDate>false</LinksUpToDate>
  <CharactersWithSpaces>14911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2025-07-31T09:10:00Z</dcterms:created>
  <dc:creator>Administrator</dc:creator>
  <cp:lastModifiedBy>代理机构</cp:lastModifiedBy>
  <dcterms:modified xsi:type="dcterms:W3CDTF">2025-09-25T07:41:23Z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eyJoZGlkIjoiYTc4OTRkMGYzMjVjNjBiYzgxYWE5YTExYTA0ZTNjMDgiLCJ1c2VySWQiOiI1MTY5MTQyOTMifQ==</vt:lpwstr>
  </property>
  <property fmtid="{D5CDD505-2E9C-101B-9397-08002B2CF9AE}" pid="3" name="KSOProductBuildVer">
    <vt:lpwstr>2052-12.1.0.22529</vt:lpwstr>
  </property>
  <property fmtid="{D5CDD505-2E9C-101B-9397-08002B2CF9AE}" pid="4" name="ICV">
    <vt:lpwstr>3DFEA3BD7C004D3986E2856EA1EFC50C</vt:lpwstr>
  </property>
</Properties>
</file>