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E6725F">
      <w:pPr>
        <w:spacing w:before="870" w:beforeLines="200" w:after="652" w:afterLines="150" w:line="360" w:lineRule="auto"/>
        <w:jc w:val="center"/>
        <w:rPr>
          <w:rFonts w:ascii="宋体" w:hAnsi="宋体" w:eastAsia="宋体"/>
          <w:b/>
          <w:bCs/>
          <w:snapToGrid w:val="0"/>
          <w:spacing w:val="22"/>
          <w:kern w:val="0"/>
          <w:sz w:val="160"/>
          <w:szCs w:val="160"/>
        </w:rPr>
      </w:pPr>
      <w:r>
        <w:rPr>
          <w:rFonts w:hint="eastAsia" w:ascii="宋体" w:hAnsi="宋体" w:eastAsia="宋体"/>
          <w:b/>
          <w:bCs/>
          <w:snapToGrid w:val="0"/>
          <w:spacing w:val="22"/>
          <w:kern w:val="0"/>
          <w:sz w:val="160"/>
          <w:szCs w:val="160"/>
        </w:rPr>
        <w:t>招标文件</w:t>
      </w:r>
    </w:p>
    <w:p w14:paraId="446CA223">
      <w:pPr>
        <w:spacing w:before="652" w:beforeLines="150" w:after="870" w:afterLines="200" w:line="360" w:lineRule="auto"/>
        <w:jc w:val="center"/>
        <w:rPr>
          <w:rFonts w:ascii="宋体" w:hAnsi="宋体" w:eastAsia="宋体"/>
          <w:b/>
          <w:bCs/>
          <w:snapToGrid w:val="0"/>
          <w:spacing w:val="-20"/>
          <w:kern w:val="0"/>
          <w:sz w:val="100"/>
          <w:szCs w:val="100"/>
        </w:rPr>
      </w:pPr>
      <w:r>
        <w:rPr>
          <w:rFonts w:ascii="宋体" w:hAnsi="宋体" w:eastAsia="宋体"/>
          <w:b/>
          <w:bCs/>
          <w:sz w:val="100"/>
          <w:szCs w:val="100"/>
        </w:rPr>
        <w:drawing>
          <wp:inline distT="0" distB="0" distL="0" distR="0">
            <wp:extent cx="3677920" cy="3597910"/>
            <wp:effectExtent l="0" t="0" r="0" b="2540"/>
            <wp:docPr id="19886490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649082" name="图片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3687511" cy="3606873"/>
                    </a:xfrm>
                    <a:prstGeom prst="rect">
                      <a:avLst/>
                    </a:prstGeom>
                    <a:noFill/>
                    <a:ln>
                      <a:noFill/>
                    </a:ln>
                  </pic:spPr>
                </pic:pic>
              </a:graphicData>
            </a:graphic>
          </wp:inline>
        </w:drawing>
      </w:r>
    </w:p>
    <w:p w14:paraId="1694DFF9">
      <w:pPr>
        <w:pStyle w:val="21"/>
        <w:tabs>
          <w:tab w:val="left" w:pos="9072"/>
        </w:tabs>
        <w:spacing w:line="640" w:lineRule="exact"/>
        <w:ind w:firstLine="826" w:firstLineChars="235"/>
        <w:outlineLvl w:val="3"/>
        <w:rPr>
          <w:rFonts w:hint="default" w:ascii="宋体" w:hAnsi="宋体" w:eastAsia="宋体"/>
          <w:sz w:val="35"/>
          <w:szCs w:val="35"/>
          <w:lang w:eastAsia="zh-CN"/>
        </w:rPr>
      </w:pPr>
      <w:r>
        <w:rPr>
          <w:rFonts w:ascii="宋体" w:hAnsi="宋体" w:eastAsia="宋体"/>
          <w:b/>
          <w:sz w:val="35"/>
          <w:szCs w:val="35"/>
        </w:rPr>
        <w:t>项目编号：ZHDGZC2025010</w:t>
      </w:r>
    </w:p>
    <w:p w14:paraId="68612354">
      <w:pPr>
        <w:pStyle w:val="21"/>
        <w:spacing w:line="640" w:lineRule="exact"/>
        <w:ind w:firstLine="826" w:firstLineChars="235"/>
        <w:outlineLvl w:val="3"/>
        <w:rPr>
          <w:rFonts w:hint="eastAsia" w:ascii="宋体" w:hAnsi="宋体" w:eastAsia="宋体"/>
          <w:sz w:val="35"/>
          <w:szCs w:val="35"/>
          <w:lang w:eastAsia="zh-CN"/>
        </w:rPr>
      </w:pPr>
      <w:r>
        <w:rPr>
          <w:rFonts w:ascii="宋体" w:hAnsi="宋体" w:eastAsia="宋体"/>
          <w:b/>
          <w:sz w:val="35"/>
          <w:szCs w:val="35"/>
        </w:rPr>
        <w:t>项目名称：</w:t>
      </w:r>
      <w:r>
        <w:rPr>
          <w:rFonts w:hint="eastAsia" w:ascii="宋体" w:hAnsi="宋体" w:eastAsia="宋体"/>
          <w:b/>
          <w:sz w:val="35"/>
          <w:szCs w:val="35"/>
          <w:lang w:eastAsia="zh-CN"/>
        </w:rPr>
        <w:t>虎门镇黄村社区环卫保洁服务项目</w:t>
      </w:r>
    </w:p>
    <w:p w14:paraId="71953F7B">
      <w:pPr>
        <w:pStyle w:val="21"/>
        <w:spacing w:line="640" w:lineRule="exact"/>
        <w:ind w:firstLine="826" w:firstLineChars="235"/>
        <w:outlineLvl w:val="3"/>
        <w:rPr>
          <w:rFonts w:hint="default" w:ascii="宋体" w:hAnsi="宋体" w:eastAsia="宋体"/>
          <w:sz w:val="35"/>
          <w:szCs w:val="35"/>
        </w:rPr>
      </w:pPr>
      <w:r>
        <w:rPr>
          <w:rFonts w:ascii="宋体" w:hAnsi="宋体" w:eastAsia="宋体"/>
          <w:b/>
          <w:sz w:val="35"/>
          <w:szCs w:val="35"/>
        </w:rPr>
        <w:t>采</w:t>
      </w:r>
      <w:r>
        <w:rPr>
          <w:rFonts w:ascii="宋体" w:hAnsi="宋体" w:eastAsia="宋体"/>
          <w:b/>
          <w:sz w:val="35"/>
          <w:szCs w:val="35"/>
          <w:lang w:eastAsia="zh-CN"/>
        </w:rPr>
        <w:t xml:space="preserve"> </w:t>
      </w:r>
      <w:r>
        <w:rPr>
          <w:rFonts w:ascii="宋体" w:hAnsi="宋体" w:eastAsia="宋体"/>
          <w:b/>
          <w:sz w:val="35"/>
          <w:szCs w:val="35"/>
        </w:rPr>
        <w:t>购</w:t>
      </w:r>
      <w:r>
        <w:rPr>
          <w:rFonts w:ascii="宋体" w:hAnsi="宋体" w:eastAsia="宋体"/>
          <w:b/>
          <w:sz w:val="35"/>
          <w:szCs w:val="35"/>
          <w:lang w:eastAsia="zh-CN"/>
        </w:rPr>
        <w:t xml:space="preserve"> </w:t>
      </w:r>
      <w:r>
        <w:rPr>
          <w:rFonts w:ascii="宋体" w:hAnsi="宋体" w:eastAsia="宋体"/>
          <w:b/>
          <w:sz w:val="35"/>
          <w:szCs w:val="35"/>
        </w:rPr>
        <w:t>人：</w:t>
      </w:r>
      <w:r>
        <w:rPr>
          <w:rFonts w:ascii="宋体" w:hAnsi="宋体" w:eastAsia="宋体" w:cs="Times New Roman"/>
          <w:b/>
          <w:sz w:val="36"/>
        </w:rPr>
        <w:t>东莞市虎门镇黄村股份经济联合社</w:t>
      </w:r>
    </w:p>
    <w:p w14:paraId="05B13617">
      <w:pPr>
        <w:pStyle w:val="21"/>
        <w:spacing w:line="640" w:lineRule="exact"/>
        <w:ind w:firstLine="826" w:firstLineChars="235"/>
        <w:outlineLvl w:val="3"/>
        <w:rPr>
          <w:rFonts w:hint="default" w:ascii="宋体" w:hAnsi="宋体" w:eastAsia="宋体"/>
          <w:b/>
          <w:sz w:val="36"/>
          <w:szCs w:val="24"/>
          <w:lang w:eastAsia="zh-CN"/>
        </w:rPr>
      </w:pPr>
      <w:r>
        <w:rPr>
          <w:rFonts w:ascii="宋体" w:hAnsi="宋体" w:eastAsia="宋体"/>
          <w:b/>
          <w:sz w:val="35"/>
          <w:szCs w:val="35"/>
        </w:rPr>
        <w:t>采购代理机构：广东智汇城市招标采购有限公司</w:t>
      </w:r>
    </w:p>
    <w:sdt>
      <w:sdtPr>
        <w:rPr>
          <w:rFonts w:asciiTheme="minorHAnsi" w:hAnsiTheme="minorHAnsi" w:eastAsiaTheme="minorEastAsia" w:cstheme="minorBidi"/>
          <w:color w:val="auto"/>
          <w:kern w:val="2"/>
          <w:sz w:val="21"/>
          <w:szCs w:val="22"/>
          <w:lang w:val="zh-CN"/>
        </w:rPr>
        <w:id w:val="781081674"/>
        <w:docPartObj>
          <w:docPartGallery w:val="Table of Contents"/>
          <w:docPartUnique/>
        </w:docPartObj>
      </w:sdtPr>
      <w:sdtEndPr>
        <w:rPr>
          <w:rFonts w:ascii="宋体" w:hAnsi="宋体" w:eastAsia="宋体" w:cstheme="minorBidi"/>
          <w:color w:val="auto"/>
          <w:kern w:val="2"/>
          <w:sz w:val="24"/>
          <w:szCs w:val="24"/>
          <w:lang w:val="zh-CN"/>
        </w:rPr>
      </w:sdtEndPr>
      <w:sdtContent>
        <w:p w14:paraId="06A32D39">
          <w:pPr>
            <w:pStyle w:val="35"/>
            <w:keepNext w:val="0"/>
            <w:keepLines w:val="0"/>
            <w:pageBreakBefore/>
            <w:widowControl w:val="0"/>
            <w:jc w:val="center"/>
            <w:rPr>
              <w:color w:val="auto"/>
            </w:rPr>
          </w:pPr>
          <w:r>
            <w:rPr>
              <w:rFonts w:ascii="宋体" w:hAnsi="宋体" w:eastAsia="宋体"/>
              <w:b/>
              <w:bCs/>
              <w:color w:val="auto"/>
              <w:sz w:val="36"/>
              <w:szCs w:val="36"/>
              <w:lang w:val="zh-CN"/>
            </w:rPr>
            <w:t>目录</w:t>
          </w:r>
        </w:p>
        <w:p w14:paraId="1DB790CF">
          <w:pPr>
            <w:pStyle w:val="11"/>
            <w:tabs>
              <w:tab w:val="right" w:leader="dot" w:pos="9231"/>
            </w:tabs>
            <w:spacing w:line="360" w:lineRule="auto"/>
            <w:ind w:left="419" w:leftChars="68" w:hanging="276" w:hangingChars="115"/>
            <w:rPr>
              <w:rFonts w:ascii="宋体" w:hAnsi="宋体" w:eastAsia="宋体"/>
              <w:sz w:val="24"/>
              <w:szCs w:val="24"/>
              <w14:ligatures w14:val="standardContextual"/>
            </w:rPr>
          </w:pPr>
          <w:r>
            <w:rPr>
              <w:rFonts w:ascii="宋体" w:hAnsi="宋体" w:eastAsia="宋体"/>
              <w:sz w:val="24"/>
              <w:szCs w:val="24"/>
            </w:rPr>
            <w:fldChar w:fldCharType="begin"/>
          </w:r>
          <w:r>
            <w:rPr>
              <w:rFonts w:ascii="宋体" w:hAnsi="宋体" w:eastAsia="宋体"/>
              <w:sz w:val="24"/>
              <w:szCs w:val="24"/>
            </w:rPr>
            <w:instrText xml:space="preserve"> TOC \o "1-3" \h \z \u </w:instrText>
          </w:r>
          <w:r>
            <w:rPr>
              <w:rFonts w:ascii="宋体" w:hAnsi="宋体" w:eastAsia="宋体"/>
              <w:sz w:val="24"/>
              <w:szCs w:val="24"/>
            </w:rPr>
            <w:fldChar w:fldCharType="separate"/>
          </w:r>
          <w:r>
            <w:fldChar w:fldCharType="begin"/>
          </w:r>
          <w:r>
            <w:instrText xml:space="preserve"> HYPERLINK \l "_Toc169807540" </w:instrText>
          </w:r>
          <w:r>
            <w:fldChar w:fldCharType="separate"/>
          </w:r>
          <w:r>
            <w:rPr>
              <w:rStyle w:val="19"/>
              <w:rFonts w:ascii="宋体" w:hAnsi="宋体" w:eastAsia="宋体" w:cs="Times New Roman"/>
              <w:kern w:val="0"/>
              <w:sz w:val="24"/>
              <w:szCs w:val="24"/>
              <w:lang w:eastAsia="zh-Hans"/>
            </w:rPr>
            <w:t>第一章</w:t>
          </w:r>
          <w:r>
            <w:rPr>
              <w:rStyle w:val="19"/>
              <w:rFonts w:ascii="宋体" w:hAnsi="宋体" w:eastAsia="宋体" w:cs="Times New Roman"/>
              <w:kern w:val="0"/>
              <w:sz w:val="24"/>
              <w:szCs w:val="24"/>
            </w:rPr>
            <w:t xml:space="preserve"> </w:t>
          </w:r>
          <w:r>
            <w:rPr>
              <w:rStyle w:val="19"/>
              <w:rFonts w:ascii="宋体" w:hAnsi="宋体" w:eastAsia="宋体" w:cs="Times New Roman"/>
              <w:kern w:val="0"/>
              <w:sz w:val="24"/>
              <w:szCs w:val="24"/>
              <w:lang w:eastAsia="zh-Hans"/>
            </w:rPr>
            <w:t>投标邀请</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_Toc169807540 \h </w:instrText>
          </w:r>
          <w:r>
            <w:rPr>
              <w:rFonts w:ascii="宋体" w:hAnsi="宋体" w:eastAsia="宋体"/>
              <w:sz w:val="24"/>
              <w:szCs w:val="24"/>
            </w:rPr>
            <w:fldChar w:fldCharType="separate"/>
          </w:r>
          <w:r>
            <w:rPr>
              <w:rFonts w:ascii="宋体" w:hAnsi="宋体" w:eastAsia="宋体"/>
              <w:sz w:val="24"/>
              <w:szCs w:val="24"/>
            </w:rPr>
            <w:t>2</w:t>
          </w:r>
          <w:r>
            <w:rPr>
              <w:rFonts w:ascii="宋体" w:hAnsi="宋体" w:eastAsia="宋体"/>
              <w:sz w:val="24"/>
              <w:szCs w:val="24"/>
            </w:rPr>
            <w:fldChar w:fldCharType="end"/>
          </w:r>
          <w:r>
            <w:rPr>
              <w:rFonts w:ascii="宋体" w:hAnsi="宋体" w:eastAsia="宋体"/>
              <w:sz w:val="24"/>
              <w:szCs w:val="24"/>
            </w:rPr>
            <w:fldChar w:fldCharType="end"/>
          </w:r>
        </w:p>
        <w:p w14:paraId="263B132B">
          <w:pPr>
            <w:pStyle w:val="11"/>
            <w:tabs>
              <w:tab w:val="right" w:leader="dot" w:pos="9231"/>
            </w:tabs>
            <w:spacing w:line="360" w:lineRule="auto"/>
            <w:ind w:left="384" w:leftChars="68" w:hanging="241" w:hangingChars="115"/>
            <w:rPr>
              <w:rFonts w:ascii="宋体" w:hAnsi="宋体" w:eastAsia="宋体"/>
              <w:sz w:val="24"/>
              <w:szCs w:val="24"/>
              <w14:ligatures w14:val="standardContextual"/>
            </w:rPr>
          </w:pPr>
          <w:r>
            <w:fldChar w:fldCharType="begin"/>
          </w:r>
          <w:r>
            <w:instrText xml:space="preserve"> HYPERLINK \l "_Toc169807541" </w:instrText>
          </w:r>
          <w:r>
            <w:fldChar w:fldCharType="separate"/>
          </w:r>
          <w:r>
            <w:rPr>
              <w:rStyle w:val="19"/>
              <w:rFonts w:ascii="宋体" w:hAnsi="宋体" w:eastAsia="宋体" w:cs="Times New Roman"/>
              <w:kern w:val="0"/>
              <w:sz w:val="24"/>
              <w:szCs w:val="24"/>
              <w:lang w:eastAsia="zh-Hans"/>
            </w:rPr>
            <w:t>第二章 采购需求</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_Toc169807541 \h </w:instrText>
          </w:r>
          <w:r>
            <w:rPr>
              <w:rFonts w:ascii="宋体" w:hAnsi="宋体" w:eastAsia="宋体"/>
              <w:sz w:val="24"/>
              <w:szCs w:val="24"/>
            </w:rPr>
            <w:fldChar w:fldCharType="separate"/>
          </w:r>
          <w:r>
            <w:rPr>
              <w:rFonts w:ascii="宋体" w:hAnsi="宋体" w:eastAsia="宋体"/>
              <w:sz w:val="24"/>
              <w:szCs w:val="24"/>
            </w:rPr>
            <w:t>6</w:t>
          </w:r>
          <w:r>
            <w:rPr>
              <w:rFonts w:ascii="宋体" w:hAnsi="宋体" w:eastAsia="宋体"/>
              <w:sz w:val="24"/>
              <w:szCs w:val="24"/>
            </w:rPr>
            <w:fldChar w:fldCharType="end"/>
          </w:r>
          <w:r>
            <w:rPr>
              <w:rFonts w:ascii="宋体" w:hAnsi="宋体" w:eastAsia="宋体"/>
              <w:sz w:val="24"/>
              <w:szCs w:val="24"/>
            </w:rPr>
            <w:fldChar w:fldCharType="end"/>
          </w:r>
        </w:p>
        <w:p w14:paraId="435B146A">
          <w:pPr>
            <w:pStyle w:val="11"/>
            <w:tabs>
              <w:tab w:val="right" w:leader="dot" w:pos="9231"/>
            </w:tabs>
            <w:spacing w:line="360" w:lineRule="auto"/>
            <w:ind w:left="384" w:leftChars="68" w:hanging="241" w:hangingChars="115"/>
            <w:rPr>
              <w:rFonts w:ascii="宋体" w:hAnsi="宋体" w:eastAsia="宋体"/>
              <w:sz w:val="24"/>
              <w:szCs w:val="24"/>
              <w14:ligatures w14:val="standardContextual"/>
            </w:rPr>
          </w:pPr>
          <w:r>
            <w:fldChar w:fldCharType="begin"/>
          </w:r>
          <w:r>
            <w:instrText xml:space="preserve"> HYPERLINK \l "_Toc169807542" </w:instrText>
          </w:r>
          <w:r>
            <w:fldChar w:fldCharType="separate"/>
          </w:r>
          <w:r>
            <w:rPr>
              <w:rStyle w:val="19"/>
              <w:rFonts w:ascii="宋体" w:hAnsi="宋体" w:eastAsia="宋体" w:cs="Times New Roman"/>
              <w:kern w:val="0"/>
              <w:sz w:val="24"/>
              <w:szCs w:val="24"/>
              <w:lang w:eastAsia="zh-Hans"/>
            </w:rPr>
            <w:t>第三章 投标人须知</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_Toc169807542 \h </w:instrText>
          </w:r>
          <w:r>
            <w:rPr>
              <w:rFonts w:ascii="宋体" w:hAnsi="宋体" w:eastAsia="宋体"/>
              <w:sz w:val="24"/>
              <w:szCs w:val="24"/>
            </w:rPr>
            <w:fldChar w:fldCharType="separate"/>
          </w:r>
          <w:r>
            <w:rPr>
              <w:rFonts w:ascii="宋体" w:hAnsi="宋体" w:eastAsia="宋体"/>
              <w:sz w:val="24"/>
              <w:szCs w:val="24"/>
            </w:rPr>
            <w:t>25</w:t>
          </w:r>
          <w:r>
            <w:rPr>
              <w:rFonts w:ascii="宋体" w:hAnsi="宋体" w:eastAsia="宋体"/>
              <w:sz w:val="24"/>
              <w:szCs w:val="24"/>
            </w:rPr>
            <w:fldChar w:fldCharType="end"/>
          </w:r>
          <w:r>
            <w:rPr>
              <w:rFonts w:ascii="宋体" w:hAnsi="宋体" w:eastAsia="宋体"/>
              <w:sz w:val="24"/>
              <w:szCs w:val="24"/>
            </w:rPr>
            <w:fldChar w:fldCharType="end"/>
          </w:r>
        </w:p>
        <w:p w14:paraId="182AFE67">
          <w:pPr>
            <w:pStyle w:val="11"/>
            <w:tabs>
              <w:tab w:val="right" w:leader="dot" w:pos="9231"/>
            </w:tabs>
            <w:spacing w:line="360" w:lineRule="auto"/>
            <w:ind w:left="384" w:leftChars="68" w:hanging="241" w:hangingChars="115"/>
            <w:rPr>
              <w:rFonts w:ascii="宋体" w:hAnsi="宋体" w:eastAsia="宋体"/>
              <w:sz w:val="24"/>
              <w:szCs w:val="24"/>
              <w14:ligatures w14:val="standardContextual"/>
            </w:rPr>
          </w:pPr>
          <w:r>
            <w:fldChar w:fldCharType="begin"/>
          </w:r>
          <w:r>
            <w:instrText xml:space="preserve"> HYPERLINK \l "_Toc169807543" </w:instrText>
          </w:r>
          <w:r>
            <w:fldChar w:fldCharType="separate"/>
          </w:r>
          <w:r>
            <w:rPr>
              <w:rStyle w:val="19"/>
              <w:rFonts w:ascii="宋体" w:hAnsi="宋体" w:eastAsia="宋体" w:cs="Times New Roman"/>
              <w:kern w:val="0"/>
              <w:sz w:val="24"/>
              <w:szCs w:val="24"/>
              <w:lang w:eastAsia="zh-Hans"/>
            </w:rPr>
            <w:t>第四章 评标</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_Toc169807543 \h </w:instrText>
          </w:r>
          <w:r>
            <w:rPr>
              <w:rFonts w:ascii="宋体" w:hAnsi="宋体" w:eastAsia="宋体"/>
              <w:sz w:val="24"/>
              <w:szCs w:val="24"/>
            </w:rPr>
            <w:fldChar w:fldCharType="separate"/>
          </w:r>
          <w:r>
            <w:rPr>
              <w:rFonts w:ascii="宋体" w:hAnsi="宋体" w:eastAsia="宋体"/>
              <w:sz w:val="24"/>
              <w:szCs w:val="24"/>
            </w:rPr>
            <w:t>36</w:t>
          </w:r>
          <w:r>
            <w:rPr>
              <w:rFonts w:ascii="宋体" w:hAnsi="宋体" w:eastAsia="宋体"/>
              <w:sz w:val="24"/>
              <w:szCs w:val="24"/>
            </w:rPr>
            <w:fldChar w:fldCharType="end"/>
          </w:r>
          <w:r>
            <w:rPr>
              <w:rFonts w:ascii="宋体" w:hAnsi="宋体" w:eastAsia="宋体"/>
              <w:sz w:val="24"/>
              <w:szCs w:val="24"/>
            </w:rPr>
            <w:fldChar w:fldCharType="end"/>
          </w:r>
        </w:p>
        <w:p w14:paraId="446E6B5E">
          <w:pPr>
            <w:pStyle w:val="11"/>
            <w:tabs>
              <w:tab w:val="right" w:leader="dot" w:pos="9231"/>
            </w:tabs>
            <w:spacing w:line="360" w:lineRule="auto"/>
            <w:ind w:left="384" w:leftChars="68" w:hanging="241" w:hangingChars="115"/>
            <w:rPr>
              <w:rFonts w:ascii="宋体" w:hAnsi="宋体" w:eastAsia="宋体"/>
              <w:sz w:val="24"/>
              <w:szCs w:val="24"/>
              <w14:ligatures w14:val="standardContextual"/>
            </w:rPr>
          </w:pPr>
          <w:r>
            <w:fldChar w:fldCharType="begin"/>
          </w:r>
          <w:r>
            <w:instrText xml:space="preserve"> HYPERLINK \l "_Toc169807544" </w:instrText>
          </w:r>
          <w:r>
            <w:fldChar w:fldCharType="separate"/>
          </w:r>
          <w:r>
            <w:rPr>
              <w:rStyle w:val="19"/>
              <w:rFonts w:ascii="宋体" w:hAnsi="宋体" w:eastAsia="宋体" w:cs="Times New Roman"/>
              <w:kern w:val="0"/>
              <w:sz w:val="24"/>
              <w:szCs w:val="24"/>
              <w:lang w:eastAsia="zh-Hans"/>
            </w:rPr>
            <w:t>第五章 合同文本</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_Toc169807544 \h </w:instrText>
          </w:r>
          <w:r>
            <w:rPr>
              <w:rFonts w:ascii="宋体" w:hAnsi="宋体" w:eastAsia="宋体"/>
              <w:sz w:val="24"/>
              <w:szCs w:val="24"/>
            </w:rPr>
            <w:fldChar w:fldCharType="separate"/>
          </w:r>
          <w:r>
            <w:rPr>
              <w:rFonts w:ascii="宋体" w:hAnsi="宋体" w:eastAsia="宋体"/>
              <w:sz w:val="24"/>
              <w:szCs w:val="24"/>
            </w:rPr>
            <w:t>46</w:t>
          </w:r>
          <w:r>
            <w:rPr>
              <w:rFonts w:ascii="宋体" w:hAnsi="宋体" w:eastAsia="宋体"/>
              <w:sz w:val="24"/>
              <w:szCs w:val="24"/>
            </w:rPr>
            <w:fldChar w:fldCharType="end"/>
          </w:r>
          <w:r>
            <w:rPr>
              <w:rFonts w:ascii="宋体" w:hAnsi="宋体" w:eastAsia="宋体"/>
              <w:sz w:val="24"/>
              <w:szCs w:val="24"/>
            </w:rPr>
            <w:fldChar w:fldCharType="end"/>
          </w:r>
        </w:p>
        <w:p w14:paraId="5B19C698">
          <w:pPr>
            <w:pStyle w:val="11"/>
            <w:tabs>
              <w:tab w:val="right" w:leader="dot" w:pos="9231"/>
            </w:tabs>
            <w:spacing w:line="360" w:lineRule="auto"/>
            <w:ind w:left="384" w:leftChars="68" w:hanging="241" w:hangingChars="115"/>
            <w:rPr>
              <w:rFonts w:ascii="宋体" w:hAnsi="宋体" w:eastAsia="宋体"/>
              <w:sz w:val="24"/>
              <w:szCs w:val="24"/>
              <w14:ligatures w14:val="standardContextual"/>
            </w:rPr>
          </w:pPr>
          <w:r>
            <w:fldChar w:fldCharType="begin"/>
          </w:r>
          <w:r>
            <w:instrText xml:space="preserve"> HYPERLINK \l "_Toc169807545" </w:instrText>
          </w:r>
          <w:r>
            <w:fldChar w:fldCharType="separate"/>
          </w:r>
          <w:r>
            <w:rPr>
              <w:rStyle w:val="19"/>
              <w:rFonts w:ascii="宋体" w:hAnsi="宋体" w:eastAsia="宋体" w:cs="Times New Roman"/>
              <w:kern w:val="0"/>
              <w:sz w:val="24"/>
              <w:szCs w:val="24"/>
              <w:lang w:eastAsia="zh-Hans"/>
            </w:rPr>
            <w:t>第六章 投标文件格式</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_Toc169807545 \h </w:instrText>
          </w:r>
          <w:r>
            <w:rPr>
              <w:rFonts w:ascii="宋体" w:hAnsi="宋体" w:eastAsia="宋体"/>
              <w:sz w:val="24"/>
              <w:szCs w:val="24"/>
            </w:rPr>
            <w:fldChar w:fldCharType="separate"/>
          </w:r>
          <w:r>
            <w:rPr>
              <w:rFonts w:ascii="宋体" w:hAnsi="宋体" w:eastAsia="宋体"/>
              <w:sz w:val="24"/>
              <w:szCs w:val="24"/>
            </w:rPr>
            <w:t>46</w:t>
          </w:r>
          <w:r>
            <w:rPr>
              <w:rFonts w:ascii="宋体" w:hAnsi="宋体" w:eastAsia="宋体"/>
              <w:sz w:val="24"/>
              <w:szCs w:val="24"/>
            </w:rPr>
            <w:fldChar w:fldCharType="end"/>
          </w:r>
          <w:r>
            <w:rPr>
              <w:rFonts w:ascii="宋体" w:hAnsi="宋体" w:eastAsia="宋体"/>
              <w:sz w:val="24"/>
              <w:szCs w:val="24"/>
            </w:rPr>
            <w:fldChar w:fldCharType="end"/>
          </w:r>
        </w:p>
        <w:p w14:paraId="3D0AA173">
          <w:pPr>
            <w:rPr>
              <w:rFonts w:ascii="宋体" w:hAnsi="宋体" w:eastAsia="宋体"/>
              <w:sz w:val="24"/>
              <w:szCs w:val="24"/>
            </w:rPr>
          </w:pPr>
          <w:r>
            <w:rPr>
              <w:rFonts w:ascii="宋体" w:hAnsi="宋体" w:eastAsia="宋体"/>
              <w:sz w:val="24"/>
              <w:szCs w:val="24"/>
              <w:lang w:val="zh-CN"/>
            </w:rPr>
            <w:fldChar w:fldCharType="end"/>
          </w:r>
        </w:p>
      </w:sdtContent>
    </w:sdt>
    <w:p w14:paraId="42670E7A">
      <w:pPr>
        <w:pStyle w:val="21"/>
        <w:outlineLvl w:val="3"/>
        <w:rPr>
          <w:rFonts w:hint="default" w:ascii="宋体" w:hAnsi="宋体" w:eastAsia="宋体"/>
          <w:sz w:val="24"/>
          <w:szCs w:val="24"/>
          <w:lang w:eastAsia="zh-CN"/>
        </w:rPr>
      </w:pPr>
    </w:p>
    <w:p w14:paraId="7C734534">
      <w:pPr>
        <w:pStyle w:val="21"/>
        <w:rPr>
          <w:rFonts w:hint="default" w:ascii="宋体" w:hAnsi="宋体" w:eastAsia="宋体"/>
          <w:lang w:eastAsia="zh-CN"/>
        </w:rPr>
      </w:pPr>
    </w:p>
    <w:p w14:paraId="3FDBEE04">
      <w:pPr>
        <w:pageBreakBefore/>
        <w:jc w:val="center"/>
        <w:outlineLvl w:val="1"/>
        <w:rPr>
          <w:rFonts w:ascii="Calibri" w:hAnsi="Calibri" w:eastAsia="宋体" w:cs="Times New Roman"/>
          <w:color w:val="auto"/>
          <w:kern w:val="0"/>
          <w:sz w:val="20"/>
          <w:szCs w:val="20"/>
          <w:lang w:eastAsia="zh-Hans"/>
        </w:rPr>
      </w:pPr>
      <w:bookmarkStart w:id="0" w:name="_Toc169799778"/>
      <w:bookmarkStart w:id="1" w:name="_Toc169807540"/>
      <w:r>
        <w:rPr>
          <w:rFonts w:ascii="Calibri" w:hAnsi="Calibri" w:eastAsia="宋体" w:cs="Times New Roman"/>
          <w:b/>
          <w:color w:val="auto"/>
          <w:kern w:val="0"/>
          <w:sz w:val="36"/>
          <w:szCs w:val="20"/>
          <w:lang w:eastAsia="zh-Hans"/>
        </w:rPr>
        <w:t>第一章</w:t>
      </w:r>
      <w:r>
        <w:rPr>
          <w:rFonts w:hint="eastAsia" w:ascii="Calibri" w:hAnsi="Calibri" w:eastAsia="宋体" w:cs="Times New Roman"/>
          <w:b/>
          <w:color w:val="auto"/>
          <w:kern w:val="0"/>
          <w:sz w:val="36"/>
          <w:szCs w:val="20"/>
        </w:rPr>
        <w:t xml:space="preserve"> </w:t>
      </w:r>
      <w:r>
        <w:rPr>
          <w:rFonts w:ascii="Calibri" w:hAnsi="Calibri" w:eastAsia="宋体" w:cs="Times New Roman"/>
          <w:b/>
          <w:color w:val="auto"/>
          <w:kern w:val="0"/>
          <w:sz w:val="36"/>
          <w:szCs w:val="20"/>
          <w:lang w:eastAsia="zh-Hans"/>
        </w:rPr>
        <w:t>投标邀请</w:t>
      </w:r>
      <w:bookmarkEnd w:id="0"/>
      <w:bookmarkEnd w:id="1"/>
    </w:p>
    <w:p w14:paraId="7346F0A2">
      <w:pPr>
        <w:widowControl/>
        <w:ind w:firstLine="420" w:firstLineChars="200"/>
        <w:jc w:val="left"/>
        <w:rPr>
          <w:rFonts w:ascii="宋体" w:hAnsi="宋体" w:eastAsia="宋体" w:cs="Times New Roman"/>
          <w:color w:val="auto"/>
          <w:kern w:val="0"/>
          <w:szCs w:val="21"/>
          <w:lang w:eastAsia="zh-Hans"/>
        </w:rPr>
      </w:pPr>
      <w:r>
        <w:rPr>
          <w:rFonts w:hint="eastAsia" w:ascii="宋体" w:hAnsi="宋体" w:eastAsia="宋体" w:cs="Times New Roman"/>
          <w:color w:val="auto"/>
          <w:kern w:val="0"/>
          <w:szCs w:val="21"/>
          <w:u w:val="single"/>
        </w:rPr>
        <w:t>（虎门镇黄村社区环卫保洁服务项目）</w:t>
      </w:r>
      <w:r>
        <w:rPr>
          <w:rFonts w:ascii="宋体" w:hAnsi="宋体" w:eastAsia="宋体" w:cs="Times New Roman"/>
          <w:color w:val="auto"/>
          <w:kern w:val="0"/>
          <w:szCs w:val="21"/>
          <w:lang w:eastAsia="zh-Hans"/>
        </w:rPr>
        <w:t>招标项目的潜在投标人应在</w:t>
      </w:r>
      <w:r>
        <w:rPr>
          <w:rFonts w:hint="eastAsia" w:ascii="宋体" w:hAnsi="宋体" w:eastAsia="宋体" w:cs="Times New Roman"/>
          <w:color w:val="auto"/>
          <w:kern w:val="0"/>
          <w:szCs w:val="21"/>
          <w:lang w:eastAsia="zh-CN"/>
        </w:rPr>
        <w:t>东莞市南城街道雅园产业园区路5号1栋1楼</w:t>
      </w:r>
      <w:r>
        <w:rPr>
          <w:rFonts w:ascii="宋体" w:hAnsi="宋体" w:eastAsia="宋体" w:cs="Times New Roman"/>
          <w:color w:val="auto"/>
          <w:kern w:val="0"/>
          <w:szCs w:val="21"/>
          <w:lang w:eastAsia="zh-Hans"/>
        </w:rPr>
        <w:t>进行获取或微信搜索公众号“广东智汇城市</w:t>
      </w:r>
      <w:r>
        <w:rPr>
          <w:rFonts w:hint="eastAsia" w:ascii="宋体" w:hAnsi="宋体" w:eastAsia="宋体" w:cs="Times New Roman"/>
          <w:color w:val="auto"/>
          <w:kern w:val="0"/>
          <w:szCs w:val="21"/>
          <w:lang w:eastAsia="zh-Hans"/>
        </w:rPr>
        <w:t>招标采购有限公司</w:t>
      </w:r>
      <w:r>
        <w:rPr>
          <w:rFonts w:ascii="宋体" w:hAnsi="宋体" w:eastAsia="宋体" w:cs="Times New Roman"/>
          <w:color w:val="auto"/>
          <w:kern w:val="0"/>
          <w:szCs w:val="21"/>
          <w:lang w:eastAsia="zh-Hans"/>
        </w:rPr>
        <w:t>”获取招标文件，并于</w:t>
      </w:r>
      <w:r>
        <w:rPr>
          <w:rFonts w:hint="eastAsia" w:ascii="宋体" w:hAnsi="宋体" w:eastAsia="宋体" w:cs="Times New Roman"/>
          <w:color w:val="auto"/>
          <w:kern w:val="0"/>
          <w:szCs w:val="21"/>
          <w:lang w:val="en-US" w:eastAsia="zh-CN"/>
        </w:rPr>
        <w:t>2025</w:t>
      </w:r>
      <w:r>
        <w:rPr>
          <w:rFonts w:ascii="宋体" w:hAnsi="宋体" w:eastAsia="宋体" w:cs="Times New Roman"/>
          <w:color w:val="auto"/>
          <w:kern w:val="0"/>
          <w:szCs w:val="21"/>
          <w:lang w:eastAsia="zh-Hans"/>
        </w:rPr>
        <w:t>年</w:t>
      </w:r>
      <w:r>
        <w:rPr>
          <w:rFonts w:hint="eastAsia" w:ascii="宋体" w:hAnsi="宋体" w:eastAsia="宋体" w:cs="Times New Roman"/>
          <w:color w:val="auto"/>
          <w:kern w:val="0"/>
          <w:szCs w:val="21"/>
          <w:lang w:val="en-US" w:eastAsia="zh-CN"/>
        </w:rPr>
        <w:t>06</w:t>
      </w:r>
      <w:r>
        <w:rPr>
          <w:rFonts w:ascii="宋体" w:hAnsi="宋体" w:eastAsia="宋体" w:cs="Times New Roman"/>
          <w:color w:val="auto"/>
          <w:kern w:val="0"/>
          <w:szCs w:val="21"/>
          <w:lang w:eastAsia="zh-Hans"/>
        </w:rPr>
        <w:t>月</w:t>
      </w:r>
      <w:r>
        <w:rPr>
          <w:rFonts w:hint="eastAsia" w:ascii="宋体" w:hAnsi="宋体" w:eastAsia="宋体" w:cs="Times New Roman"/>
          <w:color w:val="auto"/>
          <w:kern w:val="0"/>
          <w:szCs w:val="21"/>
          <w:lang w:val="en-US" w:eastAsia="zh-CN"/>
        </w:rPr>
        <w:t>11</w:t>
      </w:r>
      <w:r>
        <w:rPr>
          <w:rFonts w:ascii="宋体" w:hAnsi="宋体" w:eastAsia="宋体" w:cs="Times New Roman"/>
          <w:color w:val="auto"/>
          <w:kern w:val="0"/>
          <w:szCs w:val="21"/>
          <w:lang w:eastAsia="zh-Hans"/>
        </w:rPr>
        <w:t>日</w:t>
      </w:r>
      <w:r>
        <w:rPr>
          <w:rFonts w:hint="eastAsia" w:ascii="宋体" w:hAnsi="宋体" w:eastAsia="宋体" w:cs="Times New Roman"/>
          <w:color w:val="auto"/>
          <w:kern w:val="0"/>
          <w:szCs w:val="21"/>
          <w:lang w:val="en-US" w:eastAsia="zh-CN"/>
        </w:rPr>
        <w:t>10</w:t>
      </w:r>
      <w:r>
        <w:rPr>
          <w:rFonts w:ascii="宋体" w:hAnsi="宋体" w:eastAsia="宋体" w:cs="Times New Roman"/>
          <w:color w:val="auto"/>
          <w:kern w:val="0"/>
          <w:szCs w:val="21"/>
          <w:lang w:eastAsia="zh-Hans"/>
        </w:rPr>
        <w:t>点</w:t>
      </w:r>
      <w:r>
        <w:rPr>
          <w:rFonts w:hint="eastAsia" w:ascii="宋体" w:hAnsi="宋体" w:eastAsia="宋体" w:cs="Times New Roman"/>
          <w:color w:val="auto"/>
          <w:kern w:val="0"/>
          <w:szCs w:val="21"/>
          <w:lang w:val="en-US" w:eastAsia="zh-CN"/>
        </w:rPr>
        <w:t>00</w:t>
      </w:r>
      <w:r>
        <w:rPr>
          <w:rFonts w:ascii="宋体" w:hAnsi="宋体" w:eastAsia="宋体" w:cs="Times New Roman"/>
          <w:color w:val="auto"/>
          <w:kern w:val="0"/>
          <w:szCs w:val="21"/>
          <w:lang w:eastAsia="zh-Hans"/>
        </w:rPr>
        <w:t>分（北京时间）前递交投标文件。</w:t>
      </w:r>
    </w:p>
    <w:p w14:paraId="038A673F">
      <w:pPr>
        <w:spacing w:before="217" w:beforeLines="50"/>
        <w:rPr>
          <w:rFonts w:ascii="宋体" w:hAnsi="宋体" w:eastAsia="宋体" w:cs="Times New Roman"/>
          <w:color w:val="auto"/>
          <w:kern w:val="0"/>
          <w:szCs w:val="21"/>
          <w:lang w:eastAsia="zh-Hans"/>
        </w:rPr>
      </w:pPr>
      <w:r>
        <w:rPr>
          <w:rFonts w:ascii="宋体" w:hAnsi="宋体" w:eastAsia="宋体" w:cs="Times New Roman"/>
          <w:b/>
          <w:color w:val="auto"/>
          <w:kern w:val="0"/>
          <w:sz w:val="24"/>
          <w:szCs w:val="24"/>
          <w:lang w:eastAsia="zh-Hans"/>
        </w:rPr>
        <w:t>一</w:t>
      </w:r>
      <w:r>
        <w:rPr>
          <w:rFonts w:hint="eastAsia" w:ascii="宋体" w:hAnsi="宋体" w:eastAsia="宋体" w:cs="Times New Roman"/>
          <w:b/>
          <w:color w:val="auto"/>
          <w:kern w:val="0"/>
          <w:sz w:val="24"/>
          <w:szCs w:val="24"/>
          <w:lang w:eastAsia="zh-Hans"/>
        </w:rPr>
        <w:t>、项目基本情况</w:t>
      </w:r>
    </w:p>
    <w:p w14:paraId="6FA7A10B">
      <w:pPr>
        <w:pStyle w:val="27"/>
        <w:widowControl/>
        <w:numPr>
          <w:ilvl w:val="0"/>
          <w:numId w:val="1"/>
        </w:numPr>
        <w:ind w:left="284" w:hanging="284"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名称与编号</w:t>
      </w:r>
    </w:p>
    <w:p w14:paraId="7F91CC8D">
      <w:pPr>
        <w:widowControl/>
        <w:jc w:val="left"/>
        <w:rPr>
          <w:rFonts w:ascii="宋体" w:hAnsi="宋体" w:eastAsia="宋体" w:cs="Times New Roman"/>
          <w:color w:val="auto"/>
          <w:kern w:val="0"/>
          <w:szCs w:val="21"/>
        </w:rPr>
      </w:pPr>
      <w:r>
        <w:rPr>
          <w:rFonts w:hint="eastAsia" w:ascii="宋体" w:hAnsi="宋体" w:eastAsia="宋体" w:cs="Times New Roman"/>
          <w:color w:val="auto"/>
          <w:kern w:val="0"/>
          <w:szCs w:val="21"/>
        </w:rPr>
        <w:t>项目编号：ZHDGZC2025010</w:t>
      </w:r>
    </w:p>
    <w:p w14:paraId="0CDA15F1">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项目名称：虎门镇黄村社区环卫保洁服务项目</w:t>
      </w:r>
    </w:p>
    <w:p w14:paraId="7DC2237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lang w:eastAsia="zh-Hans"/>
        </w:rPr>
        <w:t>采购方式：公开</w:t>
      </w:r>
      <w:r>
        <w:rPr>
          <w:rFonts w:ascii="宋体" w:hAnsi="宋体" w:eastAsia="宋体" w:cs="Times New Roman"/>
          <w:color w:val="auto"/>
          <w:kern w:val="0"/>
          <w:szCs w:val="21"/>
          <w:highlight w:val="none"/>
          <w:lang w:eastAsia="zh-Hans"/>
        </w:rPr>
        <w:t>招标</w:t>
      </w:r>
    </w:p>
    <w:p w14:paraId="1BD84881">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预算金额：</w:t>
      </w:r>
      <w:r>
        <w:rPr>
          <w:rFonts w:hint="eastAsia"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val="en-US" w:eastAsia="zh-CN"/>
        </w:rPr>
        <w:t>4,789,970.40</w:t>
      </w:r>
      <w:r>
        <w:rPr>
          <w:rFonts w:ascii="宋体" w:hAnsi="宋体" w:eastAsia="宋体" w:cs="Times New Roman"/>
          <w:color w:val="auto"/>
          <w:kern w:val="0"/>
          <w:szCs w:val="21"/>
          <w:highlight w:val="none"/>
          <w:lang w:eastAsia="zh-Hans"/>
        </w:rPr>
        <w:t>元</w:t>
      </w:r>
    </w:p>
    <w:p w14:paraId="53624B76">
      <w:pPr>
        <w:pStyle w:val="27"/>
        <w:widowControl/>
        <w:numPr>
          <w:ilvl w:val="0"/>
          <w:numId w:val="1"/>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采购需求:</w:t>
      </w:r>
      <w:r>
        <w:rPr>
          <w:rFonts w:ascii="宋体" w:hAnsi="宋体" w:eastAsia="宋体" w:cs="Times New Roman"/>
          <w:color w:val="auto"/>
          <w:kern w:val="0"/>
          <w:szCs w:val="21"/>
          <w:highlight w:val="none"/>
          <w:lang w:eastAsia="zh-Hans"/>
        </w:rPr>
        <w:t xml:space="preserve"> </w:t>
      </w:r>
    </w:p>
    <w:tbl>
      <w:tblPr>
        <w:tblStyle w:val="14"/>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6"/>
        <w:gridCol w:w="1757"/>
        <w:gridCol w:w="2006"/>
        <w:gridCol w:w="1757"/>
        <w:gridCol w:w="3008"/>
      </w:tblGrid>
      <w:tr w14:paraId="52E9C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407" w:type="pct"/>
            <w:vAlign w:val="center"/>
          </w:tcPr>
          <w:p w14:paraId="427A8EC7">
            <w:pPr>
              <w:widowControl/>
              <w:jc w:val="center"/>
              <w:rPr>
                <w:rFonts w:hint="eastAsia" w:ascii="宋体" w:hAnsi="宋体" w:eastAsia="宋体" w:cs="宋体"/>
                <w:color w:val="auto"/>
                <w:kern w:val="0"/>
                <w:sz w:val="21"/>
                <w:szCs w:val="21"/>
              </w:rPr>
            </w:pPr>
            <w:bookmarkStart w:id="78" w:name="_GoBack"/>
            <w:r>
              <w:rPr>
                <w:rFonts w:hint="eastAsia" w:ascii="宋体" w:hAnsi="宋体" w:eastAsia="宋体" w:cs="宋体"/>
                <w:color w:val="auto"/>
                <w:kern w:val="0"/>
                <w:sz w:val="21"/>
                <w:szCs w:val="21"/>
              </w:rPr>
              <w:t>序号</w:t>
            </w:r>
          </w:p>
        </w:tc>
        <w:tc>
          <w:tcPr>
            <w:tcW w:w="946" w:type="pct"/>
            <w:vAlign w:val="center"/>
          </w:tcPr>
          <w:p w14:paraId="72C4323F">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标的名称</w:t>
            </w:r>
          </w:p>
        </w:tc>
        <w:tc>
          <w:tcPr>
            <w:tcW w:w="1080" w:type="pct"/>
            <w:vAlign w:val="center"/>
          </w:tcPr>
          <w:p w14:paraId="6BC87F70">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预算金额（元）</w:t>
            </w:r>
          </w:p>
        </w:tc>
        <w:tc>
          <w:tcPr>
            <w:tcW w:w="946" w:type="pct"/>
            <w:vAlign w:val="center"/>
          </w:tcPr>
          <w:p w14:paraId="05CDE2E7">
            <w:pPr>
              <w:widowControl/>
              <w:jc w:val="center"/>
              <w:rPr>
                <w:rFonts w:hint="eastAsia" w:ascii="宋体" w:hAnsi="宋体" w:eastAsia="宋体" w:cs="宋体"/>
                <w:color w:val="auto"/>
                <w:kern w:val="0"/>
                <w:sz w:val="21"/>
                <w:szCs w:val="21"/>
                <w:lang w:eastAsia="zh-Hans"/>
              </w:rPr>
            </w:pPr>
            <w:r>
              <w:rPr>
                <w:rFonts w:hint="eastAsia" w:ascii="宋体" w:hAnsi="宋体" w:eastAsia="宋体" w:cs="宋体"/>
                <w:color w:val="auto"/>
                <w:kern w:val="0"/>
                <w:sz w:val="21"/>
                <w:szCs w:val="21"/>
                <w:lang w:eastAsia="zh-Hans"/>
              </w:rPr>
              <w:t>数量（单位）</w:t>
            </w:r>
          </w:p>
        </w:tc>
        <w:tc>
          <w:tcPr>
            <w:tcW w:w="1619" w:type="pct"/>
            <w:vAlign w:val="center"/>
          </w:tcPr>
          <w:p w14:paraId="46866B18">
            <w:pPr>
              <w:widowControl/>
              <w:jc w:val="center"/>
              <w:rPr>
                <w:rFonts w:hint="eastAsia" w:ascii="宋体" w:hAnsi="宋体" w:eastAsia="宋体" w:cs="宋体"/>
                <w:color w:val="auto"/>
                <w:kern w:val="0"/>
                <w:sz w:val="21"/>
                <w:szCs w:val="21"/>
                <w:lang w:eastAsia="zh-Hans"/>
              </w:rPr>
            </w:pPr>
            <w:r>
              <w:rPr>
                <w:rFonts w:hint="eastAsia" w:ascii="宋体" w:hAnsi="宋体" w:eastAsia="宋体" w:cs="宋体"/>
                <w:color w:val="auto"/>
                <w:kern w:val="0"/>
                <w:sz w:val="21"/>
                <w:szCs w:val="21"/>
                <w:lang w:eastAsia="zh-Hans"/>
              </w:rPr>
              <w:t>简要技术需求或服务要求</w:t>
            </w:r>
          </w:p>
        </w:tc>
      </w:tr>
      <w:tr w14:paraId="0ACD6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trPr>
        <w:tc>
          <w:tcPr>
            <w:tcW w:w="407" w:type="pct"/>
            <w:vAlign w:val="center"/>
          </w:tcPr>
          <w:p w14:paraId="6DC1FBC2">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1</w:t>
            </w:r>
          </w:p>
        </w:tc>
        <w:tc>
          <w:tcPr>
            <w:tcW w:w="946" w:type="pct"/>
            <w:vAlign w:val="center"/>
          </w:tcPr>
          <w:p w14:paraId="45E441AE">
            <w:pPr>
              <w:widowControl/>
              <w:jc w:val="center"/>
              <w:rPr>
                <w:rFonts w:hint="eastAsia" w:ascii="宋体" w:hAnsi="宋体" w:eastAsia="宋体" w:cs="宋体"/>
                <w:color w:val="auto"/>
                <w:kern w:val="0"/>
                <w:sz w:val="21"/>
                <w:szCs w:val="21"/>
                <w:lang w:eastAsia="zh-Hans"/>
              </w:rPr>
            </w:pPr>
            <w:r>
              <w:rPr>
                <w:rFonts w:hint="eastAsia" w:ascii="宋体" w:hAnsi="宋体" w:eastAsia="宋体" w:cs="宋体"/>
                <w:color w:val="auto"/>
                <w:kern w:val="0"/>
                <w:sz w:val="21"/>
                <w:szCs w:val="21"/>
                <w:lang w:eastAsia="zh-Hans"/>
              </w:rPr>
              <w:t>环卫保洁服务</w:t>
            </w:r>
          </w:p>
        </w:tc>
        <w:tc>
          <w:tcPr>
            <w:tcW w:w="1080" w:type="pct"/>
            <w:vAlign w:val="center"/>
          </w:tcPr>
          <w:p w14:paraId="60B881F5">
            <w:pPr>
              <w:widowControl/>
              <w:jc w:val="center"/>
              <w:rPr>
                <w:rFonts w:hint="eastAsia" w:ascii="宋体" w:hAnsi="宋体" w:eastAsia="宋体" w:cs="宋体"/>
                <w:color w:val="auto"/>
                <w:kern w:val="0"/>
                <w:sz w:val="21"/>
                <w:szCs w:val="21"/>
                <w:lang w:eastAsia="zh-CN"/>
              </w:rPr>
            </w:pPr>
            <w:r>
              <w:rPr>
                <w:rFonts w:hint="eastAsia" w:ascii="宋体" w:hAnsi="宋体" w:eastAsia="宋体" w:cs="Times New Roman"/>
                <w:color w:val="auto"/>
                <w:kern w:val="0"/>
                <w:szCs w:val="21"/>
                <w:highlight w:val="none"/>
                <w:lang w:val="en-US" w:eastAsia="zh-CN"/>
              </w:rPr>
              <w:t>4,789,970.40</w:t>
            </w:r>
          </w:p>
        </w:tc>
        <w:tc>
          <w:tcPr>
            <w:tcW w:w="946" w:type="pct"/>
            <w:vAlign w:val="center"/>
          </w:tcPr>
          <w:p w14:paraId="215E745D">
            <w:pPr>
              <w:widowControl/>
              <w:jc w:val="center"/>
              <w:rPr>
                <w:rFonts w:hint="eastAsia" w:ascii="宋体" w:hAnsi="宋体" w:eastAsia="宋体" w:cs="宋体"/>
                <w:color w:val="auto"/>
                <w:kern w:val="0"/>
                <w:sz w:val="21"/>
                <w:szCs w:val="21"/>
                <w:lang w:eastAsia="zh-Hans"/>
              </w:rPr>
            </w:pPr>
            <w:r>
              <w:rPr>
                <w:rFonts w:hint="eastAsia" w:ascii="宋体" w:hAnsi="宋体" w:eastAsia="宋体" w:cs="宋体"/>
                <w:color w:val="auto"/>
                <w:kern w:val="0"/>
                <w:sz w:val="21"/>
                <w:szCs w:val="21"/>
                <w:lang w:eastAsia="zh-Hans"/>
              </w:rPr>
              <w:t>1(项)</w:t>
            </w:r>
          </w:p>
        </w:tc>
        <w:tc>
          <w:tcPr>
            <w:tcW w:w="1619" w:type="pct"/>
            <w:vAlign w:val="center"/>
          </w:tcPr>
          <w:p w14:paraId="3FA2DDE4">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eastAsia="zh-Hans"/>
              </w:rPr>
              <w:t>详见第二章采购需求</w:t>
            </w:r>
          </w:p>
        </w:tc>
      </w:tr>
      <w:bookmarkEnd w:id="78"/>
    </w:tbl>
    <w:p w14:paraId="2C908FC7">
      <w:pPr>
        <w:widowControl/>
        <w:jc w:val="left"/>
        <w:rPr>
          <w:rFonts w:ascii="Calibri" w:hAnsi="Calibri" w:eastAsia="宋体" w:cs="Times New Roman"/>
          <w:color w:val="auto"/>
          <w:kern w:val="0"/>
          <w:sz w:val="20"/>
          <w:szCs w:val="20"/>
          <w:lang w:eastAsia="zh-Hans"/>
        </w:rPr>
      </w:pPr>
      <w:r>
        <w:rPr>
          <w:rFonts w:ascii="宋体" w:hAnsi="宋体" w:eastAsia="宋体" w:cs="Times New Roman"/>
          <w:color w:val="auto"/>
          <w:kern w:val="0"/>
          <w:szCs w:val="21"/>
          <w:lang w:eastAsia="zh-Hans"/>
        </w:rPr>
        <w:t>合同履行期限：</w:t>
      </w:r>
      <w:r>
        <w:rPr>
          <w:rFonts w:hint="eastAsia" w:ascii="宋体" w:hAnsi="宋体" w:eastAsia="宋体"/>
          <w:iCs/>
          <w:color w:val="auto"/>
          <w:szCs w:val="21"/>
          <w:lang w:val="en-US" w:eastAsia="zh-CN"/>
        </w:rPr>
        <w:t>3年，本项目采取一次招标3年沿用，实行1年1签合同。（拟自2025年7月1日起至2028年6月30日止，具体起止时间以本项目合同约定为准）</w:t>
      </w:r>
    </w:p>
    <w:p w14:paraId="1ED4D63C">
      <w:pPr>
        <w:widowControl/>
        <w:jc w:val="left"/>
        <w:rPr>
          <w:rFonts w:ascii="Calibri" w:hAnsi="Calibri" w:eastAsia="宋体" w:cs="Times New Roman"/>
          <w:color w:val="auto"/>
          <w:kern w:val="0"/>
          <w:sz w:val="20"/>
          <w:szCs w:val="20"/>
          <w:lang w:eastAsia="zh-Hans"/>
        </w:rPr>
      </w:pPr>
      <w:r>
        <w:rPr>
          <w:rFonts w:hint="eastAsia" w:ascii="宋体" w:hAnsi="宋体" w:eastAsia="宋体" w:cs="Times New Roman"/>
          <w:color w:val="auto"/>
          <w:kern w:val="0"/>
          <w:szCs w:val="21"/>
          <w:lang w:eastAsia="zh-Hans"/>
        </w:rPr>
        <w:t>本项目(不接受)联合体投标。</w:t>
      </w:r>
    </w:p>
    <w:p w14:paraId="40E89C6F">
      <w:pPr>
        <w:spacing w:before="217" w:beforeLines="50"/>
        <w:rPr>
          <w:rFonts w:ascii="Calibri" w:hAnsi="Calibri" w:eastAsia="宋体" w:cs="Times New Roman"/>
          <w:color w:val="auto"/>
          <w:kern w:val="0"/>
          <w:sz w:val="20"/>
          <w:szCs w:val="20"/>
          <w:lang w:eastAsia="zh-Hans"/>
        </w:rPr>
      </w:pPr>
      <w:r>
        <w:rPr>
          <w:rFonts w:hint="eastAsia" w:ascii="宋体" w:hAnsi="宋体" w:eastAsia="宋体" w:cs="Times New Roman"/>
          <w:b/>
          <w:color w:val="auto"/>
          <w:kern w:val="0"/>
          <w:sz w:val="24"/>
          <w:szCs w:val="24"/>
          <w:lang w:eastAsia="zh-Hans"/>
        </w:rPr>
        <w:t>二、申请人的资格要求：</w:t>
      </w:r>
    </w:p>
    <w:p w14:paraId="71F2245C">
      <w:pPr>
        <w:pStyle w:val="27"/>
        <w:widowControl/>
        <w:numPr>
          <w:ilvl w:val="0"/>
          <w:numId w:val="2"/>
        </w:numPr>
        <w:ind w:firstLineChars="0"/>
        <w:jc w:val="left"/>
        <w:outlineLvl w:val="3"/>
        <w:rPr>
          <w:rFonts w:ascii="Calibri" w:hAnsi="Calibri" w:eastAsia="宋体" w:cs="Times New Roman"/>
          <w:b/>
          <w:kern w:val="0"/>
          <w:szCs w:val="21"/>
        </w:rPr>
      </w:pPr>
      <w:bookmarkStart w:id="2" w:name="_Hlk169874438"/>
      <w:bookmarkStart w:id="3" w:name="_Hlk170131464"/>
      <w:r>
        <w:rPr>
          <w:rFonts w:ascii="Calibri" w:hAnsi="Calibri" w:eastAsia="宋体" w:cs="Times New Roman"/>
          <w:b/>
          <w:kern w:val="0"/>
          <w:szCs w:val="21"/>
          <w:lang w:eastAsia="zh-Hans"/>
        </w:rPr>
        <w:t>满足《中华人民共和国政府采购法》第二十二条规定</w:t>
      </w:r>
      <w:r>
        <w:rPr>
          <w:rFonts w:hint="eastAsia" w:ascii="Calibri" w:hAnsi="Calibri" w:eastAsia="宋体" w:cs="Times New Roman"/>
          <w:b/>
          <w:kern w:val="0"/>
          <w:szCs w:val="21"/>
          <w:lang w:eastAsia="zh-Hans"/>
        </w:rPr>
        <w:t>：</w:t>
      </w:r>
      <w:bookmarkEnd w:id="2"/>
    </w:p>
    <w:p w14:paraId="51C87821">
      <w:pPr>
        <w:pStyle w:val="27"/>
        <w:widowControl/>
        <w:numPr>
          <w:ilvl w:val="0"/>
          <w:numId w:val="3"/>
        </w:numPr>
        <w:ind w:firstLineChars="0"/>
        <w:jc w:val="left"/>
        <w:outlineLvl w:val="3"/>
        <w:rPr>
          <w:rFonts w:ascii="Calibri" w:hAnsi="Calibri" w:eastAsia="宋体" w:cs="Times New Roman"/>
          <w:bCs/>
          <w:kern w:val="0"/>
          <w:szCs w:val="21"/>
        </w:rPr>
      </w:pPr>
      <w:r>
        <w:rPr>
          <w:rFonts w:ascii="Calibri" w:hAnsi="Calibri" w:eastAsia="宋体" w:cs="Times New Roman"/>
          <w:bCs/>
          <w:kern w:val="0"/>
          <w:szCs w:val="21"/>
        </w:rPr>
        <w:t>具有独立承担民事责任的能力</w:t>
      </w:r>
      <w:r>
        <w:rPr>
          <w:rFonts w:hint="eastAsia" w:ascii="Calibri" w:hAnsi="Calibri" w:eastAsia="宋体" w:cs="Times New Roman"/>
          <w:bCs/>
          <w:kern w:val="0"/>
          <w:szCs w:val="21"/>
        </w:rPr>
        <w:t>，</w:t>
      </w:r>
      <w:r>
        <w:rPr>
          <w:rFonts w:ascii="Calibri" w:hAnsi="Calibri" w:eastAsia="宋体" w:cs="Times New Roman"/>
          <w:bCs/>
          <w:kern w:val="0"/>
          <w:szCs w:val="21"/>
        </w:rPr>
        <w:t>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p w14:paraId="5EA8C8EE">
      <w:pPr>
        <w:pStyle w:val="27"/>
        <w:widowControl/>
        <w:numPr>
          <w:ilvl w:val="0"/>
          <w:numId w:val="3"/>
        </w:numPr>
        <w:ind w:firstLineChars="0"/>
        <w:jc w:val="left"/>
        <w:outlineLvl w:val="3"/>
        <w:rPr>
          <w:rFonts w:ascii="Calibri" w:hAnsi="Calibri" w:eastAsia="宋体" w:cs="Times New Roman"/>
          <w:bCs/>
          <w:kern w:val="0"/>
          <w:szCs w:val="21"/>
        </w:rPr>
      </w:pPr>
      <w:r>
        <w:rPr>
          <w:rFonts w:ascii="Calibri" w:hAnsi="Calibri" w:eastAsia="宋体" w:cs="Times New Roman"/>
          <w:bCs/>
          <w:kern w:val="0"/>
          <w:szCs w:val="21"/>
        </w:rPr>
        <w:t>具有良好的商业信誉和健全的财务会计制度，</w:t>
      </w:r>
      <w:r>
        <w:rPr>
          <w:rFonts w:hint="eastAsia" w:ascii="Calibri" w:hAnsi="Calibri" w:eastAsia="宋体" w:cs="Times New Roman"/>
          <w:bCs/>
          <w:kern w:val="0"/>
          <w:szCs w:val="21"/>
        </w:rPr>
        <w:t>提供</w:t>
      </w:r>
      <w:r>
        <w:rPr>
          <w:rFonts w:ascii="宋体" w:hAnsi="宋体" w:eastAsia="宋体" w:cs="Times New Roman"/>
          <w:bCs/>
          <w:kern w:val="0"/>
          <w:szCs w:val="21"/>
        </w:rPr>
        <w:t>202</w:t>
      </w:r>
      <w:r>
        <w:rPr>
          <w:rFonts w:hint="eastAsia" w:ascii="宋体" w:hAnsi="宋体" w:eastAsia="宋体" w:cs="Times New Roman"/>
          <w:bCs/>
          <w:kern w:val="0"/>
          <w:szCs w:val="21"/>
          <w:lang w:val="en-US" w:eastAsia="zh-CN"/>
        </w:rPr>
        <w:t>3</w:t>
      </w:r>
      <w:r>
        <w:rPr>
          <w:rFonts w:ascii="Calibri" w:hAnsi="Calibri" w:eastAsia="宋体" w:cs="Times New Roman"/>
          <w:bCs/>
          <w:kern w:val="0"/>
          <w:szCs w:val="21"/>
        </w:rPr>
        <w:t>年或</w:t>
      </w:r>
      <w:r>
        <w:rPr>
          <w:rFonts w:ascii="宋体" w:hAnsi="宋体" w:eastAsia="宋体" w:cs="Times New Roman"/>
          <w:bCs/>
          <w:kern w:val="0"/>
          <w:szCs w:val="21"/>
        </w:rPr>
        <w:t>202</w:t>
      </w:r>
      <w:r>
        <w:rPr>
          <w:rFonts w:hint="eastAsia" w:ascii="宋体" w:hAnsi="宋体" w:eastAsia="宋体" w:cs="Times New Roman"/>
          <w:bCs/>
          <w:kern w:val="0"/>
          <w:szCs w:val="21"/>
          <w:lang w:val="en-US" w:eastAsia="zh-CN"/>
        </w:rPr>
        <w:t>4</w:t>
      </w:r>
      <w:r>
        <w:rPr>
          <w:rFonts w:ascii="Calibri" w:hAnsi="Calibri" w:eastAsia="宋体" w:cs="Times New Roman"/>
          <w:bCs/>
          <w:kern w:val="0"/>
          <w:szCs w:val="21"/>
        </w:rPr>
        <w:t>年财务状况报告或者基本户开户银行出具的资信证明或提供资格条件承诺函（详见投标文件格式）。</w:t>
      </w:r>
    </w:p>
    <w:p w14:paraId="59231421">
      <w:pPr>
        <w:pStyle w:val="27"/>
        <w:widowControl/>
        <w:numPr>
          <w:ilvl w:val="0"/>
          <w:numId w:val="3"/>
        </w:numPr>
        <w:ind w:firstLineChars="0"/>
        <w:jc w:val="left"/>
        <w:outlineLvl w:val="3"/>
        <w:rPr>
          <w:rFonts w:ascii="Calibri" w:hAnsi="Calibri" w:eastAsia="宋体" w:cs="Times New Roman"/>
          <w:bCs/>
          <w:kern w:val="0"/>
          <w:szCs w:val="21"/>
        </w:rPr>
      </w:pPr>
      <w:r>
        <w:rPr>
          <w:rFonts w:ascii="Calibri" w:hAnsi="Calibri" w:eastAsia="宋体" w:cs="Times New Roman"/>
          <w:bCs/>
          <w:kern w:val="0"/>
          <w:szCs w:val="21"/>
        </w:rPr>
        <w:t>履行合同所必需的设备和专业技术能力</w:t>
      </w:r>
      <w:r>
        <w:rPr>
          <w:rFonts w:hint="eastAsia" w:ascii="Calibri" w:hAnsi="Calibri" w:eastAsia="宋体" w:cs="Times New Roman"/>
          <w:bCs/>
          <w:kern w:val="0"/>
          <w:szCs w:val="21"/>
        </w:rPr>
        <w:t>，提供资格条件承诺函（</w:t>
      </w:r>
      <w:r>
        <w:rPr>
          <w:rFonts w:ascii="Calibri" w:hAnsi="Calibri" w:eastAsia="宋体" w:cs="Times New Roman"/>
          <w:bCs/>
          <w:kern w:val="0"/>
          <w:szCs w:val="21"/>
        </w:rPr>
        <w:t>详见投标文件格式</w:t>
      </w:r>
      <w:r>
        <w:rPr>
          <w:rFonts w:hint="eastAsia" w:ascii="Calibri" w:hAnsi="Calibri" w:eastAsia="宋体" w:cs="Times New Roman"/>
          <w:bCs/>
          <w:kern w:val="0"/>
          <w:szCs w:val="21"/>
        </w:rPr>
        <w:t>）</w:t>
      </w:r>
      <w:r>
        <w:rPr>
          <w:rFonts w:ascii="Calibri" w:hAnsi="Calibri" w:eastAsia="宋体" w:cs="Times New Roman"/>
          <w:bCs/>
          <w:kern w:val="0"/>
          <w:szCs w:val="21"/>
        </w:rPr>
        <w:t>。</w:t>
      </w:r>
    </w:p>
    <w:p w14:paraId="0C98F864">
      <w:pPr>
        <w:pStyle w:val="27"/>
        <w:widowControl/>
        <w:numPr>
          <w:ilvl w:val="0"/>
          <w:numId w:val="3"/>
        </w:numPr>
        <w:ind w:firstLineChars="0"/>
        <w:jc w:val="left"/>
        <w:outlineLvl w:val="3"/>
        <w:rPr>
          <w:rFonts w:ascii="Calibri" w:hAnsi="Calibri" w:eastAsia="宋体" w:cs="Times New Roman"/>
          <w:bCs/>
          <w:kern w:val="0"/>
          <w:szCs w:val="21"/>
        </w:rPr>
      </w:pPr>
      <w:r>
        <w:rPr>
          <w:rFonts w:hint="eastAsia" w:ascii="Calibri" w:hAnsi="Calibri" w:eastAsia="宋体" w:cs="Times New Roman"/>
          <w:bCs/>
          <w:kern w:val="0"/>
          <w:szCs w:val="21"/>
        </w:rPr>
        <w:t>有依法缴纳税收和社会保障资金的良好记录，提供投标截止日前</w:t>
      </w:r>
      <w:r>
        <w:rPr>
          <w:rFonts w:ascii="宋体" w:hAnsi="宋体" w:eastAsia="宋体" w:cs="Times New Roman"/>
          <w:bCs/>
          <w:kern w:val="0"/>
          <w:szCs w:val="21"/>
        </w:rPr>
        <w:t>6个</w:t>
      </w:r>
      <w:r>
        <w:rPr>
          <w:rFonts w:ascii="Calibri" w:hAnsi="Calibri" w:eastAsia="宋体" w:cs="Times New Roman"/>
          <w:bCs/>
          <w:kern w:val="0"/>
          <w:szCs w:val="21"/>
        </w:rPr>
        <w:t>月内任意</w:t>
      </w:r>
      <w:r>
        <w:rPr>
          <w:rFonts w:ascii="宋体" w:hAnsi="宋体" w:eastAsia="宋体" w:cs="Times New Roman"/>
          <w:bCs/>
          <w:kern w:val="0"/>
          <w:szCs w:val="21"/>
        </w:rPr>
        <w:t>1</w:t>
      </w:r>
      <w:r>
        <w:rPr>
          <w:rFonts w:ascii="Calibri" w:hAnsi="Calibri" w:eastAsia="宋体" w:cs="Times New Roman"/>
          <w:bCs/>
          <w:kern w:val="0"/>
          <w:szCs w:val="21"/>
        </w:rPr>
        <w:t>个月依法缴纳税收和社会保障资金的相关材料；如依法免税或不需要缴纳社会保障资金的，提供相应证明材料。或提供资格条件承诺函（详见投标文件格式）。</w:t>
      </w:r>
    </w:p>
    <w:p w14:paraId="7DDDE317">
      <w:pPr>
        <w:pStyle w:val="27"/>
        <w:widowControl/>
        <w:numPr>
          <w:ilvl w:val="0"/>
          <w:numId w:val="3"/>
        </w:numPr>
        <w:ind w:firstLineChars="0"/>
        <w:jc w:val="left"/>
        <w:outlineLvl w:val="3"/>
        <w:rPr>
          <w:rFonts w:ascii="Calibri" w:hAnsi="Calibri" w:eastAsia="宋体" w:cs="Times New Roman"/>
          <w:bCs/>
          <w:kern w:val="0"/>
          <w:szCs w:val="21"/>
        </w:rPr>
      </w:pPr>
      <w:r>
        <w:rPr>
          <w:rFonts w:ascii="Calibri" w:hAnsi="Calibri" w:eastAsia="宋体" w:cs="Times New Roman"/>
          <w:bCs/>
          <w:kern w:val="0"/>
          <w:szCs w:val="21"/>
        </w:rPr>
        <w:t>参加采购活动前</w:t>
      </w:r>
      <w:r>
        <w:rPr>
          <w:rFonts w:ascii="宋体" w:hAnsi="宋体" w:eastAsia="宋体" w:cs="Times New Roman"/>
          <w:bCs/>
          <w:kern w:val="0"/>
          <w:szCs w:val="21"/>
        </w:rPr>
        <w:t>3</w:t>
      </w:r>
      <w:r>
        <w:rPr>
          <w:rFonts w:ascii="Calibri" w:hAnsi="Calibri" w:eastAsia="宋体" w:cs="Times New Roman"/>
          <w:bCs/>
          <w:kern w:val="0"/>
          <w:szCs w:val="21"/>
        </w:rPr>
        <w:t>年内，在经营活动中没有重大违法记录：</w:t>
      </w:r>
      <w:r>
        <w:rPr>
          <w:rFonts w:hint="eastAsia" w:ascii="Calibri" w:hAnsi="Calibri" w:eastAsia="宋体" w:cs="Times New Roman"/>
          <w:bCs/>
          <w:kern w:val="0"/>
          <w:szCs w:val="21"/>
        </w:rPr>
        <w:t>提供资格条件承诺函（</w:t>
      </w:r>
      <w:r>
        <w:rPr>
          <w:rFonts w:ascii="Calibri" w:hAnsi="Calibri" w:eastAsia="宋体" w:cs="Times New Roman"/>
          <w:bCs/>
          <w:kern w:val="0"/>
          <w:szCs w:val="21"/>
        </w:rPr>
        <w:t>详见投标文件格式</w:t>
      </w:r>
      <w:r>
        <w:rPr>
          <w:rFonts w:hint="eastAsia" w:ascii="Calibri" w:hAnsi="Calibri" w:eastAsia="宋体" w:cs="Times New Roman"/>
          <w:bCs/>
          <w:kern w:val="0"/>
          <w:szCs w:val="21"/>
        </w:rPr>
        <w:t>）</w:t>
      </w:r>
      <w:r>
        <w:rPr>
          <w:rFonts w:ascii="Calibri" w:hAnsi="Calibri" w:eastAsia="宋体" w:cs="Times New Roman"/>
          <w:bCs/>
          <w:kern w:val="0"/>
          <w:szCs w:val="21"/>
        </w:rPr>
        <w:t>。</w:t>
      </w:r>
      <w:r>
        <w:rPr>
          <w:rFonts w:hint="eastAsia" w:ascii="Calibri" w:hAnsi="Calibri" w:eastAsia="宋体" w:cs="Times New Roman"/>
          <w:bCs/>
          <w:kern w:val="0"/>
          <w:szCs w:val="21"/>
        </w:rPr>
        <w:t>重大违法记录，是指供应商因违法经营受到刑事处罚或者责令停产停业、吊销许可证或者执照、较大数额罚款等行政处罚。（根据财库</w:t>
      </w:r>
      <w:r>
        <w:rPr>
          <w:rFonts w:hint="eastAsia" w:ascii="宋体" w:hAnsi="宋体" w:eastAsia="宋体" w:cs="Times New Roman"/>
          <w:bCs/>
          <w:kern w:val="0"/>
          <w:szCs w:val="21"/>
        </w:rPr>
        <w:t>〔</w:t>
      </w:r>
      <w:r>
        <w:rPr>
          <w:rFonts w:ascii="宋体" w:hAnsi="宋体" w:eastAsia="宋体" w:cs="Times New Roman"/>
          <w:bCs/>
          <w:kern w:val="0"/>
          <w:szCs w:val="21"/>
        </w:rPr>
        <w:t>2022〕3</w:t>
      </w:r>
      <w:r>
        <w:rPr>
          <w:rFonts w:ascii="Calibri" w:hAnsi="Calibri" w:eastAsia="宋体" w:cs="Times New Roman"/>
          <w:bCs/>
          <w:kern w:val="0"/>
          <w:szCs w:val="21"/>
        </w:rPr>
        <w:t>号文，“较大数额罚款”认定为</w:t>
      </w:r>
      <w:r>
        <w:rPr>
          <w:rFonts w:ascii="宋体" w:hAnsi="宋体" w:eastAsia="宋体" w:cs="Times New Roman"/>
          <w:bCs/>
          <w:kern w:val="0"/>
          <w:szCs w:val="21"/>
        </w:rPr>
        <w:t>200</w:t>
      </w:r>
      <w:r>
        <w:rPr>
          <w:rFonts w:ascii="Calibri" w:hAnsi="Calibri" w:eastAsia="宋体" w:cs="Times New Roman"/>
          <w:bCs/>
          <w:kern w:val="0"/>
          <w:szCs w:val="21"/>
        </w:rPr>
        <w:t>万元以上的罚款，法律、行政法规以及国务院有关部门明确规定相关领域“较大数额罚款”标准高于</w:t>
      </w:r>
      <w:r>
        <w:rPr>
          <w:rFonts w:ascii="宋体" w:hAnsi="宋体" w:eastAsia="宋体" w:cs="Times New Roman"/>
          <w:bCs/>
          <w:kern w:val="0"/>
          <w:szCs w:val="21"/>
        </w:rPr>
        <w:t>200</w:t>
      </w:r>
      <w:r>
        <w:rPr>
          <w:rFonts w:ascii="Calibri" w:hAnsi="Calibri" w:eastAsia="宋体" w:cs="Times New Roman"/>
          <w:bCs/>
          <w:kern w:val="0"/>
          <w:szCs w:val="21"/>
        </w:rPr>
        <w:t>万元的，从其规定。）</w:t>
      </w:r>
    </w:p>
    <w:p w14:paraId="7169E291">
      <w:pPr>
        <w:pStyle w:val="27"/>
        <w:widowControl/>
        <w:numPr>
          <w:ilvl w:val="0"/>
          <w:numId w:val="2"/>
        </w:numPr>
        <w:ind w:firstLineChars="0"/>
        <w:jc w:val="left"/>
        <w:outlineLvl w:val="3"/>
        <w:rPr>
          <w:rFonts w:ascii="Calibri" w:hAnsi="Calibri" w:eastAsia="宋体" w:cs="Times New Roman"/>
          <w:b/>
          <w:kern w:val="0"/>
          <w:szCs w:val="21"/>
        </w:rPr>
      </w:pPr>
      <w:bookmarkStart w:id="4" w:name="_Hlk169874618"/>
      <w:r>
        <w:rPr>
          <w:rFonts w:ascii="Calibri" w:hAnsi="Calibri" w:eastAsia="宋体" w:cs="Times New Roman"/>
          <w:b/>
          <w:kern w:val="0"/>
          <w:szCs w:val="21"/>
          <w:lang w:eastAsia="zh-Hans"/>
        </w:rPr>
        <w:t>落实政府采购政策需满足的资格要求：</w:t>
      </w:r>
      <w:r>
        <w:rPr>
          <w:rFonts w:hint="eastAsia" w:ascii="宋体" w:hAnsi="宋体" w:eastAsia="宋体" w:cs="宋体"/>
          <w:b/>
          <w:bCs/>
          <w:color w:val="auto"/>
          <w:kern w:val="2"/>
          <w:sz w:val="21"/>
          <w:szCs w:val="21"/>
          <w:highlight w:val="none"/>
          <w:lang w:val="en-US" w:eastAsia="zh-CN" w:bidi="ar-SA"/>
        </w:rPr>
        <w:t>本项目属于专门面向中小企业的采购项目（本项目所属行业：其他未列明行业。从业人员300人以下的为中小微型企业。其中，从业人员100人及以上的为中型企业；从业人员10人及以上的为小型企业；从业人员10人以下的为微型企业）。投标人须提供《中小企业声明函》并加盖投标人公章。监狱企业、残疾人福利单位视同小型、微型企业。</w:t>
      </w:r>
    </w:p>
    <w:p w14:paraId="7D350B23">
      <w:pPr>
        <w:pStyle w:val="27"/>
        <w:widowControl/>
        <w:numPr>
          <w:ilvl w:val="0"/>
          <w:numId w:val="2"/>
        </w:numPr>
        <w:ind w:firstLineChars="0"/>
        <w:jc w:val="left"/>
        <w:outlineLvl w:val="3"/>
        <w:rPr>
          <w:rFonts w:ascii="Calibri" w:hAnsi="Calibri" w:eastAsia="宋体" w:cs="Times New Roman"/>
          <w:b/>
          <w:kern w:val="0"/>
          <w:sz w:val="24"/>
          <w:szCs w:val="20"/>
          <w:lang w:eastAsia="zh-Hans"/>
        </w:rPr>
      </w:pPr>
      <w:r>
        <w:rPr>
          <w:rFonts w:ascii="Calibri" w:hAnsi="Calibri" w:eastAsia="宋体" w:cs="Times New Roman"/>
          <w:b/>
          <w:kern w:val="0"/>
          <w:szCs w:val="21"/>
          <w:lang w:eastAsia="zh-Hans"/>
        </w:rPr>
        <w:t>本项目的特定资格要求：</w:t>
      </w:r>
    </w:p>
    <w:p w14:paraId="68E4E1BC">
      <w:pPr>
        <w:pStyle w:val="27"/>
        <w:widowControl/>
        <w:numPr>
          <w:ilvl w:val="0"/>
          <w:numId w:val="4"/>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5F2EA18B">
      <w:pPr>
        <w:pStyle w:val="27"/>
        <w:widowControl/>
        <w:numPr>
          <w:ilvl w:val="0"/>
          <w:numId w:val="4"/>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投标（报价）函相关承诺要求内容。</w:t>
      </w:r>
    </w:p>
    <w:p w14:paraId="05638FA7">
      <w:pPr>
        <w:pStyle w:val="27"/>
        <w:widowControl/>
        <w:numPr>
          <w:ilvl w:val="0"/>
          <w:numId w:val="4"/>
        </w:numPr>
        <w:ind w:firstLineChars="0"/>
        <w:jc w:val="left"/>
        <w:rPr>
          <w:rFonts w:ascii="宋体" w:hAnsi="宋体" w:eastAsia="宋体" w:cs="Times New Roman"/>
          <w:b/>
          <w:bCs/>
          <w:kern w:val="0"/>
          <w:szCs w:val="21"/>
          <w:lang w:eastAsia="zh-Hans"/>
        </w:rPr>
      </w:pPr>
      <w:r>
        <w:rPr>
          <w:rFonts w:hint="eastAsia" w:ascii="宋体" w:hAnsi="宋体" w:eastAsia="宋体" w:cs="Times New Roman"/>
          <w:b/>
          <w:bCs/>
          <w:kern w:val="0"/>
          <w:szCs w:val="21"/>
        </w:rPr>
        <w:t>其他特定资格要求：</w:t>
      </w:r>
      <w:bookmarkEnd w:id="3"/>
      <w:r>
        <w:rPr>
          <w:rFonts w:hint="eastAsia" w:ascii="宋体" w:hAnsi="宋体" w:eastAsia="宋体" w:cs="Times New Roman"/>
          <w:b/>
          <w:bCs/>
          <w:kern w:val="0"/>
          <w:szCs w:val="21"/>
          <w:lang w:val="en-US" w:eastAsia="zh-CN"/>
        </w:rPr>
        <w:t>无</w:t>
      </w:r>
    </w:p>
    <w:bookmarkEnd w:id="4"/>
    <w:p w14:paraId="51ED73A6">
      <w:pPr>
        <w:spacing w:before="217" w:beforeLines="50"/>
        <w:rPr>
          <w:rFonts w:ascii="Calibri" w:hAnsi="Calibri" w:eastAsia="宋体" w:cs="Times New Roman"/>
          <w:kern w:val="0"/>
          <w:sz w:val="20"/>
          <w:szCs w:val="20"/>
          <w:lang w:eastAsia="zh-Hans"/>
        </w:rPr>
      </w:pPr>
      <w:r>
        <w:rPr>
          <w:rFonts w:ascii="宋体" w:hAnsi="宋体" w:eastAsia="宋体" w:cs="Times New Roman"/>
          <w:b/>
          <w:kern w:val="0"/>
          <w:sz w:val="24"/>
          <w:szCs w:val="24"/>
          <w:lang w:eastAsia="zh-Hans"/>
        </w:rPr>
        <w:t>三</w:t>
      </w:r>
      <w:r>
        <w:rPr>
          <w:rFonts w:hint="eastAsia" w:ascii="宋体" w:hAnsi="宋体" w:eastAsia="宋体" w:cs="Times New Roman"/>
          <w:b/>
          <w:kern w:val="0"/>
          <w:sz w:val="24"/>
          <w:szCs w:val="24"/>
          <w:lang w:eastAsia="zh-Hans"/>
        </w:rPr>
        <w:t>、</w:t>
      </w:r>
      <w:r>
        <w:rPr>
          <w:rFonts w:ascii="宋体" w:hAnsi="宋体" w:eastAsia="宋体" w:cs="Times New Roman"/>
          <w:b/>
          <w:kern w:val="0"/>
          <w:sz w:val="24"/>
          <w:szCs w:val="24"/>
          <w:lang w:eastAsia="zh-Hans"/>
        </w:rPr>
        <w:t>获取招标文件</w:t>
      </w:r>
    </w:p>
    <w:p w14:paraId="5E969CEA">
      <w:pPr>
        <w:pStyle w:val="21"/>
        <w:ind w:firstLine="420" w:firstLineChars="200"/>
        <w:rPr>
          <w:rFonts w:hint="default" w:ascii="宋体" w:hAnsi="宋体" w:eastAsia="宋体" w:cs="Times New Roman"/>
          <w:color w:val="auto"/>
          <w:sz w:val="21"/>
          <w:szCs w:val="21"/>
          <w:lang w:eastAsia="zh-CN"/>
        </w:rPr>
      </w:pPr>
      <w:r>
        <w:rPr>
          <w:rFonts w:ascii="宋体" w:hAnsi="宋体" w:eastAsia="宋体" w:cs="Times New Roman"/>
          <w:color w:val="auto"/>
          <w:sz w:val="21"/>
          <w:szCs w:val="21"/>
          <w:lang w:eastAsia="zh-CN"/>
        </w:rPr>
        <w:t>时间：</w:t>
      </w:r>
      <w:r>
        <w:rPr>
          <w:rFonts w:hint="eastAsia" w:ascii="宋体" w:hAnsi="宋体" w:eastAsia="宋体" w:cs="Times New Roman"/>
          <w:color w:val="auto"/>
          <w:sz w:val="21"/>
          <w:szCs w:val="21"/>
          <w:lang w:val="en-US" w:eastAsia="zh-CN"/>
        </w:rPr>
        <w:t>2025</w:t>
      </w:r>
      <w:r>
        <w:rPr>
          <w:rFonts w:ascii="宋体" w:hAnsi="宋体" w:eastAsia="宋体" w:cs="Times New Roman"/>
          <w:color w:val="auto"/>
          <w:sz w:val="21"/>
          <w:szCs w:val="21"/>
          <w:lang w:eastAsia="zh-CN"/>
        </w:rPr>
        <w:t>年</w:t>
      </w:r>
      <w:r>
        <w:rPr>
          <w:rFonts w:hint="eastAsia" w:ascii="宋体" w:hAnsi="宋体" w:eastAsia="宋体" w:cs="Times New Roman"/>
          <w:color w:val="auto"/>
          <w:sz w:val="21"/>
          <w:szCs w:val="21"/>
          <w:lang w:val="en-US" w:eastAsia="zh-CN"/>
        </w:rPr>
        <w:t>05</w:t>
      </w:r>
      <w:r>
        <w:rPr>
          <w:rFonts w:ascii="宋体" w:hAnsi="宋体" w:eastAsia="宋体" w:cs="Times New Roman"/>
          <w:color w:val="auto"/>
          <w:sz w:val="21"/>
          <w:szCs w:val="21"/>
          <w:lang w:eastAsia="zh-CN"/>
        </w:rPr>
        <w:t>月</w:t>
      </w:r>
      <w:r>
        <w:rPr>
          <w:rFonts w:hint="eastAsia" w:ascii="宋体" w:hAnsi="宋体" w:eastAsia="宋体" w:cs="Times New Roman"/>
          <w:color w:val="auto"/>
          <w:sz w:val="21"/>
          <w:szCs w:val="21"/>
          <w:lang w:val="en-US" w:eastAsia="zh-CN"/>
        </w:rPr>
        <w:t>21</w:t>
      </w:r>
      <w:r>
        <w:rPr>
          <w:rFonts w:ascii="宋体" w:hAnsi="宋体" w:eastAsia="宋体" w:cs="Times New Roman"/>
          <w:color w:val="auto"/>
          <w:sz w:val="21"/>
          <w:szCs w:val="21"/>
          <w:lang w:eastAsia="zh-CN"/>
        </w:rPr>
        <w:t>日至</w:t>
      </w:r>
      <w:r>
        <w:rPr>
          <w:rFonts w:hint="eastAsia" w:ascii="宋体" w:hAnsi="宋体" w:eastAsia="宋体" w:cs="Times New Roman"/>
          <w:color w:val="auto"/>
          <w:sz w:val="21"/>
          <w:szCs w:val="21"/>
          <w:lang w:val="en-US" w:eastAsia="zh-CN"/>
        </w:rPr>
        <w:t>2025</w:t>
      </w:r>
      <w:r>
        <w:rPr>
          <w:rFonts w:ascii="宋体" w:hAnsi="宋体" w:eastAsia="宋体" w:cs="Times New Roman"/>
          <w:color w:val="auto"/>
          <w:sz w:val="21"/>
          <w:szCs w:val="21"/>
          <w:lang w:eastAsia="zh-CN"/>
        </w:rPr>
        <w:t>年</w:t>
      </w:r>
      <w:r>
        <w:rPr>
          <w:rFonts w:hint="eastAsia" w:ascii="宋体" w:hAnsi="宋体" w:eastAsia="宋体" w:cs="Times New Roman"/>
          <w:color w:val="auto"/>
          <w:sz w:val="21"/>
          <w:szCs w:val="21"/>
          <w:lang w:val="en-US" w:eastAsia="zh-CN"/>
        </w:rPr>
        <w:t>05</w:t>
      </w:r>
      <w:r>
        <w:rPr>
          <w:rFonts w:ascii="宋体" w:hAnsi="宋体" w:eastAsia="宋体" w:cs="Times New Roman"/>
          <w:color w:val="auto"/>
          <w:sz w:val="21"/>
          <w:szCs w:val="21"/>
          <w:lang w:eastAsia="zh-CN"/>
        </w:rPr>
        <w:t>月</w:t>
      </w:r>
      <w:r>
        <w:rPr>
          <w:rFonts w:hint="eastAsia" w:ascii="宋体" w:hAnsi="宋体" w:eastAsia="宋体" w:cs="Times New Roman"/>
          <w:color w:val="auto"/>
          <w:sz w:val="21"/>
          <w:szCs w:val="21"/>
          <w:lang w:val="en-US" w:eastAsia="zh-CN"/>
        </w:rPr>
        <w:t>28</w:t>
      </w:r>
      <w:r>
        <w:rPr>
          <w:rFonts w:ascii="宋体" w:hAnsi="宋体" w:eastAsia="宋体" w:cs="Times New Roman"/>
          <w:color w:val="auto"/>
          <w:sz w:val="21"/>
          <w:szCs w:val="21"/>
          <w:lang w:eastAsia="zh-CN"/>
        </w:rPr>
        <w:t>日，每天上午9:00至12:00，下午14:30至17:30。（北京时间，法定节假日除外）</w:t>
      </w:r>
    </w:p>
    <w:p w14:paraId="36BBA40B">
      <w:pPr>
        <w:pStyle w:val="21"/>
        <w:ind w:firstLine="420" w:firstLineChars="200"/>
        <w:rPr>
          <w:rFonts w:hint="default" w:ascii="宋体" w:hAnsi="宋体" w:eastAsia="宋体" w:cs="Times New Roman"/>
          <w:color w:val="auto"/>
          <w:sz w:val="21"/>
          <w:szCs w:val="21"/>
        </w:rPr>
      </w:pPr>
      <w:r>
        <w:rPr>
          <w:rFonts w:ascii="宋体" w:hAnsi="宋体" w:eastAsia="宋体" w:cs="Times New Roman"/>
          <w:color w:val="auto"/>
          <w:sz w:val="21"/>
          <w:szCs w:val="21"/>
        </w:rPr>
        <w:t>地点：到</w:t>
      </w:r>
      <w:r>
        <w:rPr>
          <w:rFonts w:hint="eastAsia" w:ascii="宋体" w:hAnsi="宋体" w:eastAsia="宋体" w:cs="Times New Roman"/>
          <w:color w:val="auto"/>
          <w:sz w:val="21"/>
          <w:szCs w:val="21"/>
          <w:lang w:eastAsia="zh-CN"/>
        </w:rPr>
        <w:t>东莞市南城街道雅园产业园区路5号1栋1楼</w:t>
      </w:r>
      <w:r>
        <w:rPr>
          <w:rFonts w:ascii="宋体" w:hAnsi="宋体" w:eastAsia="宋体" w:cs="Times New Roman"/>
          <w:color w:val="auto"/>
          <w:sz w:val="21"/>
          <w:szCs w:val="21"/>
        </w:rPr>
        <w:t>进行获取或微信搜索公众号“广东智汇城市招标采购有限公司”。</w:t>
      </w:r>
    </w:p>
    <w:p w14:paraId="50D49FD9">
      <w:pPr>
        <w:pStyle w:val="21"/>
        <w:ind w:firstLine="420" w:firstLineChars="200"/>
        <w:rPr>
          <w:rFonts w:hint="default" w:ascii="宋体" w:hAnsi="宋体" w:eastAsia="宋体" w:cs="Times New Roman"/>
          <w:color w:val="auto"/>
          <w:sz w:val="21"/>
          <w:szCs w:val="21"/>
          <w:lang w:eastAsia="zh-CN"/>
        </w:rPr>
      </w:pPr>
      <w:r>
        <w:rPr>
          <w:rFonts w:ascii="宋体" w:hAnsi="宋体" w:eastAsia="宋体" w:cs="Times New Roman"/>
          <w:color w:val="auto"/>
          <w:sz w:val="21"/>
          <w:szCs w:val="21"/>
        </w:rPr>
        <w:t>方式：现场或线上获取</w:t>
      </w:r>
    </w:p>
    <w:p w14:paraId="001837DA">
      <w:pPr>
        <w:pStyle w:val="21"/>
        <w:ind w:firstLine="420" w:firstLineChars="200"/>
        <w:rPr>
          <w:rFonts w:hint="default" w:ascii="宋体" w:hAnsi="宋体" w:eastAsia="宋体" w:cs="Times New Roman"/>
          <w:color w:val="auto"/>
          <w:sz w:val="21"/>
          <w:szCs w:val="21"/>
        </w:rPr>
      </w:pPr>
      <w:r>
        <w:rPr>
          <w:rFonts w:ascii="宋体" w:hAnsi="宋体" w:eastAsia="宋体" w:cs="Times New Roman"/>
          <w:color w:val="auto"/>
          <w:sz w:val="21"/>
          <w:szCs w:val="21"/>
        </w:rPr>
        <w:t>售价：¥200元</w:t>
      </w:r>
    </w:p>
    <w:p w14:paraId="3C2345BE">
      <w:pPr>
        <w:spacing w:before="217" w:beforeLines="50"/>
        <w:rPr>
          <w:rFonts w:ascii="宋体" w:hAnsi="宋体" w:eastAsia="宋体" w:cs="Times New Roman"/>
          <w:color w:val="auto"/>
          <w:szCs w:val="21"/>
        </w:rPr>
      </w:pPr>
      <w:r>
        <w:rPr>
          <w:rFonts w:hint="eastAsia" w:ascii="宋体" w:hAnsi="宋体" w:eastAsia="宋体" w:cs="Times New Roman"/>
          <w:b/>
          <w:color w:val="auto"/>
          <w:kern w:val="0"/>
          <w:sz w:val="24"/>
          <w:szCs w:val="24"/>
          <w:lang w:eastAsia="zh-Hans"/>
        </w:rPr>
        <w:t>四、</w:t>
      </w:r>
      <w:r>
        <w:rPr>
          <w:rFonts w:ascii="宋体" w:hAnsi="宋体" w:eastAsia="宋体" w:cs="Times New Roman"/>
          <w:b/>
          <w:color w:val="auto"/>
          <w:kern w:val="0"/>
          <w:sz w:val="24"/>
          <w:szCs w:val="24"/>
          <w:lang w:eastAsia="zh-Hans"/>
        </w:rPr>
        <w:t>提交投标文件截止时间、开标时间和地点</w:t>
      </w:r>
    </w:p>
    <w:p w14:paraId="30374F8F">
      <w:pPr>
        <w:pStyle w:val="21"/>
        <w:keepNext w:val="0"/>
        <w:keepLines w:val="0"/>
        <w:pageBreakBefore w:val="0"/>
        <w:widowControl/>
        <w:kinsoku/>
        <w:wordWrap/>
        <w:overflowPunct/>
        <w:topLinePunct w:val="0"/>
        <w:autoSpaceDE/>
        <w:autoSpaceDN/>
        <w:bidi w:val="0"/>
        <w:adjustRightInd/>
        <w:snapToGrid/>
        <w:ind w:firstLine="420" w:firstLineChars="200"/>
        <w:textAlignment w:val="auto"/>
        <w:rPr>
          <w:rFonts w:hint="default" w:ascii="宋体" w:hAnsi="宋体" w:eastAsia="宋体" w:cs="Times New Roman"/>
          <w:color w:val="auto"/>
          <w:sz w:val="21"/>
          <w:szCs w:val="21"/>
        </w:rPr>
      </w:pPr>
      <w:r>
        <w:rPr>
          <w:rFonts w:hint="eastAsia" w:ascii="宋体" w:hAnsi="宋体" w:eastAsia="宋体" w:cs="Times New Roman"/>
          <w:color w:val="auto"/>
          <w:sz w:val="21"/>
          <w:szCs w:val="21"/>
          <w:lang w:val="en-US" w:eastAsia="zh-CN"/>
        </w:rPr>
        <w:t>2025</w:t>
      </w:r>
      <w:r>
        <w:rPr>
          <w:rFonts w:ascii="宋体" w:hAnsi="宋体" w:eastAsia="宋体" w:cs="Times New Roman"/>
          <w:color w:val="auto"/>
          <w:sz w:val="21"/>
          <w:szCs w:val="21"/>
        </w:rPr>
        <w:t>年</w:t>
      </w:r>
      <w:r>
        <w:rPr>
          <w:rFonts w:hint="eastAsia" w:ascii="宋体" w:hAnsi="宋体" w:eastAsia="宋体" w:cs="Times New Roman"/>
          <w:color w:val="auto"/>
          <w:sz w:val="21"/>
          <w:szCs w:val="21"/>
          <w:lang w:val="en-US" w:eastAsia="zh-CN"/>
        </w:rPr>
        <w:t>06</w:t>
      </w:r>
      <w:r>
        <w:rPr>
          <w:rFonts w:ascii="宋体" w:hAnsi="宋体" w:eastAsia="宋体" w:cs="Times New Roman"/>
          <w:color w:val="auto"/>
          <w:sz w:val="21"/>
          <w:szCs w:val="21"/>
        </w:rPr>
        <w:t>月</w:t>
      </w:r>
      <w:r>
        <w:rPr>
          <w:rFonts w:hint="eastAsia" w:ascii="宋体" w:hAnsi="宋体" w:eastAsia="宋体" w:cs="Times New Roman"/>
          <w:color w:val="auto"/>
          <w:sz w:val="21"/>
          <w:szCs w:val="21"/>
          <w:lang w:val="en-US" w:eastAsia="zh-CN"/>
        </w:rPr>
        <w:t>11</w:t>
      </w:r>
      <w:r>
        <w:rPr>
          <w:rFonts w:ascii="宋体" w:hAnsi="宋体" w:eastAsia="宋体" w:cs="Times New Roman"/>
          <w:color w:val="auto"/>
          <w:sz w:val="21"/>
          <w:szCs w:val="21"/>
        </w:rPr>
        <w:t>日</w:t>
      </w:r>
      <w:r>
        <w:rPr>
          <w:rFonts w:hint="eastAsia" w:ascii="宋体" w:hAnsi="宋体" w:eastAsia="宋体" w:cs="Times New Roman"/>
          <w:color w:val="auto"/>
          <w:sz w:val="21"/>
          <w:szCs w:val="21"/>
          <w:lang w:val="en-US" w:eastAsia="zh-CN"/>
        </w:rPr>
        <w:t>10</w:t>
      </w:r>
      <w:r>
        <w:rPr>
          <w:rFonts w:ascii="宋体" w:hAnsi="宋体" w:eastAsia="宋体" w:cs="Times New Roman"/>
          <w:color w:val="auto"/>
          <w:sz w:val="21"/>
          <w:szCs w:val="21"/>
        </w:rPr>
        <w:t>点</w:t>
      </w:r>
      <w:r>
        <w:rPr>
          <w:rFonts w:hint="eastAsia" w:ascii="宋体" w:hAnsi="宋体" w:eastAsia="宋体" w:cs="Times New Roman"/>
          <w:color w:val="auto"/>
          <w:sz w:val="21"/>
          <w:szCs w:val="21"/>
          <w:lang w:val="en-US" w:eastAsia="zh-CN"/>
        </w:rPr>
        <w:t>00</w:t>
      </w:r>
      <w:r>
        <w:rPr>
          <w:rFonts w:ascii="宋体" w:hAnsi="宋体" w:eastAsia="宋体" w:cs="Times New Roman"/>
          <w:color w:val="auto"/>
          <w:sz w:val="21"/>
          <w:szCs w:val="21"/>
        </w:rPr>
        <w:t>分（北京时间）（自招标文件开始发出之日起至投标人提交投标文件截止之日止，不得少于20日）</w:t>
      </w:r>
    </w:p>
    <w:p w14:paraId="54F3F7A4">
      <w:pPr>
        <w:pStyle w:val="21"/>
        <w:rPr>
          <w:rFonts w:hint="eastAsia" w:ascii="宋体" w:hAnsi="宋体" w:eastAsia="宋体" w:cs="Times New Roman"/>
          <w:color w:val="auto"/>
          <w:sz w:val="21"/>
          <w:szCs w:val="21"/>
          <w:lang w:eastAsia="zh-CN"/>
        </w:rPr>
      </w:pPr>
      <w:r>
        <w:rPr>
          <w:rFonts w:ascii="宋体" w:hAnsi="宋体" w:eastAsia="宋体" w:cs="Times New Roman"/>
          <w:color w:val="auto"/>
          <w:sz w:val="21"/>
          <w:szCs w:val="21"/>
        </w:rPr>
        <w:t>地点：</w:t>
      </w:r>
      <w:r>
        <w:rPr>
          <w:rFonts w:hint="eastAsia" w:ascii="宋体" w:hAnsi="宋体" w:eastAsia="宋体" w:cs="Times New Roman"/>
          <w:color w:val="auto"/>
          <w:sz w:val="21"/>
          <w:szCs w:val="21"/>
          <w:lang w:eastAsia="zh-CN"/>
        </w:rPr>
        <w:t>东莞市南城街道雅园产业园区路5号1栋1楼</w:t>
      </w:r>
    </w:p>
    <w:p w14:paraId="2E702E7D">
      <w:pPr>
        <w:spacing w:before="217" w:beforeLines="50"/>
        <w:rPr>
          <w:rFonts w:ascii="宋体" w:hAnsi="宋体" w:eastAsia="宋体" w:cs="Times New Roman"/>
          <w:szCs w:val="21"/>
        </w:rPr>
      </w:pPr>
      <w:r>
        <w:rPr>
          <w:rFonts w:hint="eastAsia" w:ascii="宋体" w:hAnsi="宋体" w:eastAsia="宋体" w:cs="Times New Roman"/>
          <w:b/>
          <w:kern w:val="0"/>
          <w:sz w:val="24"/>
          <w:szCs w:val="24"/>
          <w:lang w:eastAsia="zh-Hans"/>
        </w:rPr>
        <w:t>五、</w:t>
      </w:r>
      <w:r>
        <w:rPr>
          <w:rFonts w:ascii="宋体" w:hAnsi="宋体" w:eastAsia="宋体" w:cs="Times New Roman"/>
          <w:b/>
          <w:kern w:val="0"/>
          <w:sz w:val="24"/>
          <w:szCs w:val="24"/>
          <w:lang w:eastAsia="zh-Hans"/>
        </w:rPr>
        <w:t>公告期限</w:t>
      </w:r>
    </w:p>
    <w:p w14:paraId="20B43812">
      <w:pPr>
        <w:pStyle w:val="21"/>
        <w:ind w:firstLine="420" w:firstLineChars="200"/>
        <w:rPr>
          <w:rFonts w:hint="default" w:ascii="宋体" w:hAnsi="宋体" w:eastAsia="宋体" w:cs="Times New Roman"/>
          <w:sz w:val="21"/>
          <w:szCs w:val="21"/>
        </w:rPr>
      </w:pPr>
      <w:r>
        <w:rPr>
          <w:rFonts w:ascii="宋体" w:hAnsi="宋体" w:eastAsia="宋体" w:cs="Times New Roman"/>
          <w:sz w:val="21"/>
          <w:szCs w:val="21"/>
        </w:rPr>
        <w:t>自本公告发布之日起5个工作日。</w:t>
      </w:r>
    </w:p>
    <w:p w14:paraId="3CD7C908">
      <w:pPr>
        <w:spacing w:before="217" w:beforeLines="50"/>
        <w:rPr>
          <w:rFonts w:ascii="宋体" w:hAnsi="宋体" w:eastAsia="宋体" w:cs="Times New Roman"/>
          <w:szCs w:val="21"/>
        </w:rPr>
      </w:pPr>
      <w:r>
        <w:rPr>
          <w:rFonts w:hint="eastAsia" w:ascii="宋体" w:hAnsi="宋体" w:eastAsia="宋体" w:cs="Times New Roman"/>
          <w:b/>
          <w:kern w:val="0"/>
          <w:sz w:val="24"/>
          <w:szCs w:val="24"/>
          <w:lang w:eastAsia="zh-Hans"/>
        </w:rPr>
        <w:t>六</w:t>
      </w:r>
      <w:r>
        <w:rPr>
          <w:rFonts w:ascii="宋体" w:hAnsi="宋体" w:eastAsia="宋体" w:cs="Times New Roman"/>
          <w:b/>
          <w:kern w:val="0"/>
          <w:sz w:val="24"/>
          <w:szCs w:val="24"/>
          <w:lang w:eastAsia="zh-Hans"/>
        </w:rPr>
        <w:t>、其他补充事宜</w:t>
      </w:r>
    </w:p>
    <w:p w14:paraId="61A159E2">
      <w:pPr>
        <w:pStyle w:val="21"/>
        <w:numPr>
          <w:ilvl w:val="0"/>
          <w:numId w:val="5"/>
        </w:numPr>
        <w:rPr>
          <w:rFonts w:hint="default" w:ascii="宋体" w:hAnsi="宋体" w:eastAsia="宋体" w:cs="Times New Roman"/>
          <w:sz w:val="21"/>
          <w:szCs w:val="21"/>
        </w:rPr>
      </w:pPr>
      <w:r>
        <w:rPr>
          <w:rFonts w:ascii="宋体" w:hAnsi="宋体" w:eastAsia="宋体" w:cs="Times New Roman"/>
          <w:sz w:val="21"/>
          <w:szCs w:val="21"/>
        </w:rPr>
        <w:t>需要落实的政府采购政策：《政府采购促进中小企业发展管理办法》（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商品包装政府采购需求标准（试行）》（财办库〔2020〕123号）、《快递包装政府采购需求标准（试行）》（财办库〔2020〕123号）等。</w:t>
      </w:r>
    </w:p>
    <w:p w14:paraId="4A61AB3E">
      <w:pPr>
        <w:pStyle w:val="21"/>
        <w:numPr>
          <w:ilvl w:val="0"/>
          <w:numId w:val="5"/>
        </w:numPr>
        <w:rPr>
          <w:rFonts w:hint="default" w:ascii="宋体" w:hAnsi="宋体" w:eastAsia="宋体" w:cs="Times New Roman"/>
          <w:sz w:val="21"/>
          <w:szCs w:val="21"/>
        </w:rPr>
      </w:pPr>
      <w:r>
        <w:rPr>
          <w:rFonts w:ascii="宋体" w:hAnsi="宋体" w:eastAsia="宋体" w:cs="Times New Roman"/>
          <w:sz w:val="21"/>
          <w:szCs w:val="21"/>
        </w:rPr>
        <w:t>本项目采购标的所属行业为</w:t>
      </w:r>
      <w:r>
        <w:rPr>
          <w:rFonts w:ascii="宋体" w:hAnsi="宋体" w:eastAsia="宋体" w:cs="Times New Roman"/>
          <w:sz w:val="21"/>
          <w:szCs w:val="21"/>
          <w:u w:val="single"/>
          <w:lang w:eastAsia="zh-CN"/>
        </w:rPr>
        <w:t xml:space="preserve"> </w:t>
      </w:r>
      <w:r>
        <w:rPr>
          <w:rFonts w:hint="eastAsia" w:ascii="宋体" w:hAnsi="宋体" w:eastAsia="宋体" w:cs="Times New Roman"/>
          <w:sz w:val="21"/>
          <w:szCs w:val="21"/>
          <w:u w:val="single"/>
          <w:lang w:eastAsia="zh-CN"/>
        </w:rPr>
        <w:t>其他未列明行业</w:t>
      </w:r>
      <w:r>
        <w:rPr>
          <w:rFonts w:ascii="宋体" w:hAnsi="宋体" w:eastAsia="宋体" w:cs="Times New Roman"/>
          <w:sz w:val="21"/>
          <w:szCs w:val="21"/>
          <w:u w:val="single"/>
          <w:lang w:eastAsia="zh-CN"/>
        </w:rPr>
        <w:t xml:space="preserve"> </w:t>
      </w:r>
      <w:r>
        <w:rPr>
          <w:rFonts w:ascii="宋体" w:hAnsi="宋体" w:eastAsia="宋体" w:cs="Times New Roman"/>
          <w:sz w:val="21"/>
          <w:szCs w:val="21"/>
        </w:rPr>
        <w:t>。</w:t>
      </w:r>
    </w:p>
    <w:p w14:paraId="33DAD7C9">
      <w:pPr>
        <w:pStyle w:val="21"/>
        <w:numPr>
          <w:ilvl w:val="0"/>
          <w:numId w:val="5"/>
        </w:numPr>
        <w:rPr>
          <w:rFonts w:hint="default" w:ascii="宋体" w:hAnsi="宋体" w:eastAsia="宋体" w:cs="Times New Roman"/>
          <w:sz w:val="21"/>
          <w:szCs w:val="21"/>
        </w:rPr>
      </w:pPr>
      <w:r>
        <w:rPr>
          <w:rFonts w:ascii="宋体" w:hAnsi="宋体" w:eastAsia="宋体" w:cs="Times New Roman"/>
          <w:sz w:val="21"/>
          <w:szCs w:val="21"/>
        </w:rPr>
        <w:t>发布公告的媒介</w:t>
      </w:r>
    </w:p>
    <w:p w14:paraId="06FC1B2B">
      <w:pPr>
        <w:pStyle w:val="21"/>
        <w:ind w:left="425" w:leftChars="181" w:hanging="45" w:hangingChars="24"/>
        <w:rPr>
          <w:rFonts w:hint="default" w:ascii="宋体" w:hAnsi="宋体" w:eastAsia="宋体" w:cs="Times New Roman"/>
          <w:spacing w:val="-10"/>
          <w:sz w:val="21"/>
          <w:szCs w:val="21"/>
          <w:lang w:eastAsia="zh-CN"/>
        </w:rPr>
      </w:pPr>
      <w:r>
        <w:rPr>
          <w:rFonts w:ascii="宋体" w:hAnsi="宋体" w:eastAsia="宋体" w:cs="Times New Roman"/>
          <w:spacing w:val="-10"/>
          <w:sz w:val="21"/>
          <w:szCs w:val="21"/>
        </w:rPr>
        <w:t>中国采购与招标网（https://zbdt.chinabidding.cn/）、广东智汇城市招标采购有限公司网站(http://www.gdzhcity.com/)</w:t>
      </w:r>
    </w:p>
    <w:p w14:paraId="5E1239F4">
      <w:pPr>
        <w:pStyle w:val="21"/>
        <w:numPr>
          <w:ilvl w:val="0"/>
          <w:numId w:val="5"/>
        </w:numPr>
        <w:rPr>
          <w:rFonts w:hint="default" w:ascii="宋体" w:hAnsi="宋体" w:eastAsia="宋体" w:cs="Times New Roman"/>
          <w:color w:val="auto"/>
          <w:sz w:val="21"/>
          <w:szCs w:val="21"/>
        </w:rPr>
      </w:pPr>
      <w:r>
        <w:rPr>
          <w:rFonts w:ascii="宋体" w:hAnsi="宋体" w:eastAsia="宋体" w:cs="Times New Roman"/>
          <w:sz w:val="21"/>
          <w:szCs w:val="21"/>
        </w:rPr>
        <w:t>拟参加本项</w:t>
      </w:r>
      <w:r>
        <w:rPr>
          <w:rFonts w:ascii="宋体" w:hAnsi="宋体" w:eastAsia="宋体" w:cs="Times New Roman"/>
          <w:color w:val="auto"/>
          <w:sz w:val="21"/>
          <w:szCs w:val="21"/>
        </w:rPr>
        <w:t>目的潜在投标人须在规定时间内按要求获取招标文件后方可参与本项目的投标。获取招标文件后而不参加投标的潜在投标人，请在开标日期三日前以书面形式通知采购代理机构。</w:t>
      </w:r>
    </w:p>
    <w:p w14:paraId="7C462D57">
      <w:pPr>
        <w:pStyle w:val="21"/>
        <w:numPr>
          <w:ilvl w:val="0"/>
          <w:numId w:val="5"/>
        </w:numPr>
        <w:rPr>
          <w:rFonts w:hint="default" w:ascii="宋体" w:hAnsi="宋体" w:eastAsia="宋体" w:cs="Times New Roman"/>
          <w:color w:val="auto"/>
          <w:sz w:val="21"/>
          <w:szCs w:val="21"/>
          <w:lang w:eastAsia="zh-CN"/>
        </w:rPr>
      </w:pPr>
      <w:r>
        <w:rPr>
          <w:rFonts w:ascii="宋体" w:hAnsi="宋体" w:eastAsia="宋体" w:cs="Times New Roman"/>
          <w:color w:val="auto"/>
          <w:sz w:val="21"/>
          <w:szCs w:val="21"/>
        </w:rPr>
        <w:t>获取招标文件联系人及联系方式：</w:t>
      </w:r>
      <w:r>
        <w:rPr>
          <w:rFonts w:hint="eastAsia" w:ascii="宋体" w:hAnsi="宋体" w:eastAsia="宋体" w:cs="Times New Roman"/>
          <w:color w:val="auto"/>
          <w:sz w:val="21"/>
          <w:szCs w:val="21"/>
          <w:lang w:val="en-US" w:eastAsia="zh-CN"/>
        </w:rPr>
        <w:t>黄</w:t>
      </w:r>
      <w:r>
        <w:rPr>
          <w:rFonts w:ascii="宋体" w:hAnsi="宋体" w:eastAsia="宋体" w:cs="Times New Roman"/>
          <w:color w:val="auto"/>
          <w:sz w:val="21"/>
          <w:szCs w:val="21"/>
        </w:rPr>
        <w:t>小姐（0769）22367009 邮箱：zhcity_gd@163.com</w:t>
      </w:r>
    </w:p>
    <w:p w14:paraId="2B464B6F">
      <w:pPr>
        <w:spacing w:before="217" w:beforeLines="50"/>
        <w:rPr>
          <w:rFonts w:ascii="宋体" w:hAnsi="宋体" w:eastAsia="宋体" w:cs="Times New Roman"/>
          <w:szCs w:val="21"/>
        </w:rPr>
      </w:pPr>
      <w:r>
        <w:rPr>
          <w:rFonts w:hint="eastAsia" w:ascii="宋体" w:hAnsi="宋体" w:eastAsia="宋体" w:cs="Times New Roman"/>
          <w:b/>
          <w:color w:val="auto"/>
          <w:kern w:val="0"/>
          <w:sz w:val="24"/>
          <w:szCs w:val="24"/>
          <w:lang w:eastAsia="zh-Hans"/>
        </w:rPr>
        <w:t>七、</w:t>
      </w:r>
      <w:r>
        <w:rPr>
          <w:rFonts w:ascii="宋体" w:hAnsi="宋体" w:eastAsia="宋体" w:cs="Times New Roman"/>
          <w:b/>
          <w:color w:val="auto"/>
          <w:kern w:val="0"/>
          <w:sz w:val="24"/>
          <w:szCs w:val="24"/>
          <w:lang w:eastAsia="zh-Hans"/>
        </w:rPr>
        <w:t>对本次招标提出询问</w:t>
      </w:r>
      <w:r>
        <w:rPr>
          <w:rFonts w:ascii="宋体" w:hAnsi="宋体" w:eastAsia="宋体" w:cs="Times New Roman"/>
          <w:b/>
          <w:kern w:val="0"/>
          <w:sz w:val="24"/>
          <w:szCs w:val="24"/>
          <w:lang w:eastAsia="zh-Hans"/>
        </w:rPr>
        <w:t>，请按以下方式联系。</w:t>
      </w:r>
    </w:p>
    <w:p w14:paraId="42C8994C">
      <w:pPr>
        <w:pStyle w:val="21"/>
        <w:numPr>
          <w:ilvl w:val="0"/>
          <w:numId w:val="6"/>
        </w:numPr>
        <w:ind w:left="284" w:hanging="284"/>
        <w:rPr>
          <w:rFonts w:hint="default" w:ascii="宋体" w:hAnsi="宋体" w:eastAsia="宋体" w:cs="Times New Roman"/>
          <w:sz w:val="21"/>
          <w:szCs w:val="21"/>
        </w:rPr>
      </w:pPr>
      <w:bookmarkStart w:id="5" w:name="_Hlk170131668"/>
      <w:r>
        <w:rPr>
          <w:rFonts w:ascii="宋体" w:hAnsi="宋体" w:eastAsia="宋体" w:cs="Times New Roman"/>
          <w:sz w:val="21"/>
          <w:szCs w:val="21"/>
        </w:rPr>
        <w:t>采购人信息</w:t>
      </w:r>
    </w:p>
    <w:p w14:paraId="24ADC663">
      <w:pPr>
        <w:pStyle w:val="21"/>
        <w:ind w:firstLine="283" w:firstLineChars="135"/>
        <w:rPr>
          <w:rFonts w:hint="default" w:ascii="宋体" w:hAnsi="宋体" w:eastAsia="宋体" w:cs="Times New Roman"/>
          <w:sz w:val="21"/>
          <w:szCs w:val="21"/>
        </w:rPr>
      </w:pPr>
      <w:r>
        <w:rPr>
          <w:rFonts w:ascii="宋体" w:hAnsi="宋体" w:eastAsia="宋体" w:cs="Times New Roman"/>
          <w:sz w:val="21"/>
          <w:szCs w:val="21"/>
        </w:rPr>
        <w:t>名称：</w:t>
      </w:r>
      <w:r>
        <w:rPr>
          <w:rFonts w:ascii="宋体" w:hAnsi="宋体" w:eastAsia="宋体" w:cs="Times New Roman"/>
          <w:szCs w:val="21"/>
        </w:rPr>
        <w:t>东莞市虎门镇黄村股份经济联合社</w:t>
      </w:r>
    </w:p>
    <w:p w14:paraId="39A08C45">
      <w:pPr>
        <w:pStyle w:val="21"/>
        <w:ind w:firstLine="283" w:firstLineChars="135"/>
        <w:rPr>
          <w:rFonts w:hint="default" w:ascii="宋体" w:hAnsi="宋体" w:eastAsia="宋体" w:cs="Times New Roman"/>
          <w:sz w:val="21"/>
          <w:szCs w:val="21"/>
        </w:rPr>
      </w:pPr>
      <w:r>
        <w:rPr>
          <w:rFonts w:ascii="宋体" w:hAnsi="宋体" w:eastAsia="宋体" w:cs="Times New Roman"/>
          <w:sz w:val="21"/>
          <w:szCs w:val="21"/>
        </w:rPr>
        <w:t>地址：东莞虎门镇黄村工业路10号</w:t>
      </w:r>
    </w:p>
    <w:p w14:paraId="5F3217C5">
      <w:pPr>
        <w:pStyle w:val="21"/>
        <w:ind w:firstLine="283" w:firstLineChars="135"/>
        <w:rPr>
          <w:rFonts w:hint="default" w:ascii="宋体" w:hAnsi="宋体" w:eastAsia="宋体" w:cs="Times New Roman"/>
          <w:color w:val="auto"/>
          <w:sz w:val="21"/>
          <w:szCs w:val="21"/>
        </w:rPr>
      </w:pPr>
      <w:r>
        <w:rPr>
          <w:rFonts w:ascii="宋体" w:hAnsi="宋体" w:eastAsia="宋体" w:cs="Times New Roman"/>
          <w:sz w:val="21"/>
          <w:szCs w:val="21"/>
        </w:rPr>
        <w:t>联系方式：黄</w:t>
      </w:r>
      <w:r>
        <w:rPr>
          <w:rFonts w:ascii="宋体" w:hAnsi="宋体" w:eastAsia="宋体" w:cs="Times New Roman"/>
          <w:color w:val="auto"/>
          <w:sz w:val="21"/>
          <w:szCs w:val="21"/>
        </w:rPr>
        <w:t>先生（0769）85233828</w:t>
      </w:r>
    </w:p>
    <w:p w14:paraId="1FC6BF34">
      <w:pPr>
        <w:pStyle w:val="21"/>
        <w:numPr>
          <w:ilvl w:val="0"/>
          <w:numId w:val="6"/>
        </w:numPr>
        <w:ind w:left="284" w:hanging="284"/>
        <w:rPr>
          <w:rFonts w:hint="default" w:ascii="宋体" w:hAnsi="宋体" w:eastAsia="宋体" w:cs="Times New Roman"/>
          <w:color w:val="auto"/>
          <w:sz w:val="21"/>
          <w:szCs w:val="21"/>
        </w:rPr>
      </w:pPr>
      <w:r>
        <w:rPr>
          <w:rFonts w:ascii="宋体" w:hAnsi="宋体" w:eastAsia="宋体" w:cs="Times New Roman"/>
          <w:color w:val="auto"/>
          <w:sz w:val="21"/>
          <w:szCs w:val="21"/>
        </w:rPr>
        <w:t>采购代理机构信息</w:t>
      </w:r>
    </w:p>
    <w:p w14:paraId="50DD56BE">
      <w:pPr>
        <w:pStyle w:val="21"/>
        <w:ind w:firstLine="283" w:firstLineChars="135"/>
        <w:rPr>
          <w:rFonts w:hint="default" w:ascii="宋体" w:hAnsi="宋体" w:eastAsia="宋体" w:cs="Times New Roman"/>
          <w:color w:val="auto"/>
          <w:sz w:val="21"/>
          <w:szCs w:val="21"/>
          <w:lang w:eastAsia="zh-CN"/>
        </w:rPr>
      </w:pPr>
      <w:r>
        <w:rPr>
          <w:rFonts w:ascii="宋体" w:hAnsi="宋体" w:eastAsia="宋体" w:cs="Times New Roman"/>
          <w:color w:val="auto"/>
          <w:sz w:val="21"/>
          <w:szCs w:val="21"/>
        </w:rPr>
        <w:t>名称：广东智汇城市招标采购有限公司</w:t>
      </w:r>
    </w:p>
    <w:p w14:paraId="14C2828B">
      <w:pPr>
        <w:pStyle w:val="21"/>
        <w:ind w:firstLine="283" w:firstLineChars="135"/>
        <w:rPr>
          <w:rFonts w:hint="eastAsia" w:ascii="宋体" w:hAnsi="宋体" w:eastAsia="宋体" w:cs="Times New Roman"/>
          <w:color w:val="auto"/>
          <w:sz w:val="21"/>
          <w:szCs w:val="21"/>
          <w:lang w:eastAsia="zh-CN"/>
        </w:rPr>
      </w:pPr>
      <w:r>
        <w:rPr>
          <w:rFonts w:ascii="宋体" w:hAnsi="宋体" w:eastAsia="宋体" w:cs="Times New Roman"/>
          <w:color w:val="auto"/>
          <w:sz w:val="21"/>
          <w:szCs w:val="21"/>
        </w:rPr>
        <w:t>地址：</w:t>
      </w:r>
      <w:r>
        <w:rPr>
          <w:rFonts w:hint="eastAsia" w:ascii="宋体" w:hAnsi="宋体" w:eastAsia="宋体" w:cs="Times New Roman"/>
          <w:color w:val="auto"/>
          <w:sz w:val="21"/>
          <w:szCs w:val="21"/>
          <w:lang w:eastAsia="zh-CN"/>
        </w:rPr>
        <w:t>东莞市南城街道雅园产业园区路5号1栋1楼</w:t>
      </w:r>
    </w:p>
    <w:p w14:paraId="0D7C2C9D">
      <w:pPr>
        <w:pStyle w:val="21"/>
        <w:ind w:firstLine="283" w:firstLineChars="135"/>
        <w:rPr>
          <w:rFonts w:hint="default" w:ascii="宋体" w:hAnsi="宋体" w:eastAsia="宋体" w:cs="Times New Roman"/>
          <w:color w:val="auto"/>
          <w:sz w:val="21"/>
          <w:szCs w:val="21"/>
        </w:rPr>
      </w:pPr>
      <w:r>
        <w:rPr>
          <w:rFonts w:ascii="宋体" w:hAnsi="宋体" w:eastAsia="宋体" w:cs="Times New Roman"/>
          <w:color w:val="auto"/>
          <w:sz w:val="21"/>
          <w:szCs w:val="21"/>
        </w:rPr>
        <w:t xml:space="preserve">联系方式：（0769）22367009 </w:t>
      </w:r>
    </w:p>
    <w:p w14:paraId="6FC82D38">
      <w:pPr>
        <w:pStyle w:val="21"/>
        <w:numPr>
          <w:ilvl w:val="0"/>
          <w:numId w:val="6"/>
        </w:numPr>
        <w:ind w:left="284" w:hanging="284"/>
        <w:rPr>
          <w:rFonts w:hint="default" w:ascii="宋体" w:hAnsi="宋体" w:eastAsia="宋体" w:cs="Times New Roman"/>
          <w:color w:val="auto"/>
          <w:sz w:val="21"/>
          <w:szCs w:val="21"/>
        </w:rPr>
      </w:pPr>
      <w:r>
        <w:rPr>
          <w:rFonts w:ascii="宋体" w:hAnsi="宋体" w:eastAsia="宋体" w:cs="Times New Roman"/>
          <w:color w:val="auto"/>
          <w:sz w:val="21"/>
          <w:szCs w:val="21"/>
        </w:rPr>
        <w:t>项目联系方式</w:t>
      </w:r>
    </w:p>
    <w:p w14:paraId="6D7BA14C">
      <w:pPr>
        <w:pStyle w:val="21"/>
        <w:ind w:firstLine="283" w:firstLineChars="135"/>
        <w:rPr>
          <w:rFonts w:hint="default" w:ascii="宋体" w:hAnsi="宋体" w:eastAsia="宋体" w:cs="Times New Roman"/>
          <w:color w:val="auto"/>
          <w:sz w:val="21"/>
          <w:szCs w:val="21"/>
          <w:lang w:val="en-US" w:eastAsia="zh-CN"/>
        </w:rPr>
      </w:pPr>
      <w:r>
        <w:rPr>
          <w:rFonts w:ascii="宋体" w:hAnsi="宋体" w:eastAsia="宋体" w:cs="Times New Roman"/>
          <w:color w:val="auto"/>
          <w:sz w:val="21"/>
          <w:szCs w:val="21"/>
        </w:rPr>
        <w:t>项目联系人：</w:t>
      </w:r>
      <w:r>
        <w:rPr>
          <w:rFonts w:hint="eastAsia" w:ascii="宋体" w:hAnsi="宋体" w:eastAsia="宋体" w:cs="Times New Roman"/>
          <w:color w:val="auto"/>
          <w:sz w:val="21"/>
          <w:szCs w:val="21"/>
          <w:lang w:val="en-US" w:eastAsia="zh-CN"/>
        </w:rPr>
        <w:t>何舜禹</w:t>
      </w:r>
    </w:p>
    <w:p w14:paraId="3AE7C670">
      <w:pPr>
        <w:pStyle w:val="21"/>
        <w:ind w:firstLine="283" w:firstLineChars="135"/>
        <w:rPr>
          <w:rFonts w:hint="default" w:ascii="宋体" w:hAnsi="宋体" w:eastAsia="宋体" w:cs="Times New Roman"/>
          <w:color w:val="auto"/>
          <w:sz w:val="21"/>
          <w:szCs w:val="21"/>
        </w:rPr>
      </w:pPr>
      <w:r>
        <w:rPr>
          <w:rFonts w:ascii="宋体" w:hAnsi="宋体" w:eastAsia="宋体" w:cs="Times New Roman"/>
          <w:color w:val="auto"/>
          <w:sz w:val="21"/>
          <w:szCs w:val="21"/>
        </w:rPr>
        <w:t>电话：（0769）</w:t>
      </w:r>
      <w:bookmarkEnd w:id="5"/>
      <w:r>
        <w:rPr>
          <w:rFonts w:ascii="宋体" w:hAnsi="宋体" w:eastAsia="宋体" w:cs="Times New Roman"/>
          <w:color w:val="auto"/>
          <w:sz w:val="21"/>
          <w:szCs w:val="21"/>
        </w:rPr>
        <w:t xml:space="preserve">22367009 </w:t>
      </w:r>
    </w:p>
    <w:p w14:paraId="68B48AD4">
      <w:pPr>
        <w:pStyle w:val="21"/>
        <w:jc w:val="center"/>
        <w:rPr>
          <w:rFonts w:hint="default" w:ascii="宋体" w:hAnsi="宋体" w:eastAsia="宋体" w:cs="Times New Roman"/>
          <w:b/>
          <w:bCs/>
          <w:sz w:val="21"/>
          <w:szCs w:val="21"/>
        </w:rPr>
      </w:pPr>
      <w:r>
        <w:rPr>
          <w:rFonts w:ascii="宋体" w:hAnsi="宋体" w:eastAsia="宋体" w:cs="Times New Roman"/>
          <w:sz w:val="21"/>
          <w:szCs w:val="21"/>
          <w:lang w:eastAsia="zh-CN"/>
        </w:rPr>
        <w:t xml:space="preserve">                                         </w:t>
      </w:r>
      <w:r>
        <w:rPr>
          <w:rFonts w:ascii="宋体" w:hAnsi="宋体" w:eastAsia="宋体" w:cs="Times New Roman"/>
          <w:b/>
          <w:bCs/>
          <w:sz w:val="21"/>
          <w:szCs w:val="21"/>
          <w:lang w:eastAsia="zh-CN"/>
        </w:rPr>
        <w:t xml:space="preserve">  </w:t>
      </w:r>
      <w:r>
        <w:rPr>
          <w:rFonts w:ascii="宋体" w:hAnsi="宋体" w:eastAsia="宋体" w:cs="Times New Roman"/>
          <w:b/>
          <w:bCs/>
          <w:sz w:val="21"/>
          <w:szCs w:val="21"/>
        </w:rPr>
        <w:t>发布人：广东智汇城市招标采购有限公司</w:t>
      </w:r>
    </w:p>
    <w:p w14:paraId="54322AE1">
      <w:pPr>
        <w:pStyle w:val="21"/>
        <w:jc w:val="center"/>
        <w:rPr>
          <w:rFonts w:hint="default" w:ascii="宋体" w:hAnsi="宋体" w:eastAsia="宋体" w:cs="Times New Roman"/>
          <w:sz w:val="21"/>
          <w:szCs w:val="21"/>
          <w:lang w:eastAsia="zh-CN"/>
        </w:rPr>
      </w:pPr>
      <w:r>
        <w:rPr>
          <w:rFonts w:ascii="宋体" w:hAnsi="宋体" w:eastAsia="宋体" w:cs="Times New Roman"/>
          <w:b/>
          <w:bCs/>
          <w:sz w:val="21"/>
          <w:szCs w:val="21"/>
          <w:lang w:eastAsia="zh-CN"/>
        </w:rPr>
        <w:t xml:space="preserve">                                 </w:t>
      </w:r>
      <w:r>
        <w:rPr>
          <w:rFonts w:ascii="宋体" w:hAnsi="宋体" w:eastAsia="宋体" w:cs="Times New Roman"/>
          <w:b/>
          <w:bCs/>
          <w:sz w:val="21"/>
          <w:szCs w:val="21"/>
        </w:rPr>
        <w:t>发布时间：</w:t>
      </w:r>
      <w:r>
        <w:rPr>
          <w:rFonts w:hint="eastAsia" w:ascii="宋体" w:hAnsi="宋体" w:eastAsia="宋体" w:cs="Times New Roman"/>
          <w:b/>
          <w:bCs/>
          <w:sz w:val="21"/>
          <w:szCs w:val="21"/>
          <w:lang w:val="en-US" w:eastAsia="zh-CN"/>
        </w:rPr>
        <w:t>2025</w:t>
      </w:r>
      <w:r>
        <w:rPr>
          <w:rFonts w:ascii="宋体" w:hAnsi="宋体" w:eastAsia="宋体" w:cs="Times New Roman"/>
          <w:b/>
          <w:bCs/>
          <w:sz w:val="21"/>
          <w:szCs w:val="21"/>
        </w:rPr>
        <w:t>年</w:t>
      </w:r>
      <w:r>
        <w:rPr>
          <w:rFonts w:hint="eastAsia" w:ascii="宋体" w:hAnsi="宋体" w:eastAsia="宋体" w:cs="Times New Roman"/>
          <w:b/>
          <w:bCs/>
          <w:sz w:val="21"/>
          <w:szCs w:val="21"/>
          <w:lang w:val="en-US" w:eastAsia="zh-CN"/>
        </w:rPr>
        <w:t>05</w:t>
      </w:r>
      <w:r>
        <w:rPr>
          <w:rFonts w:ascii="宋体" w:hAnsi="宋体" w:eastAsia="宋体" w:cs="Times New Roman"/>
          <w:b/>
          <w:bCs/>
          <w:sz w:val="21"/>
          <w:szCs w:val="21"/>
        </w:rPr>
        <w:t>月</w:t>
      </w:r>
      <w:r>
        <w:rPr>
          <w:rFonts w:hint="eastAsia" w:ascii="宋体" w:hAnsi="宋体" w:eastAsia="宋体" w:cs="Times New Roman"/>
          <w:b/>
          <w:bCs/>
          <w:sz w:val="21"/>
          <w:szCs w:val="21"/>
          <w:lang w:val="en-US" w:eastAsia="zh-CN"/>
        </w:rPr>
        <w:t>21</w:t>
      </w:r>
      <w:r>
        <w:rPr>
          <w:rFonts w:ascii="宋体" w:hAnsi="宋体" w:eastAsia="宋体" w:cs="Times New Roman"/>
          <w:b/>
          <w:bCs/>
          <w:sz w:val="21"/>
          <w:szCs w:val="21"/>
        </w:rPr>
        <w:t>日</w:t>
      </w:r>
    </w:p>
    <w:p w14:paraId="12526B28">
      <w:pPr>
        <w:pageBreakBefore/>
        <w:jc w:val="center"/>
        <w:outlineLvl w:val="1"/>
        <w:rPr>
          <w:rFonts w:ascii="宋体" w:hAnsi="宋体" w:eastAsia="宋体" w:cs="Times New Roman"/>
          <w:kern w:val="0"/>
          <w:sz w:val="20"/>
          <w:szCs w:val="20"/>
        </w:rPr>
      </w:pPr>
      <w:bookmarkStart w:id="6" w:name="_Toc169799779"/>
      <w:bookmarkStart w:id="7" w:name="_Toc169807541"/>
      <w:r>
        <w:rPr>
          <w:rFonts w:ascii="宋体" w:hAnsi="宋体" w:eastAsia="宋体" w:cs="Times New Roman"/>
          <w:b/>
          <w:kern w:val="0"/>
          <w:sz w:val="36"/>
          <w:szCs w:val="20"/>
          <w:lang w:eastAsia="zh-Hans"/>
        </w:rPr>
        <w:t xml:space="preserve">第二章 </w:t>
      </w:r>
      <w:r>
        <w:rPr>
          <w:rFonts w:hint="eastAsia" w:ascii="宋体" w:hAnsi="宋体" w:eastAsia="宋体" w:cs="Times New Roman"/>
          <w:b/>
          <w:kern w:val="0"/>
          <w:sz w:val="36"/>
          <w:szCs w:val="20"/>
          <w:lang w:eastAsia="zh-Hans"/>
        </w:rPr>
        <w:t>采购需求</w:t>
      </w:r>
      <w:bookmarkEnd w:id="6"/>
      <w:bookmarkEnd w:id="7"/>
    </w:p>
    <w:p w14:paraId="7BB2AB82">
      <w:pPr>
        <w:snapToGrid w:val="0"/>
        <w:spacing w:line="360" w:lineRule="auto"/>
        <w:contextualSpacing/>
        <w:rPr>
          <w:rFonts w:ascii="宋体" w:hAnsi="宋体" w:eastAsia="宋体"/>
          <w:b/>
          <w:szCs w:val="21"/>
        </w:rPr>
      </w:pPr>
      <w:bookmarkStart w:id="8" w:name="_Hlk90919605"/>
      <w:r>
        <w:rPr>
          <w:rFonts w:hint="eastAsia" w:ascii="宋体" w:hAnsi="宋体" w:eastAsia="宋体"/>
          <w:b/>
          <w:szCs w:val="21"/>
        </w:rPr>
        <w:t>说明：</w:t>
      </w:r>
    </w:p>
    <w:p w14:paraId="5F5F7A64">
      <w:pPr>
        <w:pStyle w:val="27"/>
        <w:numPr>
          <w:ilvl w:val="0"/>
          <w:numId w:val="7"/>
        </w:numPr>
        <w:tabs>
          <w:tab w:val="left" w:pos="284"/>
        </w:tabs>
        <w:snapToGrid w:val="0"/>
        <w:spacing w:line="360" w:lineRule="auto"/>
        <w:ind w:left="284" w:hanging="284" w:firstLineChars="0"/>
        <w:contextualSpacing/>
        <w:rPr>
          <w:rFonts w:ascii="宋体" w:hAnsi="宋体" w:eastAsia="宋体"/>
          <w:szCs w:val="21"/>
        </w:rPr>
      </w:pPr>
      <w:r>
        <w:rPr>
          <w:rFonts w:hint="eastAsia" w:ascii="宋体" w:hAnsi="宋体" w:eastAsia="宋体"/>
          <w:szCs w:val="21"/>
        </w:rPr>
        <w:t>采购需求中标有“★”的地方均被视为重要的采购需求，投标人要特别加以注意，必须对此响应并完全满足这些要求，否则若有一项带“★”的要求未响应或不满足，将按无效投标处理。</w:t>
      </w:r>
    </w:p>
    <w:p w14:paraId="5B114659">
      <w:pPr>
        <w:pStyle w:val="27"/>
        <w:numPr>
          <w:ilvl w:val="0"/>
          <w:numId w:val="7"/>
        </w:numPr>
        <w:tabs>
          <w:tab w:val="left" w:pos="284"/>
        </w:tabs>
        <w:snapToGrid w:val="0"/>
        <w:spacing w:line="360" w:lineRule="auto"/>
        <w:ind w:left="284" w:hanging="284" w:firstLineChars="0"/>
        <w:contextualSpacing/>
        <w:rPr>
          <w:rFonts w:ascii="宋体" w:hAnsi="宋体" w:eastAsia="宋体"/>
          <w:szCs w:val="21"/>
        </w:rPr>
      </w:pPr>
      <w:r>
        <w:rPr>
          <w:rFonts w:hint="eastAsia" w:ascii="宋体" w:hAnsi="宋体" w:eastAsia="宋体"/>
          <w:szCs w:val="21"/>
        </w:rPr>
        <w:t>标有“▲”符号的内容为采购需求重点技术参数，若未能响应，则在评标过程中根据评审内容作扣分处理。</w:t>
      </w:r>
    </w:p>
    <w:p w14:paraId="40C49EFF">
      <w:pPr>
        <w:pStyle w:val="27"/>
        <w:numPr>
          <w:ilvl w:val="0"/>
          <w:numId w:val="7"/>
        </w:numPr>
        <w:tabs>
          <w:tab w:val="left" w:pos="284"/>
        </w:tabs>
        <w:snapToGrid w:val="0"/>
        <w:spacing w:line="360" w:lineRule="auto"/>
        <w:ind w:left="284" w:hanging="284" w:firstLineChars="0"/>
        <w:contextualSpacing/>
        <w:rPr>
          <w:rFonts w:ascii="宋体" w:hAnsi="宋体" w:eastAsia="宋体"/>
          <w:szCs w:val="21"/>
        </w:rPr>
      </w:pPr>
      <w:r>
        <w:rPr>
          <w:rFonts w:hint="eastAsia" w:ascii="宋体" w:hAnsi="宋体" w:eastAsia="宋体"/>
          <w:szCs w:val="21"/>
        </w:rPr>
        <w:t>投标报价中不得包含招标文件要求以外的内容，否则，在评标时不予核减。若投标报价有缺漏项的，缺漏项部分的价格视为已包含在投标报价中，中标后不作任何调整。</w:t>
      </w:r>
    </w:p>
    <w:bookmarkEnd w:id="8"/>
    <w:p w14:paraId="2620C18A">
      <w:pPr>
        <w:keepNext w:val="0"/>
        <w:keepLines w:val="0"/>
        <w:pageBreakBefore w:val="0"/>
        <w:kinsoku/>
        <w:wordWrap/>
        <w:overflowPunct/>
        <w:topLinePunct w:val="0"/>
        <w:autoSpaceDE/>
        <w:autoSpaceDN/>
        <w:bidi w:val="0"/>
        <w:adjustRightInd/>
        <w:snapToGrid w:val="0"/>
        <w:spacing w:line="360" w:lineRule="auto"/>
        <w:ind w:firstLine="422" w:firstLineChars="200"/>
        <w:outlineLvl w:val="0"/>
        <w:rPr>
          <w:rFonts w:hint="eastAsia" w:ascii="宋体" w:hAnsi="宋体" w:eastAsia="宋体" w:cs="宋体"/>
          <w:b/>
          <w:bCs/>
          <w:color w:val="auto"/>
          <w:sz w:val="21"/>
          <w:szCs w:val="21"/>
          <w:highlight w:val="none"/>
          <w:lang w:val="en-US" w:eastAsia="zh-CN"/>
        </w:rPr>
      </w:pPr>
    </w:p>
    <w:p w14:paraId="5FE05FBA">
      <w:pPr>
        <w:keepNext w:val="0"/>
        <w:keepLines w:val="0"/>
        <w:pageBreakBefore w:val="0"/>
        <w:numPr>
          <w:ilvl w:val="0"/>
          <w:numId w:val="8"/>
        </w:numPr>
        <w:kinsoku/>
        <w:wordWrap/>
        <w:overflowPunct/>
        <w:topLinePunct w:val="0"/>
        <w:autoSpaceDE/>
        <w:autoSpaceDN/>
        <w:bidi w:val="0"/>
        <w:adjustRightInd/>
        <w:snapToGrid w:val="0"/>
        <w:spacing w:line="360" w:lineRule="auto"/>
        <w:ind w:left="0" w:leftChars="0" w:firstLine="0" w:firstLineChars="0"/>
        <w:outlineLvl w:val="0"/>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商务要求</w:t>
      </w:r>
    </w:p>
    <w:p w14:paraId="33A6E450">
      <w:pPr>
        <w:keepNext w:val="0"/>
        <w:keepLines w:val="0"/>
        <w:pageBreakBefore w:val="0"/>
        <w:numPr>
          <w:ilvl w:val="0"/>
          <w:numId w:val="9"/>
        </w:numPr>
        <w:kinsoku/>
        <w:wordWrap/>
        <w:overflowPunct/>
        <w:topLinePunct w:val="0"/>
        <w:autoSpaceDE/>
        <w:autoSpaceDN/>
        <w:bidi w:val="0"/>
        <w:adjustRightInd/>
        <w:snapToGrid w:val="0"/>
        <w:spacing w:line="360" w:lineRule="auto"/>
        <w:ind w:left="0" w:leftChars="0" w:firstLine="0" w:firstLineChars="0"/>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服务期</w:t>
      </w:r>
    </w:p>
    <w:p w14:paraId="65A6051F">
      <w:pPr>
        <w:keepNext w:val="0"/>
        <w:keepLines w:val="0"/>
        <w:pageBreakBefore w:val="0"/>
        <w:numPr>
          <w:ilvl w:val="0"/>
          <w:numId w:val="10"/>
        </w:numPr>
        <w:kinsoku/>
        <w:wordWrap/>
        <w:overflowPunct/>
        <w:topLinePunct w:val="0"/>
        <w:autoSpaceDE/>
        <w:autoSpaceDN/>
        <w:bidi w:val="0"/>
        <w:adjustRightInd/>
        <w:snapToGrid w:val="0"/>
        <w:spacing w:line="360" w:lineRule="auto"/>
        <w:ind w:left="425" w:leftChars="0" w:hanging="425" w:firstLineChars="0"/>
        <w:rPr>
          <w:rFonts w:hint="eastAsia" w:ascii="宋体" w:hAnsi="宋体" w:eastAsia="宋体" w:cs="宋体"/>
          <w:b/>
          <w:bCs/>
          <w:color w:val="auto"/>
          <w:sz w:val="21"/>
          <w:szCs w:val="21"/>
          <w:highlight w:val="none"/>
          <w:lang w:val="en-US" w:eastAsia="zh-CN"/>
        </w:rPr>
      </w:pPr>
      <w:r>
        <w:rPr>
          <w:rFonts w:hint="eastAsia" w:ascii="宋体" w:hAnsi="宋体" w:eastAsia="宋体"/>
          <w:iCs/>
          <w:color w:val="auto"/>
          <w:szCs w:val="21"/>
          <w:lang w:val="en-US" w:eastAsia="zh-CN"/>
        </w:rPr>
        <w:t>3年，本项目采取一次招标3年沿用，实行1年1签合同。（拟自2025年7月1日起至2028年6月30日止，具体起止时间以本项目合同约定为准）</w:t>
      </w:r>
    </w:p>
    <w:p w14:paraId="52048CF5">
      <w:pPr>
        <w:keepNext w:val="0"/>
        <w:keepLines w:val="0"/>
        <w:pageBreakBefore w:val="0"/>
        <w:numPr>
          <w:ilvl w:val="0"/>
          <w:numId w:val="9"/>
        </w:numPr>
        <w:kinsoku/>
        <w:wordWrap/>
        <w:overflowPunct/>
        <w:topLinePunct w:val="0"/>
        <w:autoSpaceDE/>
        <w:autoSpaceDN/>
        <w:bidi w:val="0"/>
        <w:adjustRightInd/>
        <w:snapToGrid w:val="0"/>
        <w:spacing w:line="360" w:lineRule="auto"/>
        <w:ind w:left="0" w:leftChars="0" w:firstLine="0" w:firstLineChars="0"/>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付款方式</w:t>
      </w:r>
    </w:p>
    <w:p w14:paraId="657C247D">
      <w:pPr>
        <w:keepNext w:val="0"/>
        <w:keepLines w:val="0"/>
        <w:pageBreakBefore w:val="0"/>
        <w:numPr>
          <w:ilvl w:val="0"/>
          <w:numId w:val="11"/>
        </w:numPr>
        <w:kinsoku/>
        <w:wordWrap/>
        <w:overflowPunct/>
        <w:topLinePunct w:val="0"/>
        <w:autoSpaceDE/>
        <w:autoSpaceDN/>
        <w:bidi w:val="0"/>
        <w:adjustRightInd/>
        <w:snapToGrid w:val="0"/>
        <w:spacing w:line="360" w:lineRule="auto"/>
        <w:ind w:left="425" w:leftChars="0" w:hanging="425" w:firstLineChars="0"/>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按月支付服务费，每月结合考核标准进行结算。合同生效后第二个月起每月 15 日前向中标人支付上月的服务费。</w:t>
      </w:r>
    </w:p>
    <w:p w14:paraId="3CF637D6">
      <w:pPr>
        <w:keepNext w:val="0"/>
        <w:keepLines w:val="0"/>
        <w:pageBreakBefore w:val="0"/>
        <w:numPr>
          <w:ilvl w:val="0"/>
          <w:numId w:val="11"/>
        </w:numPr>
        <w:kinsoku/>
        <w:wordWrap/>
        <w:overflowPunct/>
        <w:topLinePunct w:val="0"/>
        <w:autoSpaceDE/>
        <w:autoSpaceDN/>
        <w:bidi w:val="0"/>
        <w:adjustRightInd/>
        <w:snapToGrid w:val="0"/>
        <w:spacing w:line="360" w:lineRule="auto"/>
        <w:ind w:left="425" w:leftChars="0" w:hanging="425" w:firstLineChars="0"/>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每期费用支付时，中标人应在接到采购人开票通知后10天内，提交相应金额的正式发票；如中标人未能按照约定提供相应金额的正式发票，由此产生的责任和损失由中标人自行承担。</w:t>
      </w:r>
    </w:p>
    <w:p w14:paraId="637AA28C">
      <w:pPr>
        <w:keepNext w:val="0"/>
        <w:keepLines w:val="0"/>
        <w:pageBreakBefore w:val="0"/>
        <w:numPr>
          <w:ilvl w:val="0"/>
          <w:numId w:val="11"/>
        </w:numPr>
        <w:kinsoku/>
        <w:wordWrap/>
        <w:overflowPunct/>
        <w:topLinePunct w:val="0"/>
        <w:autoSpaceDE/>
        <w:autoSpaceDN/>
        <w:bidi w:val="0"/>
        <w:adjustRightInd/>
        <w:snapToGrid w:val="0"/>
        <w:spacing w:line="360" w:lineRule="auto"/>
        <w:ind w:left="425" w:leftChars="0" w:hanging="425" w:firstLineChars="0"/>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每期服务费=中标总金额÷36个月×</w:t>
      </w:r>
      <w:r>
        <w:rPr>
          <w:rFonts w:hint="eastAsia" w:ascii="宋体" w:hAnsi="宋体" w:eastAsia="宋体" w:cs="宋体"/>
          <w:color w:val="auto"/>
          <w:kern w:val="2"/>
          <w:sz w:val="21"/>
          <w:szCs w:val="21"/>
          <w:highlight w:val="none"/>
          <w:lang w:val="en-US" w:eastAsia="zh-CN" w:bidi="ar-SA"/>
        </w:rPr>
        <w:t>月度考评服务费扣减比例（即虎门镇环卫保洁明检扣减标准表）</w:t>
      </w:r>
      <w:r>
        <w:rPr>
          <w:rFonts w:hint="eastAsia" w:ascii="宋体" w:hAnsi="宋体" w:eastAsia="宋体" w:cs="宋体"/>
          <w:b w:val="0"/>
          <w:bCs w:val="0"/>
          <w:color w:val="auto"/>
          <w:sz w:val="21"/>
          <w:szCs w:val="21"/>
          <w:highlight w:val="none"/>
          <w:lang w:val="en-US" w:eastAsia="zh-CN"/>
        </w:rPr>
        <w:t>。</w:t>
      </w:r>
    </w:p>
    <w:p w14:paraId="291BAFD1">
      <w:pPr>
        <w:keepNext w:val="0"/>
        <w:keepLines w:val="0"/>
        <w:pageBreakBefore w:val="0"/>
        <w:numPr>
          <w:ilvl w:val="0"/>
          <w:numId w:val="9"/>
        </w:numPr>
        <w:kinsoku/>
        <w:wordWrap/>
        <w:overflowPunct/>
        <w:topLinePunct w:val="0"/>
        <w:autoSpaceDE/>
        <w:autoSpaceDN/>
        <w:bidi w:val="0"/>
        <w:adjustRightInd/>
        <w:snapToGrid w:val="0"/>
        <w:spacing w:line="360" w:lineRule="auto"/>
        <w:ind w:left="0" w:leftChars="0" w:firstLine="0" w:firstLineChars="0"/>
        <w:rPr>
          <w:rFonts w:hint="default" w:ascii="宋体" w:hAnsi="宋体" w:eastAsia="宋体" w:cs="宋体"/>
          <w:b/>
          <w:bCs/>
          <w:color w:val="auto"/>
          <w:sz w:val="21"/>
          <w:szCs w:val="21"/>
          <w:highlight w:val="none"/>
          <w:lang w:val="en-US" w:eastAsia="zh-CN"/>
        </w:rPr>
      </w:pPr>
      <w:r>
        <w:rPr>
          <w:rFonts w:hint="default" w:ascii="宋体" w:hAnsi="宋体" w:eastAsia="宋体" w:cs="宋体"/>
          <w:b/>
          <w:bCs/>
          <w:color w:val="auto"/>
          <w:sz w:val="21"/>
          <w:szCs w:val="21"/>
          <w:highlight w:val="none"/>
          <w:lang w:val="en-US" w:eastAsia="zh-CN"/>
        </w:rPr>
        <w:t>报价内容</w:t>
      </w:r>
    </w:p>
    <w:p w14:paraId="0FCEC8C0">
      <w:pPr>
        <w:keepNext w:val="0"/>
        <w:keepLines w:val="0"/>
        <w:pageBreakBefore w:val="0"/>
        <w:numPr>
          <w:ilvl w:val="0"/>
          <w:numId w:val="12"/>
        </w:numPr>
        <w:kinsoku/>
        <w:wordWrap/>
        <w:overflowPunct/>
        <w:topLinePunct w:val="0"/>
        <w:autoSpaceDE/>
        <w:autoSpaceDN/>
        <w:bidi w:val="0"/>
        <w:adjustRightInd/>
        <w:snapToGrid w:val="0"/>
        <w:spacing w:line="360" w:lineRule="auto"/>
        <w:ind w:left="425" w:leftChars="0" w:hanging="425" w:firstLineChars="0"/>
        <w:rPr>
          <w:rFonts w:hint="default" w:ascii="宋体" w:hAnsi="宋体" w:eastAsia="宋体" w:cs="宋体"/>
          <w:b w:val="0"/>
          <w:bCs w:val="0"/>
          <w:color w:val="auto"/>
          <w:sz w:val="21"/>
          <w:szCs w:val="21"/>
          <w:highlight w:val="none"/>
          <w:lang w:val="en-US" w:eastAsia="zh-CN"/>
        </w:rPr>
      </w:pPr>
      <w:r>
        <w:rPr>
          <w:rFonts w:hint="default" w:ascii="宋体" w:hAnsi="宋体" w:eastAsia="宋体" w:cs="宋体"/>
          <w:b w:val="0"/>
          <w:bCs w:val="0"/>
          <w:color w:val="auto"/>
          <w:sz w:val="21"/>
          <w:szCs w:val="21"/>
          <w:highlight w:val="none"/>
          <w:lang w:val="en-US" w:eastAsia="zh-CN"/>
        </w:rPr>
        <w:t>报价应包含垃圾清运费用、管理费用、人员费用（含员工正常工作时间工资、加班工资、奖金、津贴、食宿费、住房补助、劳动保障、福利、医疗保险与费用、工伤保险与费用、失业保险、社会保障、教育培训费用、暂住费用、伤亡事故处理费用等费用）、税费、生产资料费用（含作业用水、用电的费用，含各种环卫工具、环卫车辆、环卫机械设备的投入和耗损、果皮箱、环卫工具房购置及维修费）、市政设施防张贴防涂写防刻画涂料的购买与喷涂费用等与环卫保洁有关的一切费用。</w:t>
      </w:r>
    </w:p>
    <w:p w14:paraId="249C3C9F">
      <w:pPr>
        <w:keepNext w:val="0"/>
        <w:keepLines w:val="0"/>
        <w:pageBreakBefore w:val="0"/>
        <w:numPr>
          <w:ilvl w:val="0"/>
          <w:numId w:val="9"/>
        </w:numPr>
        <w:kinsoku/>
        <w:wordWrap/>
        <w:overflowPunct/>
        <w:topLinePunct w:val="0"/>
        <w:autoSpaceDE/>
        <w:autoSpaceDN/>
        <w:bidi w:val="0"/>
        <w:adjustRightInd/>
        <w:snapToGrid w:val="0"/>
        <w:spacing w:line="360" w:lineRule="auto"/>
        <w:ind w:left="0" w:leftChars="0" w:firstLine="0" w:firstLineChars="0"/>
        <w:rPr>
          <w:rFonts w:hint="default"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验收要求</w:t>
      </w:r>
    </w:p>
    <w:p w14:paraId="5D202737">
      <w:pPr>
        <w:keepNext w:val="0"/>
        <w:keepLines w:val="0"/>
        <w:pageBreakBefore w:val="0"/>
        <w:numPr>
          <w:ilvl w:val="0"/>
          <w:numId w:val="13"/>
        </w:numPr>
        <w:kinsoku/>
        <w:wordWrap/>
        <w:overflowPunct/>
        <w:topLinePunct w:val="0"/>
        <w:autoSpaceDE/>
        <w:autoSpaceDN/>
        <w:bidi w:val="0"/>
        <w:adjustRightInd/>
        <w:snapToGrid w:val="0"/>
        <w:spacing w:line="360" w:lineRule="auto"/>
        <w:ind w:left="425" w:leftChars="0" w:hanging="425" w:firstLineChars="0"/>
        <w:rPr>
          <w:rFonts w:hint="default"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验收标准根据《</w:t>
      </w:r>
      <w:r>
        <w:rPr>
          <w:rFonts w:hint="default" w:ascii="宋体" w:hAnsi="宋体" w:eastAsia="宋体" w:cs="宋体"/>
          <w:b w:val="0"/>
          <w:bCs w:val="0"/>
          <w:color w:val="auto"/>
          <w:sz w:val="21"/>
          <w:szCs w:val="21"/>
          <w:highlight w:val="none"/>
          <w:lang w:val="en-US" w:eastAsia="zh-CN"/>
        </w:rPr>
        <w:t>虎门镇黄村社区环卫清扫保洁考评表</w:t>
      </w:r>
      <w:r>
        <w:rPr>
          <w:rFonts w:hint="eastAsia" w:ascii="宋体" w:hAnsi="宋体" w:eastAsia="宋体" w:cs="宋体"/>
          <w:b w:val="0"/>
          <w:bCs w:val="0"/>
          <w:color w:val="auto"/>
          <w:sz w:val="21"/>
          <w:szCs w:val="21"/>
          <w:highlight w:val="none"/>
          <w:lang w:val="en-US" w:eastAsia="zh-CN"/>
        </w:rPr>
        <w:t>》的内容</w:t>
      </w:r>
      <w:r>
        <w:rPr>
          <w:rFonts w:hint="eastAsia" w:ascii="宋体" w:hAnsi="宋体" w:eastAsia="宋体"/>
          <w:iCs/>
          <w:color w:val="auto"/>
          <w:szCs w:val="21"/>
        </w:rPr>
        <w:t>执行</w:t>
      </w:r>
      <w:r>
        <w:rPr>
          <w:rFonts w:hint="eastAsia" w:ascii="宋体" w:hAnsi="宋体" w:eastAsia="宋体"/>
          <w:iCs/>
          <w:color w:val="auto"/>
          <w:szCs w:val="21"/>
          <w:lang w:eastAsia="zh-CN"/>
        </w:rPr>
        <w:t>。</w:t>
      </w:r>
    </w:p>
    <w:p w14:paraId="5456AC0D">
      <w:pPr>
        <w:keepNext w:val="0"/>
        <w:keepLines w:val="0"/>
        <w:pageBreakBefore w:val="0"/>
        <w:numPr>
          <w:ilvl w:val="0"/>
          <w:numId w:val="13"/>
        </w:numPr>
        <w:kinsoku/>
        <w:wordWrap/>
        <w:overflowPunct/>
        <w:topLinePunct w:val="0"/>
        <w:autoSpaceDE/>
        <w:autoSpaceDN/>
        <w:bidi w:val="0"/>
        <w:adjustRightInd/>
        <w:snapToGrid w:val="0"/>
        <w:spacing w:line="360" w:lineRule="auto"/>
        <w:ind w:left="425" w:leftChars="0" w:hanging="425" w:firstLineChars="0"/>
        <w:rPr>
          <w:rFonts w:hint="default" w:ascii="宋体" w:hAnsi="宋体" w:eastAsia="宋体" w:cs="宋体"/>
          <w:b w:val="0"/>
          <w:bCs w:val="0"/>
          <w:color w:val="auto"/>
          <w:sz w:val="21"/>
          <w:szCs w:val="21"/>
          <w:highlight w:val="none"/>
          <w:lang w:val="en-US" w:eastAsia="zh-CN"/>
        </w:rPr>
      </w:pPr>
      <w:r>
        <w:rPr>
          <w:rFonts w:hint="eastAsia" w:ascii="宋体" w:hAnsi="宋体" w:eastAsia="宋体"/>
          <w:iCs/>
          <w:color w:val="auto"/>
          <w:szCs w:val="21"/>
          <w:lang w:val="en-US" w:eastAsia="zh-CN"/>
        </w:rPr>
        <w:t>采购人验收方式分为由日常验收和月度验收。</w:t>
      </w:r>
    </w:p>
    <w:p w14:paraId="77C7E4B5">
      <w:pPr>
        <w:keepNext w:val="0"/>
        <w:keepLines w:val="0"/>
        <w:pageBreakBefore w:val="0"/>
        <w:numPr>
          <w:ilvl w:val="0"/>
          <w:numId w:val="8"/>
        </w:numPr>
        <w:kinsoku/>
        <w:wordWrap/>
        <w:overflowPunct/>
        <w:topLinePunct w:val="0"/>
        <w:autoSpaceDE/>
        <w:autoSpaceDN/>
        <w:bidi w:val="0"/>
        <w:adjustRightInd/>
        <w:snapToGrid w:val="0"/>
        <w:spacing w:line="360" w:lineRule="auto"/>
        <w:ind w:left="0" w:leftChars="0" w:firstLine="0" w:firstLineChars="0"/>
        <w:outlineLvl w:val="0"/>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技术要求</w:t>
      </w:r>
    </w:p>
    <w:p w14:paraId="51806F0C">
      <w:pPr>
        <w:keepNext w:val="0"/>
        <w:keepLines w:val="0"/>
        <w:pageBreakBefore w:val="0"/>
        <w:numPr>
          <w:ilvl w:val="0"/>
          <w:numId w:val="14"/>
        </w:numPr>
        <w:kinsoku/>
        <w:wordWrap/>
        <w:overflowPunct/>
        <w:topLinePunct w:val="0"/>
        <w:autoSpaceDE/>
        <w:autoSpaceDN/>
        <w:bidi w:val="0"/>
        <w:adjustRightInd/>
        <w:snapToGrid w:val="0"/>
        <w:spacing w:line="360" w:lineRule="auto"/>
        <w:ind w:left="0" w:leftChars="0" w:firstLine="0" w:firstLineChars="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工作范围及内容</w:t>
      </w:r>
    </w:p>
    <w:p w14:paraId="05D38186">
      <w:pPr>
        <w:pStyle w:val="6"/>
        <w:keepNext w:val="0"/>
        <w:keepLines w:val="0"/>
        <w:pageBreakBefore w:val="0"/>
        <w:widowControl w:val="0"/>
        <w:numPr>
          <w:ilvl w:val="0"/>
          <w:numId w:val="15"/>
        </w:numPr>
        <w:kinsoku/>
        <w:wordWrap/>
        <w:overflowPunct/>
        <w:topLinePunct w:val="0"/>
        <w:autoSpaceDE/>
        <w:autoSpaceDN/>
        <w:bidi w:val="0"/>
        <w:adjustRightInd/>
        <w:snapToGrid w:val="0"/>
        <w:spacing w:after="0"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总体范围及内容</w:t>
      </w:r>
    </w:p>
    <w:p w14:paraId="34132AE2">
      <w:pPr>
        <w:pStyle w:val="6"/>
        <w:keepNext w:val="0"/>
        <w:keepLines w:val="0"/>
        <w:pageBreakBefore w:val="0"/>
        <w:widowControl w:val="0"/>
        <w:numPr>
          <w:ilvl w:val="0"/>
          <w:numId w:val="16"/>
        </w:numPr>
        <w:kinsoku/>
        <w:wordWrap/>
        <w:overflowPunct/>
        <w:topLinePunct w:val="0"/>
        <w:autoSpaceDE/>
        <w:autoSpaceDN/>
        <w:bidi w:val="0"/>
        <w:adjustRightInd/>
        <w:snapToGrid w:val="0"/>
        <w:spacing w:after="0" w:line="360" w:lineRule="auto"/>
        <w:ind w:left="425" w:leftChars="0" w:hanging="425"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主要包含虎门镇黄村社区区域范围内的清扫保洁、冲洗降尘、“牛皮癣”清理、雨水井清理、生活垃圾收集至转运站（收集点）、大件垃圾的清运处理、河涌垃圾清理、保洁、河道边坡卫生清理保洁、辖区范围内的绿化维护保洁和杂草清除、以及社区负责的范围维护绿化修剪、（除出动大型设备：如吊机车等所需吊机车费由</w:t>
      </w:r>
      <w:r>
        <w:rPr>
          <w:rFonts w:hint="eastAsia" w:ascii="宋体" w:hAnsi="宋体" w:cs="宋体"/>
          <w:color w:val="auto"/>
          <w:sz w:val="21"/>
          <w:szCs w:val="21"/>
          <w:highlight w:val="none"/>
          <w:lang w:val="en-US" w:eastAsia="zh-CN"/>
        </w:rPr>
        <w:t>采购人</w:t>
      </w:r>
      <w:r>
        <w:rPr>
          <w:rFonts w:hint="eastAsia" w:ascii="宋体" w:hAnsi="宋体" w:eastAsia="宋体" w:cs="宋体"/>
          <w:color w:val="auto"/>
          <w:sz w:val="21"/>
          <w:szCs w:val="21"/>
          <w:highlight w:val="none"/>
          <w:lang w:val="en-US" w:eastAsia="zh-CN"/>
        </w:rPr>
        <w:t>与</w:t>
      </w:r>
      <w:r>
        <w:rPr>
          <w:rFonts w:hint="eastAsia" w:ascii="宋体" w:hAnsi="宋体" w:cs="宋体"/>
          <w:color w:val="auto"/>
          <w:sz w:val="21"/>
          <w:szCs w:val="21"/>
          <w:highlight w:val="none"/>
          <w:lang w:val="en-US" w:eastAsia="zh-CN"/>
        </w:rPr>
        <w:t>中标人</w:t>
      </w:r>
      <w:r>
        <w:rPr>
          <w:rFonts w:hint="eastAsia" w:ascii="宋体" w:hAnsi="宋体" w:eastAsia="宋体" w:cs="宋体"/>
          <w:color w:val="auto"/>
          <w:sz w:val="21"/>
          <w:szCs w:val="21"/>
          <w:highlight w:val="none"/>
          <w:lang w:val="en-US" w:eastAsia="zh-CN"/>
        </w:rPr>
        <w:t>协商具体费用等）、环卫器具清洗管理等环卫保洁作业内容，道路共计长约21.52748公里，道路保洁面积约137303.8平方米，绿化保洁面积约4960平方米。河道面积3653平方米。另外包括每年对项目区域范围提供不少于</w:t>
      </w:r>
      <w:r>
        <w:rPr>
          <w:rFonts w:hint="eastAsia" w:ascii="宋体" w:hAnsi="宋体" w:cs="宋体"/>
          <w:color w:val="auto"/>
          <w:sz w:val="21"/>
          <w:szCs w:val="21"/>
          <w:highlight w:val="none"/>
          <w:lang w:val="en-US" w:eastAsia="zh-CN"/>
        </w:rPr>
        <w:t>12</w:t>
      </w:r>
      <w:r>
        <w:rPr>
          <w:rFonts w:hint="eastAsia" w:ascii="宋体" w:hAnsi="宋体" w:eastAsia="宋体" w:cs="宋体"/>
          <w:color w:val="auto"/>
          <w:sz w:val="21"/>
          <w:szCs w:val="21"/>
          <w:highlight w:val="none"/>
          <w:lang w:val="en-US" w:eastAsia="zh-CN"/>
        </w:rPr>
        <w:t>次的除四害活动。</w:t>
      </w:r>
    </w:p>
    <w:p w14:paraId="3F64E072">
      <w:pPr>
        <w:pStyle w:val="6"/>
        <w:keepNext w:val="0"/>
        <w:keepLines w:val="0"/>
        <w:pageBreakBefore w:val="0"/>
        <w:widowControl w:val="0"/>
        <w:kinsoku/>
        <w:wordWrap/>
        <w:overflowPunct/>
        <w:topLinePunct w:val="0"/>
        <w:autoSpaceDE/>
        <w:autoSpaceDN/>
        <w:bidi w:val="0"/>
        <w:adjustRightInd/>
        <w:snapToGrid w:val="0"/>
        <w:spacing w:after="0" w:line="360" w:lineRule="auto"/>
        <w:ind w:firstLine="210" w:firstLineChars="1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具体如下：</w:t>
      </w:r>
    </w:p>
    <w:p w14:paraId="3339F09C">
      <w:pPr>
        <w:pStyle w:val="6"/>
        <w:keepNext w:val="0"/>
        <w:keepLines w:val="0"/>
        <w:pageBreakBefore w:val="0"/>
        <w:widowControl w:val="0"/>
        <w:numPr>
          <w:ilvl w:val="0"/>
          <w:numId w:val="16"/>
        </w:numPr>
        <w:kinsoku/>
        <w:wordWrap/>
        <w:overflowPunct/>
        <w:topLinePunct w:val="0"/>
        <w:autoSpaceDE/>
        <w:autoSpaceDN/>
        <w:bidi w:val="0"/>
        <w:adjustRightInd/>
        <w:snapToGrid w:val="0"/>
        <w:spacing w:after="0" w:line="360" w:lineRule="auto"/>
        <w:ind w:left="425" w:leftChars="0" w:hanging="425"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道路明细表</w:t>
      </w:r>
    </w:p>
    <w:tbl>
      <w:tblPr>
        <w:tblStyle w:val="14"/>
        <w:tblpPr w:leftFromText="180" w:rightFromText="180" w:vertAnchor="text" w:horzAnchor="page" w:tblpX="1426" w:tblpY="40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5"/>
        <w:gridCol w:w="1186"/>
        <w:gridCol w:w="984"/>
        <w:gridCol w:w="898"/>
        <w:gridCol w:w="1089"/>
        <w:gridCol w:w="898"/>
        <w:gridCol w:w="898"/>
        <w:gridCol w:w="1089"/>
        <w:gridCol w:w="546"/>
        <w:gridCol w:w="1233"/>
      </w:tblGrid>
      <w:tr w14:paraId="61C34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0" w:type="auto"/>
            <w:vMerge w:val="restart"/>
            <w:tcBorders>
              <w:top w:val="single" w:color="auto" w:sz="4" w:space="0"/>
              <w:left w:val="single" w:color="auto" w:sz="4" w:space="0"/>
              <w:right w:val="single" w:color="auto" w:sz="4" w:space="0"/>
            </w:tcBorders>
            <w:shd w:val="clear" w:color="auto" w:fill="auto"/>
            <w:noWrap w:val="0"/>
            <w:vAlign w:val="center"/>
          </w:tcPr>
          <w:p w14:paraId="18BFEB27">
            <w:pPr>
              <w:keepNext w:val="0"/>
              <w:keepLines w:val="0"/>
              <w:pageBreakBefore w:val="0"/>
              <w:kinsoku/>
              <w:wordWrap/>
              <w:overflowPunct/>
              <w:topLinePunct w:val="0"/>
              <w:autoSpaceDE/>
              <w:autoSpaceDN/>
              <w:bidi w:val="0"/>
              <w:adjustRightInd w:val="0"/>
              <w:snapToGrid w:val="0"/>
              <w:spacing w:beforeAutospacing="0" w:afterAutospacing="0" w:line="500" w:lineRule="exact"/>
              <w:ind w:firstLine="0" w:firstLineChars="0"/>
              <w:jc w:val="center"/>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序号</w:t>
            </w:r>
          </w:p>
        </w:tc>
        <w:tc>
          <w:tcPr>
            <w:tcW w:w="0" w:type="auto"/>
            <w:vMerge w:val="restart"/>
            <w:tcBorders>
              <w:top w:val="single" w:color="auto" w:sz="4" w:space="0"/>
              <w:left w:val="single" w:color="auto" w:sz="4" w:space="0"/>
              <w:right w:val="single" w:color="auto" w:sz="4" w:space="0"/>
            </w:tcBorders>
            <w:shd w:val="clear" w:color="auto" w:fill="auto"/>
            <w:noWrap w:val="0"/>
            <w:vAlign w:val="center"/>
          </w:tcPr>
          <w:p w14:paraId="6E704E79">
            <w:pPr>
              <w:keepNext w:val="0"/>
              <w:keepLines w:val="0"/>
              <w:pageBreakBefore w:val="0"/>
              <w:kinsoku/>
              <w:wordWrap/>
              <w:overflowPunct/>
              <w:topLinePunct w:val="0"/>
              <w:autoSpaceDE/>
              <w:autoSpaceDN/>
              <w:bidi w:val="0"/>
              <w:adjustRightInd w:val="0"/>
              <w:snapToGrid w:val="0"/>
              <w:spacing w:beforeAutospacing="0" w:afterAutospacing="0" w:line="500" w:lineRule="exact"/>
              <w:ind w:firstLine="0" w:firstLineChars="0"/>
              <w:jc w:val="center"/>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道路（区域）</w:t>
            </w:r>
          </w:p>
          <w:p w14:paraId="109A497C">
            <w:pPr>
              <w:keepNext w:val="0"/>
              <w:keepLines w:val="0"/>
              <w:pageBreakBefore w:val="0"/>
              <w:kinsoku/>
              <w:wordWrap/>
              <w:overflowPunct/>
              <w:topLinePunct w:val="0"/>
              <w:autoSpaceDE/>
              <w:autoSpaceDN/>
              <w:bidi w:val="0"/>
              <w:adjustRightInd w:val="0"/>
              <w:snapToGrid w:val="0"/>
              <w:spacing w:beforeAutospacing="0" w:afterAutospacing="0" w:line="500" w:lineRule="exact"/>
              <w:ind w:firstLine="0" w:firstLineChars="0"/>
              <w:jc w:val="center"/>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名称</w:t>
            </w:r>
          </w:p>
        </w:tc>
        <w:tc>
          <w:tcPr>
            <w:tcW w:w="0" w:type="auto"/>
            <w:gridSpan w:val="3"/>
            <w:tcBorders>
              <w:top w:val="single" w:color="auto" w:sz="4" w:space="0"/>
              <w:left w:val="single" w:color="auto" w:sz="4" w:space="0"/>
              <w:bottom w:val="single" w:color="auto" w:sz="4" w:space="0"/>
              <w:right w:val="single" w:color="auto" w:sz="4" w:space="0"/>
            </w:tcBorders>
            <w:shd w:val="clear" w:color="auto" w:fill="auto"/>
            <w:noWrap w:val="0"/>
            <w:vAlign w:val="center"/>
          </w:tcPr>
          <w:p w14:paraId="0A1A23C6">
            <w:pPr>
              <w:keepNext w:val="0"/>
              <w:keepLines w:val="0"/>
              <w:pageBreakBefore w:val="0"/>
              <w:kinsoku/>
              <w:wordWrap/>
              <w:overflowPunct/>
              <w:topLinePunct w:val="0"/>
              <w:autoSpaceDE/>
              <w:autoSpaceDN/>
              <w:bidi w:val="0"/>
              <w:adjustRightInd w:val="0"/>
              <w:snapToGrid w:val="0"/>
              <w:spacing w:beforeAutospacing="0" w:afterAutospacing="0" w:line="500" w:lineRule="exact"/>
              <w:ind w:firstLine="0" w:firstLineChars="0"/>
              <w:jc w:val="center"/>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bCs/>
                <w:i w:val="0"/>
                <w:iCs w:val="0"/>
                <w:color w:val="auto"/>
                <w:kern w:val="0"/>
                <w:sz w:val="21"/>
                <w:szCs w:val="21"/>
                <w:highlight w:val="none"/>
                <w:u w:val="none"/>
                <w:lang w:val="en-US" w:eastAsia="zh-CN" w:bidi="ar"/>
              </w:rPr>
              <w:t>车道</w:t>
            </w:r>
          </w:p>
        </w:tc>
        <w:tc>
          <w:tcPr>
            <w:tcW w:w="0" w:type="auto"/>
            <w:gridSpan w:val="3"/>
            <w:tcBorders>
              <w:top w:val="single" w:color="auto" w:sz="4" w:space="0"/>
              <w:left w:val="single" w:color="auto" w:sz="4" w:space="0"/>
              <w:bottom w:val="single" w:color="auto" w:sz="4" w:space="0"/>
              <w:right w:val="single" w:color="auto" w:sz="4" w:space="0"/>
            </w:tcBorders>
            <w:shd w:val="clear" w:color="auto" w:fill="auto"/>
            <w:noWrap w:val="0"/>
            <w:vAlign w:val="center"/>
          </w:tcPr>
          <w:p w14:paraId="545FBA86">
            <w:pPr>
              <w:keepNext w:val="0"/>
              <w:keepLines w:val="0"/>
              <w:pageBreakBefore w:val="0"/>
              <w:kinsoku/>
              <w:wordWrap/>
              <w:overflowPunct/>
              <w:topLinePunct w:val="0"/>
              <w:autoSpaceDE/>
              <w:autoSpaceDN/>
              <w:bidi w:val="0"/>
              <w:adjustRightInd w:val="0"/>
              <w:snapToGrid w:val="0"/>
              <w:spacing w:beforeAutospacing="0" w:afterAutospacing="0" w:line="500" w:lineRule="exact"/>
              <w:ind w:firstLine="0" w:firstLineChars="0"/>
              <w:jc w:val="center"/>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bCs/>
                <w:i w:val="0"/>
                <w:iCs w:val="0"/>
                <w:color w:val="auto"/>
                <w:kern w:val="0"/>
                <w:sz w:val="21"/>
                <w:szCs w:val="21"/>
                <w:highlight w:val="none"/>
                <w:u w:val="none"/>
                <w:lang w:val="en-US" w:eastAsia="zh-CN" w:bidi="ar"/>
              </w:rPr>
              <w:t>人行道</w:t>
            </w:r>
          </w:p>
        </w:tc>
        <w:tc>
          <w:tcPr>
            <w:tcW w:w="0" w:type="auto"/>
            <w:vMerge w:val="restart"/>
            <w:tcBorders>
              <w:top w:val="single" w:color="auto" w:sz="4" w:space="0"/>
              <w:left w:val="single" w:color="auto" w:sz="4" w:space="0"/>
              <w:right w:val="single" w:color="auto" w:sz="4" w:space="0"/>
            </w:tcBorders>
            <w:shd w:val="clear" w:color="auto" w:fill="auto"/>
            <w:noWrap w:val="0"/>
            <w:vAlign w:val="center"/>
          </w:tcPr>
          <w:p w14:paraId="5DCEDAEE">
            <w:pPr>
              <w:keepNext w:val="0"/>
              <w:keepLines w:val="0"/>
              <w:pageBreakBefore w:val="0"/>
              <w:kinsoku/>
              <w:wordWrap/>
              <w:overflowPunct/>
              <w:topLinePunct w:val="0"/>
              <w:autoSpaceDE/>
              <w:autoSpaceDN/>
              <w:bidi w:val="0"/>
              <w:adjustRightInd w:val="0"/>
              <w:snapToGrid w:val="0"/>
              <w:spacing w:beforeAutospacing="0" w:afterAutospacing="0" w:line="500" w:lineRule="exact"/>
              <w:ind w:firstLine="0" w:firstLineChars="0"/>
              <w:jc w:val="center"/>
              <w:textAlignment w:val="auto"/>
              <w:rPr>
                <w:rFonts w:hint="default" w:ascii="宋体" w:hAnsi="宋体" w:eastAsia="宋体" w:cs="宋体"/>
                <w:b/>
                <w:bCs/>
                <w:i w:val="0"/>
                <w:iCs w:val="0"/>
                <w:color w:val="auto"/>
                <w:kern w:val="0"/>
                <w:sz w:val="21"/>
                <w:szCs w:val="21"/>
                <w:highlight w:val="none"/>
                <w:u w:val="none"/>
                <w:lang w:val="en-US" w:eastAsia="zh-CN" w:bidi="ar"/>
              </w:rPr>
            </w:pPr>
            <w:r>
              <w:rPr>
                <w:rFonts w:hint="eastAsia" w:ascii="宋体" w:hAnsi="宋体" w:eastAsia="宋体" w:cs="宋体"/>
                <w:b/>
                <w:bCs/>
                <w:i w:val="0"/>
                <w:iCs w:val="0"/>
                <w:color w:val="auto"/>
                <w:kern w:val="0"/>
                <w:sz w:val="21"/>
                <w:szCs w:val="21"/>
                <w:highlight w:val="none"/>
                <w:u w:val="none"/>
                <w:lang w:val="en-US" w:eastAsia="zh-CN" w:bidi="ar"/>
              </w:rPr>
              <w:t>养护等级</w:t>
            </w:r>
          </w:p>
        </w:tc>
        <w:tc>
          <w:tcPr>
            <w:tcW w:w="0" w:type="auto"/>
            <w:vMerge w:val="restart"/>
            <w:tcBorders>
              <w:top w:val="single" w:color="auto" w:sz="4" w:space="0"/>
              <w:left w:val="single" w:color="auto" w:sz="4" w:space="0"/>
              <w:right w:val="single" w:color="auto" w:sz="4" w:space="0"/>
            </w:tcBorders>
            <w:shd w:val="clear" w:color="auto" w:fill="auto"/>
            <w:noWrap w:val="0"/>
            <w:vAlign w:val="center"/>
          </w:tcPr>
          <w:p w14:paraId="1F643F61">
            <w:pPr>
              <w:keepNext w:val="0"/>
              <w:keepLines w:val="0"/>
              <w:pageBreakBefore w:val="0"/>
              <w:kinsoku/>
              <w:wordWrap/>
              <w:overflowPunct/>
              <w:topLinePunct w:val="0"/>
              <w:autoSpaceDE/>
              <w:autoSpaceDN/>
              <w:bidi w:val="0"/>
              <w:adjustRightInd w:val="0"/>
              <w:snapToGrid w:val="0"/>
              <w:spacing w:beforeAutospacing="0" w:afterAutospacing="0" w:line="500" w:lineRule="exact"/>
              <w:ind w:firstLine="0" w:firstLineChars="0"/>
              <w:jc w:val="center"/>
              <w:textAlignment w:val="auto"/>
              <w:rPr>
                <w:rFonts w:hint="default" w:ascii="宋体" w:hAnsi="宋体" w:eastAsia="宋体" w:cs="宋体"/>
                <w:b/>
                <w:bCs/>
                <w:i w:val="0"/>
                <w:iCs w:val="0"/>
                <w:color w:val="auto"/>
                <w:kern w:val="0"/>
                <w:sz w:val="21"/>
                <w:szCs w:val="21"/>
                <w:highlight w:val="none"/>
                <w:u w:val="none"/>
                <w:lang w:val="en-US" w:eastAsia="zh-CN" w:bidi="ar"/>
              </w:rPr>
            </w:pPr>
            <w:r>
              <w:rPr>
                <w:rFonts w:hint="eastAsia" w:ascii="宋体" w:hAnsi="宋体" w:eastAsia="宋体" w:cs="宋体"/>
                <w:b/>
                <w:bCs/>
                <w:i w:val="0"/>
                <w:iCs w:val="0"/>
                <w:color w:val="auto"/>
                <w:kern w:val="0"/>
                <w:sz w:val="21"/>
                <w:szCs w:val="21"/>
                <w:highlight w:val="none"/>
                <w:u w:val="none"/>
                <w:lang w:val="en-US" w:eastAsia="zh-CN" w:bidi="ar"/>
              </w:rPr>
              <w:t>道路（区域）类别</w:t>
            </w:r>
          </w:p>
        </w:tc>
      </w:tr>
      <w:tr w14:paraId="5A076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trPr>
        <w:tc>
          <w:tcPr>
            <w:tcW w:w="0" w:type="auto"/>
            <w:vMerge w:val="continue"/>
            <w:tcBorders>
              <w:left w:val="single" w:color="auto" w:sz="4" w:space="0"/>
              <w:bottom w:val="single" w:color="auto" w:sz="4" w:space="0"/>
              <w:right w:val="single" w:color="auto" w:sz="4" w:space="0"/>
            </w:tcBorders>
            <w:shd w:val="clear" w:color="auto" w:fill="auto"/>
            <w:noWrap w:val="0"/>
            <w:vAlign w:val="center"/>
          </w:tcPr>
          <w:p w14:paraId="46362B41">
            <w:pPr>
              <w:keepNext w:val="0"/>
              <w:keepLines w:val="0"/>
              <w:pageBreakBefore w:val="0"/>
              <w:kinsoku/>
              <w:wordWrap/>
              <w:overflowPunct/>
              <w:topLinePunct w:val="0"/>
              <w:autoSpaceDE/>
              <w:autoSpaceDN/>
              <w:bidi w:val="0"/>
              <w:adjustRightInd w:val="0"/>
              <w:snapToGrid w:val="0"/>
              <w:spacing w:beforeAutospacing="0" w:afterAutospacing="0" w:line="500" w:lineRule="exact"/>
              <w:ind w:firstLine="0" w:firstLineChars="0"/>
              <w:jc w:val="center"/>
              <w:textAlignment w:val="auto"/>
              <w:rPr>
                <w:rFonts w:hint="eastAsia" w:ascii="宋体" w:hAnsi="宋体" w:eastAsia="宋体" w:cs="宋体"/>
                <w:b w:val="0"/>
                <w:bCs w:val="0"/>
                <w:color w:val="auto"/>
                <w:sz w:val="21"/>
                <w:szCs w:val="21"/>
                <w:highlight w:val="none"/>
                <w:vertAlign w:val="baseline"/>
                <w:lang w:val="en-US" w:eastAsia="zh-CN"/>
              </w:rPr>
            </w:pPr>
          </w:p>
        </w:tc>
        <w:tc>
          <w:tcPr>
            <w:tcW w:w="0" w:type="auto"/>
            <w:vMerge w:val="continue"/>
            <w:tcBorders>
              <w:left w:val="single" w:color="auto" w:sz="4" w:space="0"/>
              <w:bottom w:val="single" w:color="auto" w:sz="4" w:space="0"/>
              <w:right w:val="single" w:color="auto" w:sz="4" w:space="0"/>
            </w:tcBorders>
            <w:shd w:val="clear" w:color="auto" w:fill="auto"/>
            <w:noWrap w:val="0"/>
            <w:vAlign w:val="center"/>
          </w:tcPr>
          <w:p w14:paraId="4032798A">
            <w:pPr>
              <w:keepNext w:val="0"/>
              <w:keepLines w:val="0"/>
              <w:pageBreakBefore w:val="0"/>
              <w:kinsoku/>
              <w:wordWrap/>
              <w:overflowPunct/>
              <w:topLinePunct w:val="0"/>
              <w:autoSpaceDE/>
              <w:autoSpaceDN/>
              <w:bidi w:val="0"/>
              <w:adjustRightInd w:val="0"/>
              <w:snapToGrid w:val="0"/>
              <w:spacing w:beforeAutospacing="0" w:afterAutospacing="0" w:line="500" w:lineRule="exact"/>
              <w:ind w:firstLine="0" w:firstLineChars="0"/>
              <w:jc w:val="center"/>
              <w:textAlignment w:val="auto"/>
              <w:rPr>
                <w:rFonts w:hint="eastAsia" w:ascii="宋体" w:hAnsi="宋体" w:eastAsia="宋体" w:cs="宋体"/>
                <w:b w:val="0"/>
                <w:bCs w:val="0"/>
                <w:color w:val="auto"/>
                <w:sz w:val="21"/>
                <w:szCs w:val="21"/>
                <w:highlight w:val="none"/>
                <w:vertAlign w:val="baseline"/>
                <w:lang w:val="en-US" w:eastAsia="zh-CN"/>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1BE4F665">
            <w:pPr>
              <w:keepNext w:val="0"/>
              <w:keepLines w:val="0"/>
              <w:pageBreakBefore w:val="0"/>
              <w:kinsoku/>
              <w:wordWrap/>
              <w:overflowPunct/>
              <w:topLinePunct w:val="0"/>
              <w:autoSpaceDE/>
              <w:autoSpaceDN/>
              <w:bidi w:val="0"/>
              <w:adjustRightInd w:val="0"/>
              <w:snapToGrid w:val="0"/>
              <w:spacing w:beforeAutospacing="0" w:afterAutospacing="0" w:line="500" w:lineRule="exact"/>
              <w:ind w:firstLine="0" w:firstLineChars="0"/>
              <w:jc w:val="center"/>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道路长度（m）</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7825089A">
            <w:pPr>
              <w:keepNext w:val="0"/>
              <w:keepLines w:val="0"/>
              <w:pageBreakBefore w:val="0"/>
              <w:kinsoku/>
              <w:wordWrap/>
              <w:overflowPunct/>
              <w:topLinePunct w:val="0"/>
              <w:autoSpaceDE/>
              <w:autoSpaceDN/>
              <w:bidi w:val="0"/>
              <w:adjustRightInd w:val="0"/>
              <w:snapToGrid w:val="0"/>
              <w:spacing w:beforeAutospacing="0" w:afterAutospacing="0" w:line="500" w:lineRule="exact"/>
              <w:ind w:firstLine="0" w:firstLineChars="0"/>
              <w:jc w:val="center"/>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道路宽度（m）</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3FA56085">
            <w:pPr>
              <w:keepNext w:val="0"/>
              <w:keepLines w:val="0"/>
              <w:pageBreakBefore w:val="0"/>
              <w:kinsoku/>
              <w:wordWrap/>
              <w:overflowPunct/>
              <w:topLinePunct w:val="0"/>
              <w:autoSpaceDE/>
              <w:autoSpaceDN/>
              <w:bidi w:val="0"/>
              <w:adjustRightInd w:val="0"/>
              <w:snapToGrid w:val="0"/>
              <w:spacing w:beforeAutospacing="0" w:afterAutospacing="0" w:line="500" w:lineRule="exact"/>
              <w:ind w:firstLine="0" w:firstLineChars="0"/>
              <w:jc w:val="center"/>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保洁面积（㎡）</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5B8524D4">
            <w:pPr>
              <w:keepNext w:val="0"/>
              <w:keepLines w:val="0"/>
              <w:pageBreakBefore w:val="0"/>
              <w:kinsoku/>
              <w:wordWrap/>
              <w:overflowPunct/>
              <w:topLinePunct w:val="0"/>
              <w:autoSpaceDE/>
              <w:autoSpaceDN/>
              <w:bidi w:val="0"/>
              <w:adjustRightInd w:val="0"/>
              <w:snapToGrid w:val="0"/>
              <w:spacing w:beforeAutospacing="0" w:afterAutospacing="0" w:line="500" w:lineRule="exact"/>
              <w:ind w:firstLine="0" w:firstLineChars="0"/>
              <w:jc w:val="center"/>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道路长度（m）</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27B48021">
            <w:pPr>
              <w:keepNext w:val="0"/>
              <w:keepLines w:val="0"/>
              <w:pageBreakBefore w:val="0"/>
              <w:kinsoku/>
              <w:wordWrap/>
              <w:overflowPunct/>
              <w:topLinePunct w:val="0"/>
              <w:autoSpaceDE/>
              <w:autoSpaceDN/>
              <w:bidi w:val="0"/>
              <w:adjustRightInd w:val="0"/>
              <w:snapToGrid w:val="0"/>
              <w:spacing w:beforeAutospacing="0" w:afterAutospacing="0" w:line="500" w:lineRule="exact"/>
              <w:ind w:firstLine="0" w:firstLineChars="0"/>
              <w:jc w:val="center"/>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道路宽度（m）</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26BE09ED">
            <w:pPr>
              <w:keepNext w:val="0"/>
              <w:keepLines w:val="0"/>
              <w:pageBreakBefore w:val="0"/>
              <w:kinsoku/>
              <w:wordWrap/>
              <w:overflowPunct/>
              <w:topLinePunct w:val="0"/>
              <w:autoSpaceDE/>
              <w:autoSpaceDN/>
              <w:bidi w:val="0"/>
              <w:adjustRightInd w:val="0"/>
              <w:snapToGrid w:val="0"/>
              <w:spacing w:beforeAutospacing="0" w:afterAutospacing="0" w:line="500" w:lineRule="exact"/>
              <w:ind w:firstLine="0" w:firstLineChars="0"/>
              <w:jc w:val="center"/>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保洁面积（㎡）</w:t>
            </w:r>
          </w:p>
        </w:tc>
        <w:tc>
          <w:tcPr>
            <w:tcW w:w="0" w:type="auto"/>
            <w:vMerge w:val="continue"/>
            <w:tcBorders>
              <w:left w:val="single" w:color="auto" w:sz="4" w:space="0"/>
              <w:bottom w:val="single" w:color="auto" w:sz="4" w:space="0"/>
              <w:right w:val="single" w:color="auto" w:sz="4" w:space="0"/>
            </w:tcBorders>
            <w:shd w:val="clear" w:color="auto" w:fill="auto"/>
            <w:noWrap w:val="0"/>
            <w:vAlign w:val="center"/>
          </w:tcPr>
          <w:p w14:paraId="5E68CAD9">
            <w:pPr>
              <w:keepNext w:val="0"/>
              <w:keepLines w:val="0"/>
              <w:pageBreakBefore w:val="0"/>
              <w:kinsoku/>
              <w:wordWrap/>
              <w:overflowPunct/>
              <w:topLinePunct w:val="0"/>
              <w:autoSpaceDE/>
              <w:autoSpaceDN/>
              <w:bidi w:val="0"/>
              <w:adjustRightInd w:val="0"/>
              <w:snapToGrid w:val="0"/>
              <w:spacing w:beforeAutospacing="0" w:afterAutospacing="0" w:line="500" w:lineRule="exact"/>
              <w:ind w:firstLine="0" w:firstLineChars="0"/>
              <w:jc w:val="center"/>
              <w:textAlignment w:val="auto"/>
              <w:rPr>
                <w:rFonts w:hint="eastAsia" w:ascii="宋体" w:hAnsi="宋体" w:eastAsia="宋体" w:cs="宋体"/>
                <w:b w:val="0"/>
                <w:bCs w:val="0"/>
                <w:color w:val="auto"/>
                <w:sz w:val="21"/>
                <w:szCs w:val="21"/>
                <w:highlight w:val="none"/>
                <w:vertAlign w:val="baseline"/>
                <w:lang w:val="en-US" w:eastAsia="zh-CN"/>
              </w:rPr>
            </w:pPr>
          </w:p>
        </w:tc>
        <w:tc>
          <w:tcPr>
            <w:tcW w:w="0" w:type="auto"/>
            <w:vMerge w:val="continue"/>
            <w:tcBorders>
              <w:left w:val="single" w:color="auto" w:sz="4" w:space="0"/>
              <w:bottom w:val="single" w:color="auto" w:sz="4" w:space="0"/>
              <w:right w:val="single" w:color="auto" w:sz="4" w:space="0"/>
            </w:tcBorders>
            <w:shd w:val="clear" w:color="auto" w:fill="auto"/>
            <w:noWrap w:val="0"/>
            <w:vAlign w:val="center"/>
          </w:tcPr>
          <w:p w14:paraId="5C060945">
            <w:pPr>
              <w:keepNext w:val="0"/>
              <w:keepLines w:val="0"/>
              <w:pageBreakBefore w:val="0"/>
              <w:kinsoku/>
              <w:wordWrap/>
              <w:overflowPunct/>
              <w:topLinePunct w:val="0"/>
              <w:autoSpaceDE/>
              <w:autoSpaceDN/>
              <w:bidi w:val="0"/>
              <w:adjustRightInd w:val="0"/>
              <w:snapToGrid w:val="0"/>
              <w:spacing w:beforeAutospacing="0" w:afterAutospacing="0" w:line="500" w:lineRule="exact"/>
              <w:ind w:firstLine="0" w:firstLineChars="0"/>
              <w:jc w:val="center"/>
              <w:textAlignment w:val="auto"/>
              <w:rPr>
                <w:rFonts w:hint="eastAsia" w:ascii="宋体" w:hAnsi="宋体" w:eastAsia="宋体" w:cs="宋体"/>
                <w:b w:val="0"/>
                <w:bCs w:val="0"/>
                <w:color w:val="auto"/>
                <w:sz w:val="21"/>
                <w:szCs w:val="21"/>
                <w:highlight w:val="none"/>
                <w:vertAlign w:val="baseline"/>
                <w:lang w:val="en-US" w:eastAsia="zh-CN"/>
              </w:rPr>
            </w:pPr>
          </w:p>
        </w:tc>
      </w:tr>
      <w:tr w14:paraId="62E450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05D0D627">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i w:val="0"/>
                <w:iCs w:val="0"/>
                <w:color w:val="auto"/>
                <w:kern w:val="0"/>
                <w:sz w:val="21"/>
                <w:szCs w:val="21"/>
                <w:highlight w:val="none"/>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20AD8A7D">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陈黄一路(泉井路)</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360FAE14">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876</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6A0CA3A4">
            <w:pPr>
              <w:widowControl/>
              <w:spacing w:line="360" w:lineRule="auto"/>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18</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4889BBFC">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15768</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1AE72C6B">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500</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5DCC7BAE">
            <w:pPr>
              <w:widowControl/>
              <w:spacing w:line="360" w:lineRule="auto"/>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2</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48966746">
            <w:pPr>
              <w:widowControl/>
              <w:spacing w:line="360" w:lineRule="auto"/>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1000</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2B5BD6CA">
            <w:pPr>
              <w:widowControl/>
              <w:spacing w:line="360" w:lineRule="auto"/>
              <w:jc w:val="center"/>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三级</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215D7DCF">
            <w:pPr>
              <w:widowControl/>
              <w:spacing w:line="360" w:lineRule="auto"/>
              <w:jc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sz w:val="20"/>
                <w:szCs w:val="20"/>
                <w:highlight w:val="none"/>
                <w:vertAlign w:val="baseline"/>
                <w:lang w:val="en-US" w:eastAsia="zh-CN"/>
              </w:rPr>
              <w:t>虎门镇村（社区）中心区域及居住区巷道</w:t>
            </w:r>
          </w:p>
        </w:tc>
      </w:tr>
      <w:tr w14:paraId="5E74C7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49C30136">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i w:val="0"/>
                <w:iCs w:val="0"/>
                <w:color w:val="auto"/>
                <w:kern w:val="0"/>
                <w:sz w:val="21"/>
                <w:szCs w:val="21"/>
                <w:highlight w:val="none"/>
                <w:u w:val="none"/>
                <w:lang w:val="en-US" w:eastAsia="zh-CN" w:bidi="ar"/>
              </w:rPr>
              <w:t>2</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330DD16A">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兴塘东路</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179F03FE">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833</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7598066A">
            <w:pPr>
              <w:widowControl/>
              <w:spacing w:line="360" w:lineRule="auto"/>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15</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1D21213A">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12495</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49E90E5A">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225</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386774BF">
            <w:pPr>
              <w:widowControl/>
              <w:spacing w:line="360" w:lineRule="auto"/>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2</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72BABC5B">
            <w:pPr>
              <w:widowControl/>
              <w:spacing w:line="360" w:lineRule="auto"/>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450</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64330B32">
            <w:pPr>
              <w:widowControl/>
              <w:spacing w:line="360" w:lineRule="auto"/>
              <w:jc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三级</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0E875728">
            <w:pPr>
              <w:widowControl/>
              <w:spacing w:line="360" w:lineRule="auto"/>
              <w:jc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sz w:val="20"/>
                <w:szCs w:val="20"/>
                <w:highlight w:val="none"/>
                <w:vertAlign w:val="baseline"/>
                <w:lang w:val="en-US" w:eastAsia="zh-CN"/>
              </w:rPr>
              <w:t>虎门镇村（社区）中心区域及居住区巷道</w:t>
            </w:r>
          </w:p>
        </w:tc>
      </w:tr>
      <w:tr w14:paraId="0B344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047A4A32">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i w:val="0"/>
                <w:iCs w:val="0"/>
                <w:color w:val="auto"/>
                <w:kern w:val="0"/>
                <w:sz w:val="21"/>
                <w:szCs w:val="21"/>
                <w:highlight w:val="none"/>
                <w:u w:val="none"/>
                <w:lang w:val="en-US" w:eastAsia="zh-CN" w:bidi="ar"/>
              </w:rPr>
              <w:t>3</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7E7BD4A5">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兴塘西路</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0973E8B9">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952</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2C0E42F0">
            <w:pPr>
              <w:widowControl/>
              <w:spacing w:line="360" w:lineRule="auto"/>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18</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659A5F76">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17136</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58828F72">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225</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1D1D432C">
            <w:pPr>
              <w:widowControl/>
              <w:spacing w:line="360" w:lineRule="auto"/>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2</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5A4678E8">
            <w:pPr>
              <w:widowControl/>
              <w:spacing w:line="360" w:lineRule="auto"/>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450</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33AA108D">
            <w:pPr>
              <w:widowControl/>
              <w:spacing w:line="360" w:lineRule="auto"/>
              <w:jc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三级</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06AFF4CC">
            <w:pPr>
              <w:widowControl/>
              <w:spacing w:line="360" w:lineRule="auto"/>
              <w:jc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sz w:val="20"/>
                <w:szCs w:val="20"/>
                <w:highlight w:val="none"/>
                <w:vertAlign w:val="baseline"/>
                <w:lang w:val="en-US" w:eastAsia="zh-CN"/>
              </w:rPr>
              <w:t>虎门镇村（社区）中心区域及居住区巷道</w:t>
            </w:r>
          </w:p>
        </w:tc>
      </w:tr>
      <w:tr w14:paraId="07724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5E8C5B82">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i w:val="0"/>
                <w:iCs w:val="0"/>
                <w:color w:val="auto"/>
                <w:kern w:val="0"/>
                <w:sz w:val="21"/>
                <w:szCs w:val="21"/>
                <w:highlight w:val="none"/>
                <w:u w:val="none"/>
                <w:lang w:val="en-US" w:eastAsia="zh-CN" w:bidi="ar"/>
              </w:rPr>
              <w:t>4</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69A3D7D6">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工业路至吉泰厂</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61575E63">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657</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4B62D60C">
            <w:pPr>
              <w:widowControl/>
              <w:spacing w:line="360" w:lineRule="auto"/>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16</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63F8F4FE">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10512</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68D1E4EB">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170</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5A16321C">
            <w:pPr>
              <w:widowControl/>
              <w:spacing w:line="360" w:lineRule="auto"/>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20</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43DBC63F">
            <w:pPr>
              <w:widowControl/>
              <w:spacing w:line="360" w:lineRule="auto"/>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3400</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1FA269AB">
            <w:pPr>
              <w:widowControl/>
              <w:spacing w:line="360" w:lineRule="auto"/>
              <w:jc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三级</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17EA6CDB">
            <w:pPr>
              <w:widowControl/>
              <w:spacing w:line="360" w:lineRule="auto"/>
              <w:jc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sz w:val="20"/>
                <w:szCs w:val="20"/>
                <w:highlight w:val="none"/>
                <w:vertAlign w:val="baseline"/>
                <w:lang w:val="en-US" w:eastAsia="zh-CN"/>
              </w:rPr>
              <w:t>虎门镇村（社区）中心区域及居住区巷道</w:t>
            </w:r>
          </w:p>
        </w:tc>
      </w:tr>
      <w:tr w14:paraId="509B4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63D54761">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i w:val="0"/>
                <w:iCs w:val="0"/>
                <w:color w:val="auto"/>
                <w:kern w:val="0"/>
                <w:sz w:val="21"/>
                <w:szCs w:val="21"/>
                <w:highlight w:val="none"/>
                <w:u w:val="none"/>
                <w:lang w:val="en-US" w:eastAsia="zh-CN" w:bidi="ar"/>
              </w:rPr>
              <w:t>5</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7E761400">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黄村大道至广场路</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0ECA225C">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362</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14B6C14C">
            <w:pPr>
              <w:widowControl/>
              <w:spacing w:line="360" w:lineRule="auto"/>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15</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5A7C7124">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5430</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5E0A08FE">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4A87DA8D">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6B3BCA0E">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2F1948EB">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三级</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4BC275F2">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sz w:val="20"/>
                <w:szCs w:val="20"/>
                <w:highlight w:val="none"/>
                <w:vertAlign w:val="baseline"/>
                <w:lang w:val="en-US" w:eastAsia="zh-CN"/>
              </w:rPr>
              <w:t>虎门镇村（社区）中心区域及居住区巷道</w:t>
            </w:r>
          </w:p>
        </w:tc>
      </w:tr>
      <w:tr w14:paraId="4DEFC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35BFF8A6">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i w:val="0"/>
                <w:iCs w:val="0"/>
                <w:color w:val="auto"/>
                <w:kern w:val="0"/>
                <w:sz w:val="21"/>
                <w:szCs w:val="21"/>
                <w:highlight w:val="none"/>
                <w:u w:val="none"/>
                <w:lang w:val="en-US" w:eastAsia="zh-CN" w:bidi="ar"/>
              </w:rPr>
              <w:t>6</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4BA883C4">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工业路</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362E0B84">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196</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2295575D">
            <w:pPr>
              <w:widowControl/>
              <w:spacing w:line="360" w:lineRule="auto"/>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12</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325AB0FB">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2352</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4AD6815B">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3BE19F0A">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5AC8FBD8">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300A062B">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三级</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4790BBC4">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sz w:val="20"/>
                <w:szCs w:val="20"/>
                <w:highlight w:val="none"/>
                <w:vertAlign w:val="baseline"/>
                <w:lang w:val="en-US" w:eastAsia="zh-CN"/>
              </w:rPr>
              <w:t>虎门镇村（社区）中心区域及居住区巷道</w:t>
            </w:r>
          </w:p>
        </w:tc>
      </w:tr>
      <w:tr w14:paraId="7E5FB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48AEF57E">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i w:val="0"/>
                <w:iCs w:val="0"/>
                <w:color w:val="auto"/>
                <w:kern w:val="0"/>
                <w:sz w:val="21"/>
                <w:szCs w:val="21"/>
                <w:highlight w:val="none"/>
                <w:u w:val="none"/>
                <w:lang w:val="en-US" w:eastAsia="zh-CN" w:bidi="ar"/>
              </w:rPr>
              <w:t>7</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2F0DF5CE">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园美路</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5F1F24F8">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941</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0DC7F230">
            <w:pPr>
              <w:widowControl/>
              <w:spacing w:line="360" w:lineRule="auto"/>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6</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3591C28A">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5646</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59B395E3">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0C88F456">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6BEC53E7">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7E4C2EC0">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三级</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42E756A8">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sz w:val="20"/>
                <w:szCs w:val="20"/>
                <w:highlight w:val="none"/>
                <w:vertAlign w:val="baseline"/>
                <w:lang w:val="en-US" w:eastAsia="zh-CN"/>
              </w:rPr>
              <w:t>虎门镇村（社区）中心区域及居住区巷道</w:t>
            </w:r>
          </w:p>
        </w:tc>
      </w:tr>
      <w:tr w14:paraId="745A7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33B3ECCE">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i w:val="0"/>
                <w:iCs w:val="0"/>
                <w:color w:val="auto"/>
                <w:kern w:val="0"/>
                <w:sz w:val="21"/>
                <w:szCs w:val="21"/>
                <w:highlight w:val="none"/>
                <w:u w:val="none"/>
                <w:lang w:val="en-US" w:eastAsia="zh-CN" w:bidi="ar"/>
              </w:rPr>
              <w:t>8</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25C9A53E">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社区路口至十字口(1号楼)</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29F24867">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265</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3903B357">
            <w:pPr>
              <w:widowControl/>
              <w:spacing w:line="360" w:lineRule="auto"/>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20</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5A70A90A">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5300</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69749CE2">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130D2AC5">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70980438">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2368D69B">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三级</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1AECE002">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sz w:val="20"/>
                <w:szCs w:val="20"/>
                <w:highlight w:val="none"/>
                <w:vertAlign w:val="baseline"/>
                <w:lang w:val="en-US" w:eastAsia="zh-CN"/>
              </w:rPr>
              <w:t>虎门镇村（社区）中心区域及居住区巷道</w:t>
            </w:r>
          </w:p>
        </w:tc>
      </w:tr>
      <w:tr w14:paraId="56088A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6CA548FE">
            <w:pPr>
              <w:jc w:val="center"/>
              <w:rPr>
                <w:rFonts w:hint="eastAsia" w:ascii="宋体" w:hAnsi="宋体" w:eastAsia="宋体" w:cs="宋体"/>
                <w:b w:val="0"/>
                <w:bCs w:val="0"/>
                <w:color w:val="auto"/>
                <w:sz w:val="21"/>
                <w:szCs w:val="21"/>
                <w:highlight w:val="none"/>
                <w:vertAlign w:val="baseline"/>
                <w:lang w:val="en-US" w:eastAsia="zh-CN"/>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3C1432DA">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长寿公园及周边</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638AE92D">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197</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5E72769F">
            <w:pPr>
              <w:widowControl/>
              <w:spacing w:line="360" w:lineRule="auto"/>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14</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286B041F">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2758</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30B8E738">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488E5843">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27ED4F71">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27767D91">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58EDA44C">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sz w:val="20"/>
                <w:szCs w:val="20"/>
                <w:highlight w:val="none"/>
                <w:vertAlign w:val="baseline"/>
                <w:lang w:val="en-US" w:eastAsia="zh-CN"/>
              </w:rPr>
              <w:t>虎门镇村（社区）中心区域及居住区巷道</w:t>
            </w:r>
          </w:p>
        </w:tc>
      </w:tr>
      <w:tr w14:paraId="37D09F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40138DBF">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i w:val="0"/>
                <w:iCs w:val="0"/>
                <w:color w:val="auto"/>
                <w:kern w:val="0"/>
                <w:sz w:val="21"/>
                <w:szCs w:val="21"/>
                <w:highlight w:val="none"/>
                <w:u w:val="none"/>
                <w:lang w:val="en-US" w:eastAsia="zh-CN" w:bidi="ar"/>
              </w:rPr>
              <w:t>9</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7BF49114">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育幼幼儿园周边</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00C81B54">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197</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42471ED5">
            <w:pPr>
              <w:widowControl/>
              <w:spacing w:line="360" w:lineRule="auto"/>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10</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422DE9CF">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1970</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2500ACED">
            <w:pPr>
              <w:keepNext w:val="0"/>
              <w:keepLines w:val="0"/>
              <w:widowControl/>
              <w:suppressLineNumbers w:val="0"/>
              <w:jc w:val="center"/>
              <w:textAlignment w:val="center"/>
              <w:rPr>
                <w:rFonts w:hint="eastAsia" w:ascii="宋体" w:hAnsi="宋体" w:eastAsia="宋体" w:cs="宋体"/>
                <w:b w:val="0"/>
                <w:bCs w:val="0"/>
                <w:color w:val="auto"/>
                <w:kern w:val="0"/>
                <w:sz w:val="21"/>
                <w:szCs w:val="21"/>
                <w:highlight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038B1BE6">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6AA92F2F">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77C55DE3">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三级</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1417E302">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sz w:val="20"/>
                <w:szCs w:val="20"/>
                <w:highlight w:val="none"/>
                <w:vertAlign w:val="baseline"/>
                <w:lang w:val="en-US" w:eastAsia="zh-CN"/>
              </w:rPr>
              <w:t>虎门镇村（社区）中心区域及居住区巷道</w:t>
            </w:r>
          </w:p>
        </w:tc>
      </w:tr>
      <w:tr w14:paraId="28A3B2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5"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63C6C989">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i w:val="0"/>
                <w:iCs w:val="0"/>
                <w:color w:val="auto"/>
                <w:kern w:val="0"/>
                <w:sz w:val="21"/>
                <w:szCs w:val="21"/>
                <w:highlight w:val="none"/>
                <w:u w:val="none"/>
                <w:lang w:val="en-US" w:eastAsia="zh-CN" w:bidi="ar"/>
              </w:rPr>
              <w:t>10</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2450D677">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长联亿得厂和合标厂交界消防通道</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773352F9">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275</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4AD1E139">
            <w:pPr>
              <w:widowControl/>
              <w:spacing w:line="360" w:lineRule="auto"/>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8</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7526A12C">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2200</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59BF7187">
            <w:pPr>
              <w:keepNext w:val="0"/>
              <w:keepLines w:val="0"/>
              <w:widowControl/>
              <w:suppressLineNumbers w:val="0"/>
              <w:jc w:val="center"/>
              <w:textAlignment w:val="center"/>
              <w:rPr>
                <w:rFonts w:hint="eastAsia" w:ascii="宋体" w:hAnsi="宋体" w:eastAsia="宋体" w:cs="宋体"/>
                <w:b w:val="0"/>
                <w:bCs w:val="0"/>
                <w:color w:val="auto"/>
                <w:kern w:val="0"/>
                <w:sz w:val="21"/>
                <w:szCs w:val="21"/>
                <w:highlight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43618ABB">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22C59071">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5CE0227E">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三级</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294442EA">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sz w:val="20"/>
                <w:szCs w:val="20"/>
                <w:highlight w:val="none"/>
                <w:vertAlign w:val="baseline"/>
                <w:lang w:val="en-US" w:eastAsia="zh-CN"/>
              </w:rPr>
              <w:t>虎门镇村（社区）中心区域及居住区巷道</w:t>
            </w:r>
          </w:p>
        </w:tc>
      </w:tr>
      <w:tr w14:paraId="036B9B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40C4FC1B">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i w:val="0"/>
                <w:iCs w:val="0"/>
                <w:color w:val="auto"/>
                <w:kern w:val="0"/>
                <w:sz w:val="21"/>
                <w:szCs w:val="21"/>
                <w:highlight w:val="none"/>
                <w:u w:val="none"/>
                <w:lang w:val="en-US" w:eastAsia="zh-CN" w:bidi="ar"/>
              </w:rPr>
              <w:t>11</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2CCFED47">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广场及周边路</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203C1F67">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412.5</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474B88D2">
            <w:pPr>
              <w:widowControl/>
              <w:spacing w:line="360" w:lineRule="auto"/>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8</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1AED5DEC">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3300</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534E9DEE">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48977905">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0F696E12">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49D99EAA">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三级</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4E70CC90">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sz w:val="20"/>
                <w:szCs w:val="20"/>
                <w:highlight w:val="none"/>
                <w:vertAlign w:val="baseline"/>
                <w:lang w:val="en-US" w:eastAsia="zh-CN"/>
              </w:rPr>
              <w:t>虎门镇村（社区）中心区域及居住区巷道</w:t>
            </w:r>
          </w:p>
        </w:tc>
      </w:tr>
      <w:tr w14:paraId="4A8D3C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18C65E67">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i w:val="0"/>
                <w:iCs w:val="0"/>
                <w:color w:val="auto"/>
                <w:kern w:val="0"/>
                <w:sz w:val="21"/>
                <w:szCs w:val="21"/>
                <w:highlight w:val="none"/>
                <w:u w:val="none"/>
                <w:lang w:val="en-US" w:eastAsia="zh-CN" w:bidi="ar"/>
              </w:rPr>
              <w:t>12</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496ACFD0">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东区巷</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750CB1EB">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5123</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64D3DB71">
            <w:pPr>
              <w:widowControl/>
              <w:spacing w:line="360" w:lineRule="auto"/>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1.5</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6472CE8B">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7684.5</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3FF6EB42">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0F62F324">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54747EA6">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1B657567">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三级</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6A0A0544">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sz w:val="20"/>
                <w:szCs w:val="20"/>
                <w:highlight w:val="none"/>
                <w:vertAlign w:val="baseline"/>
                <w:lang w:val="en-US" w:eastAsia="zh-CN"/>
              </w:rPr>
              <w:t>虎门镇村（社区）中心区域及居住区巷道</w:t>
            </w:r>
          </w:p>
        </w:tc>
      </w:tr>
      <w:tr w14:paraId="1D3904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7D1DE3F6">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i w:val="0"/>
                <w:iCs w:val="0"/>
                <w:color w:val="auto"/>
                <w:kern w:val="0"/>
                <w:sz w:val="21"/>
                <w:szCs w:val="21"/>
                <w:highlight w:val="none"/>
                <w:u w:val="none"/>
                <w:lang w:val="en-US" w:eastAsia="zh-CN" w:bidi="ar"/>
              </w:rPr>
              <w:t>13</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38C47E2D">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西区巷</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4384369C">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5480</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0E6B871A">
            <w:pPr>
              <w:widowControl/>
              <w:spacing w:line="360" w:lineRule="auto"/>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1.5</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545B9A15">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8220</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759CDBFB">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2B12C577">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3FBD4339">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2042DACB">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三级</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1499962F">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sz w:val="20"/>
                <w:szCs w:val="20"/>
                <w:highlight w:val="none"/>
                <w:vertAlign w:val="baseline"/>
                <w:lang w:val="en-US" w:eastAsia="zh-CN"/>
              </w:rPr>
              <w:t>虎门镇村（社区）中心区域及居住区巷道</w:t>
            </w:r>
          </w:p>
        </w:tc>
      </w:tr>
      <w:tr w14:paraId="2E2A4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03FACC25">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i w:val="0"/>
                <w:iCs w:val="0"/>
                <w:color w:val="auto"/>
                <w:kern w:val="0"/>
                <w:sz w:val="21"/>
                <w:szCs w:val="21"/>
                <w:highlight w:val="none"/>
                <w:u w:val="none"/>
                <w:lang w:val="en-US" w:eastAsia="zh-CN" w:bidi="ar"/>
              </w:rPr>
              <w:t>14</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6B1A4535">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社区旁</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5120ABA8">
            <w:pPr>
              <w:widowControl/>
              <w:spacing w:line="360" w:lineRule="auto"/>
              <w:jc w:val="center"/>
              <w:rPr>
                <w:rFonts w:hint="eastAsia" w:ascii="宋体" w:hAnsi="宋体" w:eastAsia="宋体" w:cs="宋体"/>
                <w:b w:val="0"/>
                <w:bCs w:val="0"/>
                <w:color w:val="auto"/>
                <w:kern w:val="2"/>
                <w:sz w:val="21"/>
                <w:szCs w:val="21"/>
                <w:highlight w:val="none"/>
                <w:vertAlign w:val="baseline"/>
                <w:lang w:val="en-US" w:eastAsia="zh-CN" w:bidi="ar-SA"/>
              </w:rPr>
            </w:pPr>
            <w:r>
              <w:rPr>
                <w:rFonts w:hint="eastAsia" w:ascii="宋体" w:hAnsi="宋体" w:eastAsia="宋体" w:cs="宋体"/>
                <w:color w:val="auto"/>
                <w:kern w:val="0"/>
                <w:sz w:val="21"/>
                <w:szCs w:val="21"/>
                <w:highlight w:val="none"/>
                <w:lang w:val="en-US" w:eastAsia="zh-CN"/>
              </w:rPr>
              <w:t>149</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60028AEC">
            <w:pPr>
              <w:widowControl/>
              <w:spacing w:line="360" w:lineRule="auto"/>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6</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435A43F5">
            <w:pPr>
              <w:widowControl/>
              <w:spacing w:line="360" w:lineRule="auto"/>
              <w:jc w:val="center"/>
              <w:rPr>
                <w:rFonts w:hint="eastAsia" w:ascii="宋体" w:hAnsi="宋体" w:eastAsia="宋体" w:cs="宋体"/>
                <w:b w:val="0"/>
                <w:bCs w:val="0"/>
                <w:color w:val="auto"/>
                <w:kern w:val="2"/>
                <w:sz w:val="21"/>
                <w:szCs w:val="21"/>
                <w:highlight w:val="none"/>
                <w:vertAlign w:val="baseline"/>
                <w:lang w:val="en-US" w:eastAsia="zh-CN" w:bidi="ar-SA"/>
              </w:rPr>
            </w:pPr>
            <w:r>
              <w:rPr>
                <w:rFonts w:hint="eastAsia" w:ascii="宋体" w:hAnsi="宋体" w:eastAsia="宋体" w:cs="宋体"/>
                <w:color w:val="auto"/>
                <w:kern w:val="0"/>
                <w:sz w:val="21"/>
                <w:szCs w:val="21"/>
                <w:highlight w:val="none"/>
                <w:lang w:val="en-US" w:eastAsia="zh-CN"/>
              </w:rPr>
              <w:t>894</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1E3714F5">
            <w:pPr>
              <w:keepNext w:val="0"/>
              <w:keepLines w:val="0"/>
              <w:widowControl/>
              <w:suppressLineNumbers w:val="0"/>
              <w:jc w:val="center"/>
              <w:textAlignment w:val="center"/>
              <w:rPr>
                <w:rFonts w:hint="eastAsia" w:ascii="宋体" w:hAnsi="宋体" w:eastAsia="宋体" w:cs="宋体"/>
                <w:b w:val="0"/>
                <w:bCs w:val="0"/>
                <w:color w:val="auto"/>
                <w:kern w:val="2"/>
                <w:sz w:val="21"/>
                <w:szCs w:val="21"/>
                <w:highlight w:val="none"/>
                <w:vertAlign w:val="baseline"/>
                <w:lang w:val="en-US" w:eastAsia="zh-CN" w:bidi="ar-SA"/>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22C29868">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3DC97881">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5AAB05A4">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三级</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4A96F185">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sz w:val="20"/>
                <w:szCs w:val="20"/>
                <w:highlight w:val="none"/>
                <w:vertAlign w:val="baseline"/>
                <w:lang w:val="en-US" w:eastAsia="zh-CN"/>
              </w:rPr>
              <w:t>虎门镇村（社区）中心区域及居住区巷道</w:t>
            </w:r>
          </w:p>
        </w:tc>
      </w:tr>
      <w:tr w14:paraId="73654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1021A4B4">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i w:val="0"/>
                <w:iCs w:val="0"/>
                <w:color w:val="auto"/>
                <w:kern w:val="0"/>
                <w:sz w:val="21"/>
                <w:szCs w:val="21"/>
                <w:highlight w:val="none"/>
                <w:u w:val="none"/>
                <w:lang w:val="en-US" w:eastAsia="zh-CN" w:bidi="ar"/>
              </w:rPr>
              <w:t>15</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67DBBD49">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新桥+小公园</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2E10B363">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139</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3D7D62A1">
            <w:pPr>
              <w:widowControl/>
              <w:spacing w:line="360" w:lineRule="auto"/>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6</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1E267DB1">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834</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458CFD79">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72FB6CA7">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37D4F944">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0A2D6D95">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三级</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24D7B776">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sz w:val="20"/>
                <w:szCs w:val="20"/>
                <w:highlight w:val="none"/>
                <w:vertAlign w:val="baseline"/>
                <w:lang w:val="en-US" w:eastAsia="zh-CN"/>
              </w:rPr>
              <w:t>虎门镇村（社区）中心区域及居住区巷道</w:t>
            </w:r>
          </w:p>
        </w:tc>
      </w:tr>
      <w:tr w14:paraId="23852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6EEE3AA3">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i w:val="0"/>
                <w:iCs w:val="0"/>
                <w:color w:val="auto"/>
                <w:kern w:val="0"/>
                <w:sz w:val="21"/>
                <w:szCs w:val="21"/>
                <w:highlight w:val="none"/>
                <w:u w:val="none"/>
                <w:lang w:val="en-US" w:eastAsia="zh-CN" w:bidi="ar"/>
              </w:rPr>
              <w:t>16</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58E2E13D">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金德丰后停车</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0F2F84D5">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145</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409D21ED">
            <w:pPr>
              <w:widowControl/>
              <w:spacing w:line="360" w:lineRule="auto"/>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15</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14A05DB6">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2175</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53D96635">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1D3FB898">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085F1D0A">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0214897A">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三级</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515D29F8">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sz w:val="20"/>
                <w:szCs w:val="20"/>
                <w:highlight w:val="none"/>
                <w:vertAlign w:val="baseline"/>
                <w:lang w:val="en-US" w:eastAsia="zh-CN"/>
              </w:rPr>
              <w:t>虎门镇村（社区）中心区域及居住区巷道</w:t>
            </w:r>
          </w:p>
        </w:tc>
      </w:tr>
      <w:tr w14:paraId="3109F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59002B90">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b w:val="0"/>
                <w:bCs w:val="0"/>
                <w:i w:val="0"/>
                <w:iCs w:val="0"/>
                <w:color w:val="auto"/>
                <w:kern w:val="0"/>
                <w:sz w:val="21"/>
                <w:szCs w:val="21"/>
                <w:highlight w:val="none"/>
                <w:u w:val="none"/>
                <w:lang w:val="en-US" w:eastAsia="zh-CN" w:bidi="ar"/>
              </w:rPr>
              <w:t>17</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658B90AC">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厚虎路行人道</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20F9AAB6">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333D353D">
            <w:pPr>
              <w:widowControl/>
              <w:spacing w:line="360" w:lineRule="auto"/>
              <w:jc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53DCB674">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4C9FF116">
            <w:pPr>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i w:val="0"/>
                <w:iCs w:val="0"/>
                <w:color w:val="auto"/>
                <w:sz w:val="21"/>
                <w:szCs w:val="21"/>
                <w:highlight w:val="none"/>
                <w:u w:val="none"/>
                <w:lang w:val="en-US" w:eastAsia="zh-CN"/>
              </w:rPr>
              <w:t>2005</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1F1FAD23">
            <w:pPr>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i w:val="0"/>
                <w:iCs w:val="0"/>
                <w:color w:val="auto"/>
                <w:sz w:val="21"/>
                <w:szCs w:val="21"/>
                <w:highlight w:val="none"/>
                <w:u w:val="none"/>
                <w:lang w:val="en-US" w:eastAsia="zh-CN"/>
              </w:rPr>
              <w:t>6.5</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58427137">
            <w:pPr>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i w:val="0"/>
                <w:iCs w:val="0"/>
                <w:color w:val="auto"/>
                <w:sz w:val="21"/>
                <w:szCs w:val="21"/>
                <w:highlight w:val="none"/>
                <w:u w:val="none"/>
                <w:lang w:val="en-US" w:eastAsia="zh-CN"/>
              </w:rPr>
              <w:t>13032.5</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7D6708D9">
            <w:pPr>
              <w:jc w:val="center"/>
              <w:rPr>
                <w:rFonts w:hint="eastAsia" w:ascii="宋体" w:hAnsi="宋体" w:eastAsia="宋体" w:cs="宋体"/>
                <w:i w:val="0"/>
                <w:iCs w:val="0"/>
                <w:color w:val="auto"/>
                <w:sz w:val="21"/>
                <w:szCs w:val="21"/>
                <w:highlight w:val="none"/>
                <w:u w:val="none"/>
                <w:lang w:val="en-US" w:eastAsia="zh-CN"/>
              </w:rPr>
            </w:pPr>
            <w:r>
              <w:rPr>
                <w:rFonts w:hint="eastAsia" w:ascii="宋体" w:hAnsi="宋体" w:eastAsia="宋体" w:cs="宋体"/>
                <w:color w:val="auto"/>
                <w:kern w:val="0"/>
                <w:sz w:val="21"/>
                <w:szCs w:val="21"/>
                <w:highlight w:val="none"/>
                <w:lang w:val="en-US" w:eastAsia="zh-CN"/>
              </w:rPr>
              <w:t>三级</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672B5D47">
            <w:pPr>
              <w:jc w:val="center"/>
              <w:rPr>
                <w:rFonts w:hint="eastAsia" w:ascii="宋体" w:hAnsi="宋体" w:eastAsia="宋体" w:cs="宋体"/>
                <w:i w:val="0"/>
                <w:iCs w:val="0"/>
                <w:color w:val="auto"/>
                <w:sz w:val="21"/>
                <w:szCs w:val="21"/>
                <w:highlight w:val="none"/>
                <w:u w:val="none"/>
                <w:lang w:val="en-US" w:eastAsia="zh-CN"/>
              </w:rPr>
            </w:pPr>
            <w:r>
              <w:rPr>
                <w:rFonts w:hint="eastAsia" w:ascii="宋体" w:hAnsi="宋体" w:eastAsia="宋体" w:cs="宋体"/>
                <w:color w:val="auto"/>
                <w:sz w:val="20"/>
                <w:szCs w:val="20"/>
                <w:highlight w:val="none"/>
                <w:vertAlign w:val="baseline"/>
                <w:lang w:val="en-US" w:eastAsia="zh-CN"/>
              </w:rPr>
              <w:t>虎门镇村（社区）中心区域及居住区巷道</w:t>
            </w:r>
          </w:p>
        </w:tc>
      </w:tr>
      <w:tr w14:paraId="559CA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4C64CA42">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b w:val="0"/>
                <w:bCs w:val="0"/>
                <w:i w:val="0"/>
                <w:iCs w:val="0"/>
                <w:color w:val="auto"/>
                <w:kern w:val="0"/>
                <w:sz w:val="21"/>
                <w:szCs w:val="21"/>
                <w:highlight w:val="none"/>
                <w:u w:val="none"/>
                <w:lang w:val="en-US" w:eastAsia="zh-CN" w:bidi="ar"/>
              </w:rPr>
              <w:t>18</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663764FD">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泉丰厂至雍成加消防通道</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1BB358A8">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225.98</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4131141F">
            <w:pPr>
              <w:widowControl/>
              <w:spacing w:line="360" w:lineRule="auto"/>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8</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509446A5">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1807.84</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61DC5447">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56ECEE06">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27C30EB3">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190062E5">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三级</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42F3F751">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sz w:val="20"/>
                <w:szCs w:val="20"/>
                <w:highlight w:val="none"/>
                <w:vertAlign w:val="baseline"/>
                <w:lang w:val="en-US" w:eastAsia="zh-CN"/>
              </w:rPr>
              <w:t>虎门镇村（社区）中心区域及居住区巷道</w:t>
            </w:r>
          </w:p>
        </w:tc>
      </w:tr>
      <w:tr w14:paraId="61226A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16E50E11">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b w:val="0"/>
                <w:bCs w:val="0"/>
                <w:i w:val="0"/>
                <w:iCs w:val="0"/>
                <w:color w:val="auto"/>
                <w:kern w:val="0"/>
                <w:sz w:val="21"/>
                <w:szCs w:val="21"/>
                <w:highlight w:val="none"/>
                <w:u w:val="none"/>
                <w:lang w:val="en-US" w:eastAsia="zh-CN" w:bidi="ar"/>
              </w:rPr>
              <w:t>19</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3F6EE17E">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泉井东路铺面后</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11DB6A96">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196</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13862470">
            <w:pPr>
              <w:widowControl/>
              <w:spacing w:line="360" w:lineRule="auto"/>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8</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0E0F080C">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1568</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5F1DD8B4">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28FF9D9C">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3B79CA85">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0640FD76">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三级</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68438A39">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sz w:val="20"/>
                <w:szCs w:val="20"/>
                <w:highlight w:val="none"/>
                <w:vertAlign w:val="baseline"/>
                <w:lang w:val="en-US" w:eastAsia="zh-CN"/>
              </w:rPr>
              <w:t>虎门镇村（社区）中心区域及居住区巷道</w:t>
            </w:r>
          </w:p>
        </w:tc>
      </w:tr>
      <w:tr w14:paraId="25DC2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6B6716F1">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b w:val="0"/>
                <w:bCs w:val="0"/>
                <w:i w:val="0"/>
                <w:iCs w:val="0"/>
                <w:color w:val="auto"/>
                <w:kern w:val="0"/>
                <w:sz w:val="21"/>
                <w:szCs w:val="21"/>
                <w:highlight w:val="none"/>
                <w:u w:val="none"/>
                <w:lang w:val="en-US" w:eastAsia="zh-CN" w:bidi="ar"/>
              </w:rPr>
              <w:t>20</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0C2EBBCA">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厚虎路商铺后面加商业</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0FC233EC">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356</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1B280AAA">
            <w:pPr>
              <w:widowControl/>
              <w:spacing w:line="360" w:lineRule="auto"/>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6</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4F6383CF">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2136</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6594C182">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3444999C">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78878FDB">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51D802CB">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三级</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61E31AEE">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sz w:val="20"/>
                <w:szCs w:val="20"/>
                <w:highlight w:val="none"/>
                <w:vertAlign w:val="baseline"/>
                <w:lang w:val="en-US" w:eastAsia="zh-CN"/>
              </w:rPr>
              <w:t>虎门镇村（社区）中心区域及居住区巷道</w:t>
            </w:r>
          </w:p>
        </w:tc>
      </w:tr>
      <w:tr w14:paraId="62BFF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528CBB05">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b w:val="0"/>
                <w:bCs w:val="0"/>
                <w:i w:val="0"/>
                <w:iCs w:val="0"/>
                <w:color w:val="auto"/>
                <w:kern w:val="0"/>
                <w:sz w:val="21"/>
                <w:szCs w:val="21"/>
                <w:highlight w:val="none"/>
                <w:u w:val="none"/>
                <w:lang w:val="en-US" w:eastAsia="zh-CN" w:bidi="ar"/>
              </w:rPr>
              <w:t>21</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5D9D8F83">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五马山横山路</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31275D36">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425</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51652E99">
            <w:pPr>
              <w:widowControl/>
              <w:spacing w:line="360" w:lineRule="auto"/>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9</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6ED20A90">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3825</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0B92A2CC">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268A9C64">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2EA2D593">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040B2CE2">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三级</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55812F2A">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sz w:val="20"/>
                <w:szCs w:val="20"/>
                <w:highlight w:val="none"/>
                <w:vertAlign w:val="baseline"/>
                <w:lang w:val="en-US" w:eastAsia="zh-CN"/>
              </w:rPr>
              <w:t>虎门镇村（社区）中心区域及居住区巷道</w:t>
            </w:r>
          </w:p>
        </w:tc>
      </w:tr>
      <w:tr w14:paraId="4C6CCD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restart"/>
            <w:tcBorders>
              <w:top w:val="single" w:color="auto" w:sz="4" w:space="0"/>
              <w:left w:val="single" w:color="auto" w:sz="4" w:space="0"/>
              <w:right w:val="single" w:color="auto" w:sz="4" w:space="0"/>
            </w:tcBorders>
            <w:shd w:val="clear" w:color="auto" w:fill="auto"/>
            <w:noWrap w:val="0"/>
            <w:vAlign w:val="center"/>
          </w:tcPr>
          <w:p w14:paraId="113FC2C7">
            <w:pPr>
              <w:keepNext w:val="0"/>
              <w:keepLines w:val="0"/>
              <w:widowControl/>
              <w:suppressLineNumbers w:val="0"/>
              <w:jc w:val="center"/>
              <w:textAlignment w:val="center"/>
              <w:rPr>
                <w:rFonts w:hint="default"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b w:val="0"/>
                <w:bCs w:val="0"/>
                <w:i w:val="0"/>
                <w:iCs w:val="0"/>
                <w:color w:val="auto"/>
                <w:kern w:val="0"/>
                <w:sz w:val="21"/>
                <w:szCs w:val="21"/>
                <w:highlight w:val="none"/>
                <w:u w:val="none"/>
                <w:lang w:val="en-US" w:eastAsia="zh-CN" w:bidi="ar"/>
              </w:rPr>
              <w:t>22</w:t>
            </w:r>
          </w:p>
        </w:tc>
        <w:tc>
          <w:tcPr>
            <w:tcW w:w="0" w:type="auto"/>
            <w:vMerge w:val="restart"/>
            <w:tcBorders>
              <w:top w:val="single" w:color="auto" w:sz="4" w:space="0"/>
              <w:left w:val="single" w:color="auto" w:sz="4" w:space="0"/>
              <w:right w:val="single" w:color="auto" w:sz="4" w:space="0"/>
            </w:tcBorders>
            <w:shd w:val="clear" w:color="auto" w:fill="auto"/>
            <w:noWrap w:val="0"/>
            <w:vAlign w:val="center"/>
          </w:tcPr>
          <w:p w14:paraId="45BE86FC">
            <w:pPr>
              <w:widowControl/>
              <w:spacing w:line="360" w:lineRule="auto"/>
              <w:jc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泉丰厂门道路至文头兴塘路绿化面积</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0F5FCE4B">
            <w:pPr>
              <w:keepNext w:val="0"/>
              <w:keepLines w:val="0"/>
              <w:pageBreakBefore w:val="0"/>
              <w:kinsoku/>
              <w:wordWrap/>
              <w:overflowPunct/>
              <w:topLinePunct w:val="0"/>
              <w:autoSpaceDE/>
              <w:autoSpaceDN/>
              <w:bidi w:val="0"/>
              <w:adjustRightInd w:val="0"/>
              <w:snapToGrid w:val="0"/>
              <w:spacing w:beforeAutospacing="0" w:afterAutospacing="0" w:line="500" w:lineRule="exact"/>
              <w:ind w:firstLine="0" w:firstLineChars="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b w:val="0"/>
                <w:bCs w:val="0"/>
                <w:color w:val="auto"/>
                <w:sz w:val="21"/>
                <w:szCs w:val="21"/>
                <w:highlight w:val="none"/>
                <w:vertAlign w:val="baseline"/>
                <w:lang w:val="en-US" w:eastAsia="zh-CN"/>
              </w:rPr>
              <w:t>道路长度（m）</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50655616">
            <w:pPr>
              <w:keepNext w:val="0"/>
              <w:keepLines w:val="0"/>
              <w:pageBreakBefore w:val="0"/>
              <w:kinsoku/>
              <w:wordWrap/>
              <w:overflowPunct/>
              <w:topLinePunct w:val="0"/>
              <w:autoSpaceDE/>
              <w:autoSpaceDN/>
              <w:bidi w:val="0"/>
              <w:adjustRightInd w:val="0"/>
              <w:snapToGrid w:val="0"/>
              <w:spacing w:beforeAutospacing="0" w:afterAutospacing="0" w:line="500" w:lineRule="exact"/>
              <w:ind w:firstLine="0" w:firstLineChars="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b w:val="0"/>
                <w:bCs w:val="0"/>
                <w:color w:val="auto"/>
                <w:sz w:val="21"/>
                <w:szCs w:val="21"/>
                <w:highlight w:val="none"/>
                <w:vertAlign w:val="baseline"/>
                <w:lang w:val="en-US" w:eastAsia="zh-CN"/>
              </w:rPr>
              <w:t>道路宽度（m）</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3E58309F">
            <w:pPr>
              <w:keepNext w:val="0"/>
              <w:keepLines w:val="0"/>
              <w:pageBreakBefore w:val="0"/>
              <w:kinsoku/>
              <w:wordWrap/>
              <w:overflowPunct/>
              <w:topLinePunct w:val="0"/>
              <w:autoSpaceDE/>
              <w:autoSpaceDN/>
              <w:bidi w:val="0"/>
              <w:adjustRightInd w:val="0"/>
              <w:snapToGrid w:val="0"/>
              <w:spacing w:beforeAutospacing="0" w:afterAutospacing="0" w:line="500" w:lineRule="exact"/>
              <w:ind w:firstLine="0" w:firstLineChars="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b w:val="0"/>
                <w:bCs w:val="0"/>
                <w:color w:val="auto"/>
                <w:sz w:val="21"/>
                <w:szCs w:val="21"/>
                <w:highlight w:val="none"/>
                <w:vertAlign w:val="baseline"/>
                <w:lang w:val="en-US" w:eastAsia="zh-CN"/>
              </w:rPr>
              <w:t>保洁面积（㎡）</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53CB5109">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647A1FE1">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050D5586">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5CB5E610">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7AA8F621">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r>
      <w:tr w14:paraId="09E66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left w:val="single" w:color="auto" w:sz="4" w:space="0"/>
              <w:right w:val="single" w:color="auto" w:sz="4" w:space="0"/>
            </w:tcBorders>
            <w:shd w:val="clear" w:color="auto" w:fill="auto"/>
            <w:noWrap w:val="0"/>
            <w:vAlign w:val="center"/>
          </w:tcPr>
          <w:p w14:paraId="4C48644D">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0" w:type="auto"/>
            <w:vMerge w:val="continue"/>
            <w:tcBorders>
              <w:left w:val="single" w:color="auto" w:sz="4" w:space="0"/>
              <w:right w:val="single" w:color="auto" w:sz="4" w:space="0"/>
            </w:tcBorders>
            <w:shd w:val="clear" w:color="auto" w:fill="auto"/>
            <w:noWrap w:val="0"/>
            <w:vAlign w:val="center"/>
          </w:tcPr>
          <w:p w14:paraId="3D7CF785">
            <w:pPr>
              <w:widowControl/>
              <w:spacing w:line="360" w:lineRule="auto"/>
              <w:jc w:val="center"/>
              <w:rPr>
                <w:rFonts w:hint="eastAsia" w:ascii="宋体" w:hAnsi="宋体" w:eastAsia="宋体" w:cs="宋体"/>
                <w:b w:val="0"/>
                <w:bCs w:val="0"/>
                <w:color w:val="auto"/>
                <w:kern w:val="0"/>
                <w:sz w:val="21"/>
                <w:szCs w:val="21"/>
                <w:highlight w:val="none"/>
                <w:lang w:val="en-US" w:eastAsia="zh-CN"/>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6FF6418D">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cs="宋体"/>
                <w:color w:val="auto"/>
                <w:kern w:val="0"/>
                <w:szCs w:val="21"/>
                <w:highlight w:val="none"/>
                <w:lang w:val="en-US" w:eastAsia="zh-CN"/>
              </w:rPr>
              <w:t>248</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7BA6F03C">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cs="宋体"/>
                <w:color w:val="auto"/>
                <w:kern w:val="0"/>
                <w:szCs w:val="21"/>
                <w:highlight w:val="none"/>
                <w:lang w:val="en-US" w:eastAsia="zh-CN"/>
              </w:rPr>
              <w:t>20</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228CBD47">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cs="宋体"/>
                <w:color w:val="auto"/>
                <w:kern w:val="0"/>
                <w:szCs w:val="21"/>
                <w:highlight w:val="none"/>
                <w:lang w:val="en-US" w:eastAsia="zh-CN"/>
              </w:rPr>
              <w:t>4960</w:t>
            </w: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0FF7A57B">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013DC3ED">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32D6FC23">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10775D79">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0"/>
            <w:vAlign w:val="center"/>
          </w:tcPr>
          <w:p w14:paraId="7A984FC6">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r>
      <w:tr w14:paraId="640345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gridSpan w:val="4"/>
            <w:tcBorders>
              <w:left w:val="single" w:color="auto" w:sz="4" w:space="0"/>
              <w:right w:val="single" w:color="auto" w:sz="4" w:space="0"/>
            </w:tcBorders>
            <w:shd w:val="clear" w:color="auto" w:fill="auto"/>
            <w:noWrap w:val="0"/>
            <w:vAlign w:val="center"/>
          </w:tcPr>
          <w:p w14:paraId="227338C5">
            <w:pPr>
              <w:keepNext w:val="0"/>
              <w:keepLines w:val="0"/>
              <w:pageBreakBefore w:val="0"/>
              <w:kinsoku/>
              <w:wordWrap/>
              <w:overflowPunct/>
              <w:topLinePunct w:val="0"/>
              <w:autoSpaceDE/>
              <w:autoSpaceDN/>
              <w:bidi w:val="0"/>
              <w:adjustRightInd w:val="0"/>
              <w:snapToGrid w:val="0"/>
              <w:spacing w:beforeAutospacing="0" w:afterAutospacing="0" w:line="500" w:lineRule="exact"/>
              <w:ind w:firstLine="0" w:firstLineChars="0"/>
              <w:jc w:val="center"/>
              <w:textAlignment w:val="auto"/>
              <w:rPr>
                <w:rFonts w:hint="eastAsia" w:ascii="宋体" w:hAnsi="宋体" w:cs="宋体"/>
                <w:color w:val="auto"/>
                <w:kern w:val="0"/>
                <w:szCs w:val="21"/>
                <w:highlight w:val="none"/>
                <w:lang w:val="en-US" w:eastAsia="zh-CN"/>
              </w:rPr>
            </w:pPr>
            <w:r>
              <w:rPr>
                <w:rFonts w:hint="eastAsia" w:ascii="宋体" w:hAnsi="宋体" w:eastAsia="宋体" w:cs="宋体"/>
                <w:color w:val="auto"/>
                <w:sz w:val="21"/>
                <w:szCs w:val="21"/>
                <w:highlight w:val="none"/>
                <w:vertAlign w:val="baseline"/>
                <w:lang w:val="en-US" w:eastAsia="zh-CN"/>
              </w:rPr>
              <w:t>合计</w:t>
            </w:r>
          </w:p>
        </w:tc>
        <w:tc>
          <w:tcPr>
            <w:tcW w:w="0" w:type="auto"/>
            <w:gridSpan w:val="6"/>
            <w:tcBorders>
              <w:top w:val="single" w:color="auto" w:sz="4" w:space="0"/>
              <w:left w:val="single" w:color="auto" w:sz="4" w:space="0"/>
              <w:bottom w:val="single" w:color="auto" w:sz="4" w:space="0"/>
              <w:right w:val="single" w:color="auto" w:sz="4" w:space="0"/>
            </w:tcBorders>
            <w:shd w:val="clear" w:color="auto" w:fill="auto"/>
            <w:noWrap w:val="0"/>
            <w:vAlign w:val="center"/>
          </w:tcPr>
          <w:p w14:paraId="6E1CDDD5">
            <w:pPr>
              <w:widowControl/>
              <w:spacing w:line="360" w:lineRule="auto"/>
              <w:jc w:val="left"/>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保洁面积=道路面积（含绿化面积）+人行道面积</w:t>
            </w:r>
          </w:p>
          <w:p w14:paraId="3C03516E">
            <w:pPr>
              <w:widowControl/>
              <w:spacing w:line="360" w:lineRule="auto"/>
              <w:jc w:val="left"/>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=118971.3㎡（4960㎡）+18332.5㎡</w:t>
            </w:r>
          </w:p>
          <w:p w14:paraId="3FD5709E">
            <w:pPr>
              <w:keepNext w:val="0"/>
              <w:keepLines w:val="0"/>
              <w:pageBreakBefore w:val="0"/>
              <w:kinsoku/>
              <w:wordWrap/>
              <w:overflowPunct/>
              <w:topLinePunct w:val="0"/>
              <w:autoSpaceDE/>
              <w:autoSpaceDN/>
              <w:bidi w:val="0"/>
              <w:adjustRightInd w:val="0"/>
              <w:snapToGrid w:val="0"/>
              <w:spacing w:beforeAutospacing="0" w:afterAutospacing="0" w:line="500" w:lineRule="exact"/>
              <w:ind w:firstLine="0" w:firstLineChars="0"/>
              <w:jc w:val="left"/>
              <w:textAlignment w:val="auto"/>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Cs w:val="21"/>
                <w:highlight w:val="none"/>
                <w:lang w:val="en-US" w:eastAsia="zh-CN"/>
              </w:rPr>
              <w:t>=137303.8㎡</w:t>
            </w:r>
          </w:p>
        </w:tc>
      </w:tr>
      <w:tr w14:paraId="442A9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gridSpan w:val="4"/>
            <w:tcBorders>
              <w:left w:val="single" w:color="auto" w:sz="4" w:space="0"/>
              <w:bottom w:val="single" w:color="auto" w:sz="4" w:space="0"/>
              <w:right w:val="single" w:color="auto" w:sz="4" w:space="0"/>
            </w:tcBorders>
            <w:shd w:val="clear" w:color="auto" w:fill="auto"/>
            <w:noWrap w:val="0"/>
            <w:vAlign w:val="center"/>
          </w:tcPr>
          <w:p w14:paraId="6A2C700B">
            <w:pPr>
              <w:keepNext w:val="0"/>
              <w:keepLines w:val="0"/>
              <w:pageBreakBefore w:val="0"/>
              <w:kinsoku/>
              <w:wordWrap/>
              <w:overflowPunct/>
              <w:topLinePunct w:val="0"/>
              <w:autoSpaceDE/>
              <w:autoSpaceDN/>
              <w:bidi w:val="0"/>
              <w:adjustRightInd w:val="0"/>
              <w:snapToGrid w:val="0"/>
              <w:spacing w:beforeAutospacing="0" w:afterAutospacing="0" w:line="500" w:lineRule="exact"/>
              <w:ind w:firstLine="0" w:firstLineChars="0"/>
              <w:jc w:val="center"/>
              <w:textAlignment w:val="auto"/>
              <w:rPr>
                <w:rFonts w:hint="eastAsia" w:ascii="宋体" w:hAnsi="宋体" w:cs="宋体"/>
                <w:color w:val="auto"/>
                <w:kern w:val="0"/>
                <w:szCs w:val="21"/>
                <w:highlight w:val="none"/>
                <w:lang w:val="en-US" w:eastAsia="zh-CN"/>
              </w:rPr>
            </w:pPr>
            <w:r>
              <w:rPr>
                <w:rFonts w:hint="eastAsia" w:ascii="宋体" w:hAnsi="宋体" w:eastAsia="宋体" w:cs="宋体"/>
                <w:color w:val="auto"/>
                <w:sz w:val="21"/>
                <w:szCs w:val="21"/>
                <w:highlight w:val="none"/>
                <w:vertAlign w:val="baseline"/>
                <w:lang w:val="en-US" w:eastAsia="zh-CN"/>
              </w:rPr>
              <w:t>备注</w:t>
            </w:r>
          </w:p>
        </w:tc>
        <w:tc>
          <w:tcPr>
            <w:tcW w:w="0" w:type="auto"/>
            <w:gridSpan w:val="6"/>
            <w:tcBorders>
              <w:top w:val="single" w:color="auto" w:sz="4" w:space="0"/>
              <w:left w:val="single" w:color="auto" w:sz="4" w:space="0"/>
              <w:bottom w:val="single" w:color="auto" w:sz="4" w:space="0"/>
              <w:right w:val="single" w:color="auto" w:sz="4" w:space="0"/>
            </w:tcBorders>
            <w:shd w:val="clear" w:color="auto" w:fill="auto"/>
            <w:noWrap w:val="0"/>
            <w:vAlign w:val="center"/>
          </w:tcPr>
          <w:p w14:paraId="2BB516BD">
            <w:pPr>
              <w:keepNext w:val="0"/>
              <w:keepLines w:val="0"/>
              <w:pageBreakBefore w:val="0"/>
              <w:kinsoku/>
              <w:wordWrap/>
              <w:overflowPunct/>
              <w:topLinePunct w:val="0"/>
              <w:autoSpaceDE/>
              <w:autoSpaceDN/>
              <w:bidi w:val="0"/>
              <w:adjustRightInd w:val="0"/>
              <w:snapToGrid w:val="0"/>
              <w:spacing w:beforeAutospacing="0" w:afterAutospacing="0" w:line="500" w:lineRule="exact"/>
              <w:ind w:firstLine="0" w:firstLineChars="0"/>
              <w:jc w:val="left"/>
              <w:textAlignment w:val="auto"/>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sz w:val="21"/>
                <w:szCs w:val="21"/>
                <w:highlight w:val="none"/>
                <w:vertAlign w:val="baseline"/>
                <w:lang w:val="en-US" w:eastAsia="zh-CN"/>
              </w:rPr>
              <w:t>除以上明确的环卫保洁面积外，处于道路边线向外延伸2米范围（含“三边三地”等）也需中标人进行清理保洁。</w:t>
            </w:r>
          </w:p>
        </w:tc>
      </w:tr>
    </w:tbl>
    <w:p w14:paraId="34A5C641">
      <w:pPr>
        <w:pStyle w:val="6"/>
        <w:keepNext w:val="0"/>
        <w:keepLines w:val="0"/>
        <w:pageBreakBefore w:val="0"/>
        <w:widowControl w:val="0"/>
        <w:numPr>
          <w:ilvl w:val="0"/>
          <w:numId w:val="0"/>
        </w:numPr>
        <w:kinsoku/>
        <w:wordWrap/>
        <w:overflowPunct/>
        <w:topLinePunct w:val="0"/>
        <w:autoSpaceDE/>
        <w:autoSpaceDN/>
        <w:bidi w:val="0"/>
        <w:adjustRightInd/>
        <w:snapToGrid w:val="0"/>
        <w:spacing w:after="0" w:line="360" w:lineRule="auto"/>
        <w:ind w:leftChars="0"/>
        <w:textAlignment w:val="auto"/>
        <w:rPr>
          <w:rFonts w:hint="eastAsia" w:ascii="宋体" w:hAnsi="宋体" w:eastAsia="宋体" w:cs="宋体"/>
          <w:b/>
          <w:bCs/>
          <w:color w:val="auto"/>
          <w:sz w:val="21"/>
          <w:szCs w:val="21"/>
          <w:highlight w:val="none"/>
        </w:rPr>
      </w:pPr>
    </w:p>
    <w:p w14:paraId="49F27D27">
      <w:pPr>
        <w:pStyle w:val="6"/>
        <w:keepNext w:val="0"/>
        <w:keepLines w:val="0"/>
        <w:pageBreakBefore w:val="0"/>
        <w:widowControl w:val="0"/>
        <w:numPr>
          <w:ilvl w:val="0"/>
          <w:numId w:val="16"/>
        </w:numPr>
        <w:kinsoku/>
        <w:wordWrap/>
        <w:overflowPunct/>
        <w:topLinePunct w:val="0"/>
        <w:autoSpaceDE/>
        <w:autoSpaceDN/>
        <w:bidi w:val="0"/>
        <w:adjustRightInd/>
        <w:snapToGrid w:val="0"/>
        <w:spacing w:after="0" w:line="360" w:lineRule="auto"/>
        <w:ind w:left="425" w:leftChars="0" w:hanging="425" w:firstLineChars="0"/>
        <w:textAlignment w:val="auto"/>
        <w:rPr>
          <w:rFonts w:hint="eastAsia" w:ascii="宋体" w:hAnsi="宋体" w:eastAsia="宋体" w:cs="宋体"/>
          <w:b/>
          <w:bCs/>
          <w:color w:val="auto"/>
          <w:sz w:val="21"/>
          <w:szCs w:val="21"/>
          <w:highlight w:val="none"/>
        </w:rPr>
      </w:pPr>
      <w:r>
        <w:rPr>
          <w:rFonts w:hint="eastAsia" w:ascii="宋体" w:hAnsi="宋体" w:eastAsia="宋体" w:cs="宋体"/>
          <w:color w:val="auto"/>
          <w:kern w:val="0"/>
          <w:sz w:val="21"/>
          <w:szCs w:val="21"/>
          <w:highlight w:val="none"/>
        </w:rPr>
        <w:t>备注：如</w:t>
      </w:r>
      <w:r>
        <w:rPr>
          <w:rFonts w:hint="eastAsia" w:ascii="宋体" w:hAnsi="宋体" w:cs="宋体"/>
          <w:color w:val="auto"/>
          <w:kern w:val="0"/>
          <w:sz w:val="21"/>
          <w:szCs w:val="21"/>
          <w:highlight w:val="none"/>
          <w:lang w:val="en-US" w:eastAsia="zh-CN"/>
        </w:rPr>
        <w:t>服务</w:t>
      </w:r>
      <w:r>
        <w:rPr>
          <w:rFonts w:hint="eastAsia" w:ascii="宋体" w:hAnsi="宋体" w:eastAsia="宋体" w:cs="宋体"/>
          <w:color w:val="auto"/>
          <w:kern w:val="0"/>
          <w:sz w:val="21"/>
          <w:szCs w:val="21"/>
          <w:highlight w:val="none"/>
        </w:rPr>
        <w:t>期内因道路新建、改建造成清扫保洁面积增减，以补充协议形式进行确定，具体面积按实际丈量面积为准。</w:t>
      </w:r>
    </w:p>
    <w:p w14:paraId="41097D27">
      <w:pPr>
        <w:keepNext w:val="0"/>
        <w:keepLines w:val="0"/>
        <w:pageBreakBefore w:val="0"/>
        <w:numPr>
          <w:ilvl w:val="0"/>
          <w:numId w:val="14"/>
        </w:numPr>
        <w:kinsoku/>
        <w:wordWrap/>
        <w:overflowPunct/>
        <w:topLinePunct w:val="0"/>
        <w:autoSpaceDE/>
        <w:autoSpaceDN/>
        <w:bidi w:val="0"/>
        <w:adjustRightInd/>
        <w:snapToGrid w:val="0"/>
        <w:spacing w:line="360" w:lineRule="auto"/>
        <w:ind w:left="0" w:leftChars="0" w:firstLine="0" w:firstLineChars="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服务方式和要求</w:t>
      </w:r>
    </w:p>
    <w:p w14:paraId="0608298B">
      <w:pPr>
        <w:pStyle w:val="6"/>
        <w:keepNext w:val="0"/>
        <w:keepLines w:val="0"/>
        <w:pageBreakBefore w:val="0"/>
        <w:numPr>
          <w:ilvl w:val="0"/>
          <w:numId w:val="17"/>
        </w:numPr>
        <w:kinsoku/>
        <w:wordWrap/>
        <w:overflowPunct/>
        <w:topLinePunct w:val="0"/>
        <w:autoSpaceDE/>
        <w:autoSpaceDN/>
        <w:bidi w:val="0"/>
        <w:adjustRightInd/>
        <w:snapToGrid w:val="0"/>
        <w:spacing w:after="0" w:line="360" w:lineRule="auto"/>
        <w:ind w:left="425" w:leftChars="0" w:hanging="425" w:firstLineChars="0"/>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服务方式</w:t>
      </w:r>
    </w:p>
    <w:p w14:paraId="6F2B8B93">
      <w:pPr>
        <w:pStyle w:val="6"/>
        <w:keepNext w:val="0"/>
        <w:keepLines w:val="0"/>
        <w:pageBreakBefore w:val="0"/>
        <w:numPr>
          <w:ilvl w:val="0"/>
          <w:numId w:val="18"/>
        </w:numPr>
        <w:kinsoku/>
        <w:wordWrap/>
        <w:overflowPunct/>
        <w:topLinePunct w:val="0"/>
        <w:autoSpaceDE/>
        <w:autoSpaceDN/>
        <w:bidi w:val="0"/>
        <w:adjustRightInd/>
        <w:snapToGrid w:val="0"/>
        <w:spacing w:after="0" w:line="360" w:lineRule="auto"/>
        <w:ind w:left="425" w:leftChars="0" w:hanging="425"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采用全包干形式，即业务包干、经费包干。采购人将上述清扫保洁服务业务发包给</w:t>
      </w:r>
      <w:r>
        <w:rPr>
          <w:rFonts w:hint="eastAsia" w:ascii="宋体" w:hAnsi="宋体" w:cs="宋体"/>
          <w:color w:val="auto"/>
          <w:sz w:val="21"/>
          <w:szCs w:val="21"/>
          <w:highlight w:val="none"/>
          <w:lang w:val="en-US" w:eastAsia="zh-CN"/>
        </w:rPr>
        <w:t>中标人</w:t>
      </w:r>
      <w:r>
        <w:rPr>
          <w:rFonts w:hint="eastAsia" w:ascii="宋体" w:hAnsi="宋体" w:eastAsia="宋体" w:cs="宋体"/>
          <w:color w:val="auto"/>
          <w:sz w:val="21"/>
          <w:szCs w:val="21"/>
          <w:highlight w:val="none"/>
          <w:lang w:val="en-US" w:eastAsia="zh-CN"/>
        </w:rPr>
        <w:t>，</w:t>
      </w:r>
      <w:r>
        <w:rPr>
          <w:rFonts w:hint="eastAsia" w:ascii="宋体" w:hAnsi="宋体" w:cs="宋体"/>
          <w:color w:val="auto"/>
          <w:sz w:val="21"/>
          <w:szCs w:val="21"/>
          <w:highlight w:val="none"/>
          <w:lang w:val="en-US" w:eastAsia="zh-CN"/>
        </w:rPr>
        <w:t>中标人</w:t>
      </w:r>
      <w:r>
        <w:rPr>
          <w:rFonts w:hint="eastAsia" w:ascii="宋体" w:hAnsi="宋体" w:eastAsia="宋体" w:cs="宋体"/>
          <w:color w:val="auto"/>
          <w:sz w:val="21"/>
          <w:szCs w:val="21"/>
          <w:highlight w:val="none"/>
          <w:lang w:val="en-US" w:eastAsia="zh-CN"/>
        </w:rPr>
        <w:t>按采购人的要求和标准组织日常清扫工作、冲洗工作、保洁工作及管理工作，并接受采购人的指导、监督、检查、考核和验收，</w:t>
      </w:r>
      <w:r>
        <w:rPr>
          <w:rFonts w:hint="eastAsia" w:ascii="宋体" w:hAnsi="宋体" w:cs="宋体"/>
          <w:color w:val="auto"/>
          <w:sz w:val="21"/>
          <w:szCs w:val="21"/>
          <w:highlight w:val="none"/>
          <w:lang w:val="en-US" w:eastAsia="zh-CN"/>
        </w:rPr>
        <w:t>中标人</w:t>
      </w:r>
      <w:r>
        <w:rPr>
          <w:rFonts w:hint="eastAsia" w:ascii="宋体" w:hAnsi="宋体" w:eastAsia="宋体" w:cs="宋体"/>
          <w:color w:val="auto"/>
          <w:sz w:val="21"/>
          <w:szCs w:val="21"/>
          <w:highlight w:val="none"/>
          <w:lang w:val="en-US" w:eastAsia="zh-CN"/>
        </w:rPr>
        <w:t>未经采购人书面同意不得将业务转包或将项目的主体、关键性工作分包。</w:t>
      </w:r>
    </w:p>
    <w:p w14:paraId="5235792A">
      <w:pPr>
        <w:pStyle w:val="6"/>
        <w:keepNext w:val="0"/>
        <w:keepLines w:val="0"/>
        <w:pageBreakBefore w:val="0"/>
        <w:numPr>
          <w:ilvl w:val="0"/>
          <w:numId w:val="18"/>
        </w:numPr>
        <w:kinsoku/>
        <w:wordWrap/>
        <w:overflowPunct/>
        <w:topLinePunct w:val="0"/>
        <w:autoSpaceDE/>
        <w:autoSpaceDN/>
        <w:bidi w:val="0"/>
        <w:adjustRightInd/>
        <w:snapToGrid w:val="0"/>
        <w:spacing w:after="0" w:line="360" w:lineRule="auto"/>
        <w:ind w:left="425" w:leftChars="0" w:hanging="425" w:firstLineChars="0"/>
        <w:textAlignment w:val="auto"/>
        <w:rPr>
          <w:rFonts w:hint="eastAsia" w:ascii="宋体" w:hAnsi="宋体" w:eastAsia="宋体" w:cs="宋体"/>
          <w:b/>
          <w:bCs/>
          <w:color w:val="auto"/>
          <w:sz w:val="21"/>
          <w:szCs w:val="21"/>
          <w:highlight w:val="none"/>
          <w:lang w:val="en-US" w:eastAsia="zh-CN"/>
        </w:rPr>
      </w:pPr>
      <w:r>
        <w:rPr>
          <w:rFonts w:hint="eastAsia" w:ascii="宋体" w:hAnsi="宋体" w:cs="宋体"/>
          <w:b/>
          <w:bCs/>
          <w:color w:val="auto"/>
          <w:sz w:val="21"/>
          <w:szCs w:val="21"/>
          <w:highlight w:val="none"/>
          <w:lang w:val="en-US" w:eastAsia="zh-CN"/>
        </w:rPr>
        <w:t>★中标人须承诺在合同签订后30个工作日内取得建设（环境卫生）主管部门颁发的《城市生活垃圾经营性清扫、收集、运输服务许可证》，逾期未取得的，采购人有权终止合同并追究中标人违约责任，造成的一切损失由中标人承担（须提供单独的承诺函并加盖投标人公章，承诺函格式自拟）</w:t>
      </w:r>
      <w:r>
        <w:rPr>
          <w:rFonts w:hint="eastAsia" w:ascii="宋体" w:hAnsi="宋体" w:eastAsia="宋体" w:cs="宋体"/>
          <w:b/>
          <w:bCs/>
          <w:color w:val="auto"/>
          <w:sz w:val="21"/>
          <w:szCs w:val="21"/>
          <w:highlight w:val="none"/>
          <w:lang w:val="en-US" w:eastAsia="zh-CN"/>
        </w:rPr>
        <w:t>。</w:t>
      </w:r>
    </w:p>
    <w:p w14:paraId="6A4A5CE1">
      <w:pPr>
        <w:pStyle w:val="6"/>
        <w:keepNext w:val="0"/>
        <w:keepLines w:val="0"/>
        <w:pageBreakBefore w:val="0"/>
        <w:numPr>
          <w:ilvl w:val="0"/>
          <w:numId w:val="17"/>
        </w:numPr>
        <w:kinsoku/>
        <w:wordWrap/>
        <w:overflowPunct/>
        <w:topLinePunct w:val="0"/>
        <w:autoSpaceDE/>
        <w:autoSpaceDN/>
        <w:bidi w:val="0"/>
        <w:adjustRightInd/>
        <w:snapToGrid w:val="0"/>
        <w:spacing w:after="0" w:line="360" w:lineRule="auto"/>
        <w:ind w:left="425" w:leftChars="0" w:hanging="425" w:firstLineChars="0"/>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环境卫生质量要求</w:t>
      </w:r>
    </w:p>
    <w:p w14:paraId="3749DF6A">
      <w:pPr>
        <w:pStyle w:val="6"/>
        <w:keepNext w:val="0"/>
        <w:keepLines w:val="0"/>
        <w:pageBreakBefore w:val="0"/>
        <w:numPr>
          <w:ilvl w:val="0"/>
          <w:numId w:val="19"/>
        </w:numPr>
        <w:kinsoku/>
        <w:wordWrap/>
        <w:overflowPunct/>
        <w:topLinePunct w:val="0"/>
        <w:autoSpaceDE/>
        <w:autoSpaceDN/>
        <w:bidi w:val="0"/>
        <w:adjustRightInd/>
        <w:snapToGrid w:val="0"/>
        <w:spacing w:after="0"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城市道路、广场、步行街清扫保洁的质量要求：</w:t>
      </w:r>
    </w:p>
    <w:p w14:paraId="1E6A5C39">
      <w:pPr>
        <w:pStyle w:val="6"/>
        <w:keepNext w:val="0"/>
        <w:keepLines w:val="0"/>
        <w:pageBreakBefore w:val="0"/>
        <w:numPr>
          <w:ilvl w:val="0"/>
          <w:numId w:val="20"/>
        </w:numPr>
        <w:kinsoku/>
        <w:wordWrap/>
        <w:overflowPunct/>
        <w:topLinePunct w:val="0"/>
        <w:autoSpaceDE/>
        <w:autoSpaceDN/>
        <w:bidi w:val="0"/>
        <w:adjustRightInd/>
        <w:snapToGrid w:val="0"/>
        <w:spacing w:after="0"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日间，一至四级清扫保洁区域的路面废弃物总数应符合下表规定。</w:t>
      </w:r>
    </w:p>
    <w:p w14:paraId="6AE5E3B9">
      <w:pPr>
        <w:pStyle w:val="6"/>
        <w:keepNext w:val="0"/>
        <w:keepLines w:val="0"/>
        <w:pageBreakBefore w:val="0"/>
        <w:kinsoku/>
        <w:wordWrap/>
        <w:overflowPunct/>
        <w:topLinePunct w:val="0"/>
        <w:autoSpaceDE/>
        <w:autoSpaceDN/>
        <w:bidi w:val="0"/>
        <w:adjustRightInd/>
        <w:snapToGrid w:val="0"/>
        <w:spacing w:after="0" w:line="36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城市道路路面废弃物控制指标</w:t>
      </w:r>
    </w:p>
    <w:tbl>
      <w:tblPr>
        <w:tblStyle w:val="14"/>
        <w:tblW w:w="5056" w:type="pct"/>
        <w:tblInd w:w="-1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3"/>
        <w:gridCol w:w="2724"/>
        <w:gridCol w:w="1646"/>
        <w:gridCol w:w="2049"/>
        <w:gridCol w:w="1778"/>
      </w:tblGrid>
      <w:tr w14:paraId="5EA98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trPr>
        <w:tc>
          <w:tcPr>
            <w:tcW w:w="1275" w:type="dxa"/>
            <w:tcBorders>
              <w:top w:val="single" w:color="auto" w:sz="4" w:space="0"/>
              <w:left w:val="single" w:color="auto" w:sz="4" w:space="0"/>
              <w:bottom w:val="single" w:color="auto" w:sz="4" w:space="0"/>
              <w:right w:val="single" w:color="auto" w:sz="4" w:space="0"/>
            </w:tcBorders>
            <w:noWrap w:val="0"/>
            <w:vAlign w:val="center"/>
          </w:tcPr>
          <w:p w14:paraId="0E782591">
            <w:pPr>
              <w:pStyle w:val="6"/>
              <w:keepNext w:val="0"/>
              <w:keepLines w:val="0"/>
              <w:pageBreakBefore w:val="0"/>
              <w:widowControl w:val="0"/>
              <w:kinsoku/>
              <w:wordWrap/>
              <w:overflowPunct/>
              <w:topLinePunct w:val="0"/>
              <w:autoSpaceDE/>
              <w:autoSpaceDN/>
              <w:bidi w:val="0"/>
              <w:adjustRightInd/>
              <w:snapToGrid w:val="0"/>
              <w:spacing w:after="0" w:line="440" w:lineRule="exact"/>
              <w:ind w:left="0" w:leftChars="0" w:right="0" w:right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保洁等级</w:t>
            </w:r>
          </w:p>
        </w:tc>
        <w:tc>
          <w:tcPr>
            <w:tcW w:w="2946" w:type="dxa"/>
            <w:tcBorders>
              <w:top w:val="single" w:color="auto" w:sz="4" w:space="0"/>
              <w:left w:val="single" w:color="auto" w:sz="4" w:space="0"/>
              <w:bottom w:val="single" w:color="auto" w:sz="4" w:space="0"/>
              <w:right w:val="single" w:color="auto" w:sz="4" w:space="0"/>
            </w:tcBorders>
            <w:noWrap w:val="0"/>
            <w:vAlign w:val="center"/>
          </w:tcPr>
          <w:p w14:paraId="1645C137">
            <w:pPr>
              <w:pStyle w:val="6"/>
              <w:keepNext w:val="0"/>
              <w:keepLines w:val="0"/>
              <w:pageBreakBefore w:val="0"/>
              <w:widowControl w:val="0"/>
              <w:kinsoku/>
              <w:wordWrap/>
              <w:overflowPunct/>
              <w:topLinePunct w:val="0"/>
              <w:autoSpaceDE/>
              <w:autoSpaceDN/>
              <w:bidi w:val="0"/>
              <w:adjustRightInd/>
              <w:snapToGrid w:val="0"/>
              <w:spacing w:after="0" w:line="440" w:lineRule="exact"/>
              <w:ind w:left="0" w:leftChars="0" w:right="0" w:right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果皮、纸屑、塑膜及其他杂物（件/500平方米）</w:t>
            </w:r>
          </w:p>
        </w:tc>
        <w:tc>
          <w:tcPr>
            <w:tcW w:w="1754" w:type="dxa"/>
            <w:tcBorders>
              <w:top w:val="single" w:color="auto" w:sz="4" w:space="0"/>
              <w:left w:val="single" w:color="auto" w:sz="4" w:space="0"/>
              <w:bottom w:val="single" w:color="auto" w:sz="4" w:space="0"/>
              <w:right w:val="single" w:color="auto" w:sz="4" w:space="0"/>
            </w:tcBorders>
            <w:noWrap w:val="0"/>
            <w:vAlign w:val="center"/>
          </w:tcPr>
          <w:p w14:paraId="54C10BAC">
            <w:pPr>
              <w:pStyle w:val="6"/>
              <w:keepNext w:val="0"/>
              <w:keepLines w:val="0"/>
              <w:pageBreakBefore w:val="0"/>
              <w:widowControl w:val="0"/>
              <w:kinsoku/>
              <w:wordWrap/>
              <w:overflowPunct/>
              <w:topLinePunct w:val="0"/>
              <w:autoSpaceDE/>
              <w:autoSpaceDN/>
              <w:bidi w:val="0"/>
              <w:adjustRightInd/>
              <w:snapToGrid w:val="0"/>
              <w:spacing w:after="0" w:line="440" w:lineRule="exact"/>
              <w:ind w:left="0" w:leftChars="0" w:right="0" w:right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烟蒂</w:t>
            </w:r>
          </w:p>
          <w:p w14:paraId="449C9920">
            <w:pPr>
              <w:pStyle w:val="6"/>
              <w:keepNext w:val="0"/>
              <w:keepLines w:val="0"/>
              <w:pageBreakBefore w:val="0"/>
              <w:widowControl w:val="0"/>
              <w:kinsoku/>
              <w:wordWrap/>
              <w:overflowPunct/>
              <w:topLinePunct w:val="0"/>
              <w:autoSpaceDE/>
              <w:autoSpaceDN/>
              <w:bidi w:val="0"/>
              <w:adjustRightInd/>
              <w:snapToGrid w:val="0"/>
              <w:spacing w:after="0" w:line="440" w:lineRule="exact"/>
              <w:ind w:left="0" w:leftChars="0" w:right="0" w:rightChars="0" w:hanging="3"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（个/500平方米）</w:t>
            </w:r>
          </w:p>
        </w:tc>
        <w:tc>
          <w:tcPr>
            <w:tcW w:w="2200" w:type="dxa"/>
            <w:tcBorders>
              <w:top w:val="single" w:color="auto" w:sz="4" w:space="0"/>
              <w:left w:val="single" w:color="auto" w:sz="4" w:space="0"/>
              <w:bottom w:val="single" w:color="auto" w:sz="4" w:space="0"/>
              <w:right w:val="single" w:color="auto" w:sz="4" w:space="0"/>
            </w:tcBorders>
            <w:noWrap w:val="0"/>
            <w:vAlign w:val="center"/>
          </w:tcPr>
          <w:p w14:paraId="1482F38F">
            <w:pPr>
              <w:pStyle w:val="6"/>
              <w:keepNext w:val="0"/>
              <w:keepLines w:val="0"/>
              <w:pageBreakBefore w:val="0"/>
              <w:widowControl w:val="0"/>
              <w:kinsoku/>
              <w:wordWrap/>
              <w:overflowPunct/>
              <w:topLinePunct w:val="0"/>
              <w:autoSpaceDE/>
              <w:autoSpaceDN/>
              <w:bidi w:val="0"/>
              <w:adjustRightInd/>
              <w:snapToGrid w:val="0"/>
              <w:spacing w:after="0" w:line="440" w:lineRule="exact"/>
              <w:ind w:left="0" w:leftChars="0" w:right="0" w:right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污水、污渍</w:t>
            </w:r>
          </w:p>
          <w:p w14:paraId="401328CE">
            <w:pPr>
              <w:keepNext w:val="0"/>
              <w:keepLines w:val="0"/>
              <w:pageBreakBefore w:val="0"/>
              <w:widowControl w:val="0"/>
              <w:kinsoku/>
              <w:wordWrap/>
              <w:overflowPunct/>
              <w:topLinePunct w:val="0"/>
              <w:autoSpaceDE/>
              <w:autoSpaceDN/>
              <w:bidi w:val="0"/>
              <w:adjustRightInd/>
              <w:snapToGrid w:val="0"/>
              <w:spacing w:line="440" w:lineRule="exact"/>
              <w:ind w:left="0" w:leftChars="0" w:right="0" w:right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（平方米/500平方米）</w:t>
            </w:r>
          </w:p>
        </w:tc>
        <w:tc>
          <w:tcPr>
            <w:tcW w:w="1899" w:type="dxa"/>
            <w:tcBorders>
              <w:top w:val="single" w:color="auto" w:sz="4" w:space="0"/>
              <w:left w:val="single" w:color="auto" w:sz="4" w:space="0"/>
              <w:bottom w:val="single" w:color="auto" w:sz="4" w:space="0"/>
              <w:right w:val="single" w:color="auto" w:sz="4" w:space="0"/>
            </w:tcBorders>
            <w:noWrap w:val="0"/>
            <w:vAlign w:val="center"/>
          </w:tcPr>
          <w:p w14:paraId="5BE98591">
            <w:pPr>
              <w:pStyle w:val="6"/>
              <w:keepNext w:val="0"/>
              <w:keepLines w:val="0"/>
              <w:pageBreakBefore w:val="0"/>
              <w:widowControl w:val="0"/>
              <w:kinsoku/>
              <w:wordWrap/>
              <w:overflowPunct/>
              <w:topLinePunct w:val="0"/>
              <w:autoSpaceDE/>
              <w:autoSpaceDN/>
              <w:bidi w:val="0"/>
              <w:adjustRightInd/>
              <w:snapToGrid w:val="0"/>
              <w:spacing w:after="0" w:line="440" w:lineRule="exact"/>
              <w:ind w:left="0" w:leftChars="0" w:right="0" w:right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尘土量</w:t>
            </w:r>
          </w:p>
          <w:p w14:paraId="33EDA7EC">
            <w:pPr>
              <w:keepNext w:val="0"/>
              <w:keepLines w:val="0"/>
              <w:pageBreakBefore w:val="0"/>
              <w:widowControl w:val="0"/>
              <w:tabs>
                <w:tab w:val="left" w:pos="2100"/>
              </w:tabs>
              <w:kinsoku/>
              <w:wordWrap/>
              <w:overflowPunct/>
              <w:topLinePunct w:val="0"/>
              <w:autoSpaceDE/>
              <w:autoSpaceDN/>
              <w:bidi w:val="0"/>
              <w:adjustRightInd/>
              <w:snapToGrid w:val="0"/>
              <w:spacing w:line="440" w:lineRule="exact"/>
              <w:ind w:left="0" w:leftChars="0" w:right="0" w:rightChars="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（千克/500平方米）</w:t>
            </w:r>
          </w:p>
        </w:tc>
      </w:tr>
      <w:tr w14:paraId="03279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275" w:type="dxa"/>
            <w:tcBorders>
              <w:top w:val="single" w:color="auto" w:sz="4" w:space="0"/>
              <w:left w:val="single" w:color="auto" w:sz="4" w:space="0"/>
              <w:bottom w:val="single" w:color="auto" w:sz="4" w:space="0"/>
              <w:right w:val="single" w:color="auto" w:sz="4" w:space="0"/>
            </w:tcBorders>
            <w:noWrap w:val="0"/>
            <w:vAlign w:val="center"/>
          </w:tcPr>
          <w:p w14:paraId="7F7920B8">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一级</w:t>
            </w:r>
          </w:p>
        </w:tc>
        <w:tc>
          <w:tcPr>
            <w:tcW w:w="2946" w:type="dxa"/>
            <w:tcBorders>
              <w:top w:val="single" w:color="auto" w:sz="4" w:space="0"/>
              <w:left w:val="single" w:color="auto" w:sz="4" w:space="0"/>
              <w:bottom w:val="single" w:color="auto" w:sz="4" w:space="0"/>
              <w:right w:val="single" w:color="auto" w:sz="4" w:space="0"/>
            </w:tcBorders>
            <w:noWrap w:val="0"/>
            <w:vAlign w:val="center"/>
          </w:tcPr>
          <w:p w14:paraId="7B916E92">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754" w:type="dxa"/>
            <w:tcBorders>
              <w:top w:val="single" w:color="auto" w:sz="4" w:space="0"/>
              <w:left w:val="single" w:color="auto" w:sz="4" w:space="0"/>
              <w:bottom w:val="single" w:color="auto" w:sz="4" w:space="0"/>
              <w:right w:val="single" w:color="auto" w:sz="4" w:space="0"/>
            </w:tcBorders>
            <w:noWrap w:val="0"/>
            <w:vAlign w:val="center"/>
          </w:tcPr>
          <w:p w14:paraId="56C1181B">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2200" w:type="dxa"/>
            <w:tcBorders>
              <w:top w:val="single" w:color="auto" w:sz="4" w:space="0"/>
              <w:left w:val="single" w:color="auto" w:sz="4" w:space="0"/>
              <w:bottom w:val="single" w:color="auto" w:sz="4" w:space="0"/>
              <w:right w:val="single" w:color="auto" w:sz="4" w:space="0"/>
            </w:tcBorders>
            <w:noWrap w:val="0"/>
            <w:vAlign w:val="center"/>
          </w:tcPr>
          <w:p w14:paraId="5A4F484B">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无</w:t>
            </w:r>
          </w:p>
        </w:tc>
        <w:tc>
          <w:tcPr>
            <w:tcW w:w="1899" w:type="dxa"/>
            <w:tcBorders>
              <w:top w:val="single" w:color="auto" w:sz="4" w:space="0"/>
              <w:left w:val="single" w:color="auto" w:sz="4" w:space="0"/>
              <w:bottom w:val="single" w:color="auto" w:sz="4" w:space="0"/>
              <w:right w:val="single" w:color="auto" w:sz="4" w:space="0"/>
            </w:tcBorders>
            <w:noWrap w:val="0"/>
            <w:vAlign w:val="center"/>
          </w:tcPr>
          <w:p w14:paraId="61C4E0FF">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r>
      <w:tr w14:paraId="25E7C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1275" w:type="dxa"/>
            <w:tcBorders>
              <w:top w:val="single" w:color="auto" w:sz="4" w:space="0"/>
              <w:left w:val="single" w:color="auto" w:sz="4" w:space="0"/>
              <w:bottom w:val="single" w:color="auto" w:sz="4" w:space="0"/>
              <w:right w:val="single" w:color="auto" w:sz="4" w:space="0"/>
            </w:tcBorders>
            <w:noWrap w:val="0"/>
            <w:vAlign w:val="center"/>
          </w:tcPr>
          <w:p w14:paraId="52659628">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二级</w:t>
            </w:r>
          </w:p>
        </w:tc>
        <w:tc>
          <w:tcPr>
            <w:tcW w:w="2946" w:type="dxa"/>
            <w:tcBorders>
              <w:top w:val="single" w:color="auto" w:sz="4" w:space="0"/>
              <w:left w:val="single" w:color="auto" w:sz="4" w:space="0"/>
              <w:bottom w:val="single" w:color="auto" w:sz="4" w:space="0"/>
              <w:right w:val="single" w:color="auto" w:sz="4" w:space="0"/>
            </w:tcBorders>
            <w:noWrap w:val="0"/>
            <w:vAlign w:val="center"/>
          </w:tcPr>
          <w:p w14:paraId="25F0AEFB">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1754" w:type="dxa"/>
            <w:tcBorders>
              <w:top w:val="single" w:color="auto" w:sz="4" w:space="0"/>
              <w:left w:val="single" w:color="auto" w:sz="4" w:space="0"/>
              <w:bottom w:val="single" w:color="auto" w:sz="4" w:space="0"/>
              <w:right w:val="single" w:color="auto" w:sz="4" w:space="0"/>
            </w:tcBorders>
            <w:noWrap w:val="0"/>
            <w:vAlign w:val="center"/>
          </w:tcPr>
          <w:p w14:paraId="69725BE2">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2200" w:type="dxa"/>
            <w:tcBorders>
              <w:top w:val="single" w:color="auto" w:sz="4" w:space="0"/>
              <w:left w:val="single" w:color="auto" w:sz="4" w:space="0"/>
              <w:bottom w:val="single" w:color="auto" w:sz="4" w:space="0"/>
              <w:right w:val="single" w:color="auto" w:sz="4" w:space="0"/>
            </w:tcBorders>
            <w:noWrap w:val="0"/>
            <w:vAlign w:val="center"/>
          </w:tcPr>
          <w:p w14:paraId="18B15F0F">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无</w:t>
            </w:r>
          </w:p>
        </w:tc>
        <w:tc>
          <w:tcPr>
            <w:tcW w:w="1899" w:type="dxa"/>
            <w:tcBorders>
              <w:top w:val="single" w:color="auto" w:sz="4" w:space="0"/>
              <w:left w:val="single" w:color="auto" w:sz="4" w:space="0"/>
              <w:bottom w:val="single" w:color="auto" w:sz="4" w:space="0"/>
              <w:right w:val="single" w:color="auto" w:sz="4" w:space="0"/>
            </w:tcBorders>
            <w:noWrap w:val="0"/>
            <w:vAlign w:val="center"/>
          </w:tcPr>
          <w:p w14:paraId="6678EDDD">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w:t>
            </w:r>
          </w:p>
        </w:tc>
      </w:tr>
      <w:tr w14:paraId="6CEB46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1275" w:type="dxa"/>
            <w:tcBorders>
              <w:top w:val="single" w:color="auto" w:sz="4" w:space="0"/>
              <w:left w:val="single" w:color="auto" w:sz="4" w:space="0"/>
              <w:bottom w:val="single" w:color="auto" w:sz="4" w:space="0"/>
              <w:right w:val="single" w:color="auto" w:sz="4" w:space="0"/>
            </w:tcBorders>
            <w:noWrap w:val="0"/>
            <w:vAlign w:val="center"/>
          </w:tcPr>
          <w:p w14:paraId="61D725D1">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三级</w:t>
            </w:r>
          </w:p>
        </w:tc>
        <w:tc>
          <w:tcPr>
            <w:tcW w:w="2946" w:type="dxa"/>
            <w:tcBorders>
              <w:top w:val="single" w:color="auto" w:sz="4" w:space="0"/>
              <w:left w:val="single" w:color="auto" w:sz="4" w:space="0"/>
              <w:bottom w:val="single" w:color="auto" w:sz="4" w:space="0"/>
              <w:right w:val="single" w:color="auto" w:sz="4" w:space="0"/>
            </w:tcBorders>
            <w:noWrap w:val="0"/>
            <w:vAlign w:val="center"/>
          </w:tcPr>
          <w:p w14:paraId="7D8726B6">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1754" w:type="dxa"/>
            <w:tcBorders>
              <w:top w:val="single" w:color="auto" w:sz="4" w:space="0"/>
              <w:left w:val="single" w:color="auto" w:sz="4" w:space="0"/>
              <w:bottom w:val="single" w:color="auto" w:sz="4" w:space="0"/>
              <w:right w:val="single" w:color="auto" w:sz="4" w:space="0"/>
            </w:tcBorders>
            <w:noWrap w:val="0"/>
            <w:vAlign w:val="center"/>
          </w:tcPr>
          <w:p w14:paraId="2C32330D">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2200" w:type="dxa"/>
            <w:tcBorders>
              <w:top w:val="single" w:color="auto" w:sz="4" w:space="0"/>
              <w:left w:val="single" w:color="auto" w:sz="4" w:space="0"/>
              <w:bottom w:val="single" w:color="auto" w:sz="4" w:space="0"/>
              <w:right w:val="single" w:color="auto" w:sz="4" w:space="0"/>
            </w:tcBorders>
            <w:noWrap w:val="0"/>
            <w:vAlign w:val="center"/>
          </w:tcPr>
          <w:p w14:paraId="73B4BFF0">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无</w:t>
            </w:r>
          </w:p>
        </w:tc>
        <w:tc>
          <w:tcPr>
            <w:tcW w:w="1899" w:type="dxa"/>
            <w:tcBorders>
              <w:top w:val="single" w:color="auto" w:sz="4" w:space="0"/>
              <w:left w:val="single" w:color="auto" w:sz="4" w:space="0"/>
              <w:bottom w:val="single" w:color="auto" w:sz="4" w:space="0"/>
              <w:right w:val="single" w:color="auto" w:sz="4" w:space="0"/>
            </w:tcBorders>
            <w:noWrap w:val="0"/>
            <w:vAlign w:val="center"/>
          </w:tcPr>
          <w:p w14:paraId="6BA5B61B">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w:t>
            </w:r>
          </w:p>
        </w:tc>
      </w:tr>
      <w:tr w14:paraId="7B7B8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275" w:type="dxa"/>
            <w:tcBorders>
              <w:top w:val="single" w:color="auto" w:sz="4" w:space="0"/>
              <w:left w:val="single" w:color="auto" w:sz="4" w:space="0"/>
              <w:bottom w:val="single" w:color="auto" w:sz="4" w:space="0"/>
              <w:right w:val="single" w:color="auto" w:sz="4" w:space="0"/>
            </w:tcBorders>
            <w:noWrap w:val="0"/>
            <w:vAlign w:val="center"/>
          </w:tcPr>
          <w:p w14:paraId="174994C4">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四级</w:t>
            </w:r>
          </w:p>
        </w:tc>
        <w:tc>
          <w:tcPr>
            <w:tcW w:w="2946" w:type="dxa"/>
            <w:tcBorders>
              <w:top w:val="single" w:color="auto" w:sz="4" w:space="0"/>
              <w:left w:val="single" w:color="auto" w:sz="4" w:space="0"/>
              <w:bottom w:val="single" w:color="auto" w:sz="4" w:space="0"/>
              <w:right w:val="single" w:color="auto" w:sz="4" w:space="0"/>
            </w:tcBorders>
            <w:noWrap w:val="0"/>
            <w:vAlign w:val="center"/>
          </w:tcPr>
          <w:p w14:paraId="0E5B7F75">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1754" w:type="dxa"/>
            <w:tcBorders>
              <w:top w:val="single" w:color="auto" w:sz="4" w:space="0"/>
              <w:left w:val="single" w:color="auto" w:sz="4" w:space="0"/>
              <w:bottom w:val="single" w:color="auto" w:sz="4" w:space="0"/>
              <w:right w:val="single" w:color="auto" w:sz="4" w:space="0"/>
            </w:tcBorders>
            <w:noWrap w:val="0"/>
            <w:vAlign w:val="center"/>
          </w:tcPr>
          <w:p w14:paraId="2228E0B2">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2200" w:type="dxa"/>
            <w:tcBorders>
              <w:top w:val="single" w:color="auto" w:sz="4" w:space="0"/>
              <w:left w:val="single" w:color="auto" w:sz="4" w:space="0"/>
              <w:bottom w:val="single" w:color="auto" w:sz="4" w:space="0"/>
              <w:right w:val="single" w:color="auto" w:sz="4" w:space="0"/>
            </w:tcBorders>
            <w:noWrap w:val="0"/>
            <w:vAlign w:val="center"/>
          </w:tcPr>
          <w:p w14:paraId="287BD2E1">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0.5</w:t>
            </w:r>
          </w:p>
        </w:tc>
        <w:tc>
          <w:tcPr>
            <w:tcW w:w="1899" w:type="dxa"/>
            <w:tcBorders>
              <w:top w:val="single" w:color="auto" w:sz="4" w:space="0"/>
              <w:left w:val="single" w:color="auto" w:sz="4" w:space="0"/>
              <w:bottom w:val="single" w:color="auto" w:sz="4" w:space="0"/>
              <w:right w:val="single" w:color="auto" w:sz="4" w:space="0"/>
            </w:tcBorders>
            <w:noWrap w:val="0"/>
            <w:vAlign w:val="center"/>
          </w:tcPr>
          <w:p w14:paraId="75515731">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≤25</w:t>
            </w:r>
          </w:p>
        </w:tc>
      </w:tr>
    </w:tbl>
    <w:p w14:paraId="1D53FFB6">
      <w:pPr>
        <w:pStyle w:val="6"/>
        <w:keepNext w:val="0"/>
        <w:keepLines w:val="0"/>
        <w:pageBreakBefore w:val="0"/>
        <w:numPr>
          <w:ilvl w:val="0"/>
          <w:numId w:val="20"/>
        </w:numPr>
        <w:kinsoku/>
        <w:wordWrap/>
        <w:overflowPunct/>
        <w:topLinePunct w:val="0"/>
        <w:autoSpaceDE/>
        <w:autoSpaceDN/>
        <w:bidi w:val="0"/>
        <w:adjustRightInd/>
        <w:snapToGrid w:val="0"/>
        <w:spacing w:after="0"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夜间保洁时，一级清扫保洁道路的路面垃圾杂物（仅计塑料袋、纸屑、饭盒等超过火柴盒大小的较大垃圾）每500平方米不超过4件，二至四级清扫保洁道路的路面垃圾杂物每500平方米不超过8件。</w:t>
      </w:r>
    </w:p>
    <w:p w14:paraId="7F069B89">
      <w:pPr>
        <w:pStyle w:val="6"/>
        <w:keepNext w:val="0"/>
        <w:keepLines w:val="0"/>
        <w:pageBreakBefore w:val="0"/>
        <w:numPr>
          <w:ilvl w:val="0"/>
          <w:numId w:val="19"/>
        </w:numPr>
        <w:kinsoku/>
        <w:wordWrap/>
        <w:overflowPunct/>
        <w:topLinePunct w:val="0"/>
        <w:autoSpaceDE/>
        <w:autoSpaceDN/>
        <w:bidi w:val="0"/>
        <w:adjustRightInd/>
        <w:snapToGrid w:val="0"/>
        <w:spacing w:after="0"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交通护栏、灯杆保洁质量要求：</w:t>
      </w:r>
    </w:p>
    <w:p w14:paraId="48C21733">
      <w:pPr>
        <w:pStyle w:val="6"/>
        <w:keepNext w:val="0"/>
        <w:keepLines w:val="0"/>
        <w:pageBreakBefore w:val="0"/>
        <w:numPr>
          <w:ilvl w:val="0"/>
          <w:numId w:val="21"/>
        </w:numPr>
        <w:kinsoku/>
        <w:wordWrap/>
        <w:overflowPunct/>
        <w:topLinePunct w:val="0"/>
        <w:autoSpaceDE/>
        <w:autoSpaceDN/>
        <w:bidi w:val="0"/>
        <w:adjustRightInd/>
        <w:snapToGrid w:val="0"/>
        <w:spacing w:after="0"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交通护栏无明显积尘、无明显污迹；</w:t>
      </w:r>
    </w:p>
    <w:p w14:paraId="347A4A2C">
      <w:pPr>
        <w:pStyle w:val="6"/>
        <w:keepNext w:val="0"/>
        <w:keepLines w:val="0"/>
        <w:pageBreakBefore w:val="0"/>
        <w:numPr>
          <w:ilvl w:val="0"/>
          <w:numId w:val="21"/>
        </w:numPr>
        <w:kinsoku/>
        <w:wordWrap/>
        <w:overflowPunct/>
        <w:topLinePunct w:val="0"/>
        <w:autoSpaceDE/>
        <w:autoSpaceDN/>
        <w:bidi w:val="0"/>
        <w:adjustRightInd/>
        <w:snapToGrid w:val="0"/>
        <w:spacing w:after="0"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灯杆无明显积尘、无明显污迹。</w:t>
      </w:r>
    </w:p>
    <w:p w14:paraId="533C4699">
      <w:pPr>
        <w:pStyle w:val="6"/>
        <w:keepNext w:val="0"/>
        <w:keepLines w:val="0"/>
        <w:pageBreakBefore w:val="0"/>
        <w:numPr>
          <w:ilvl w:val="0"/>
          <w:numId w:val="19"/>
        </w:numPr>
        <w:kinsoku/>
        <w:wordWrap/>
        <w:overflowPunct/>
        <w:topLinePunct w:val="0"/>
        <w:autoSpaceDE/>
        <w:autoSpaceDN/>
        <w:bidi w:val="0"/>
        <w:adjustRightInd/>
        <w:snapToGrid w:val="0"/>
        <w:spacing w:after="0"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道路两侧休闲椅、广告牌、路牌等设施的清理应符合以下要求：</w:t>
      </w:r>
    </w:p>
    <w:p w14:paraId="028C159E">
      <w:pPr>
        <w:pStyle w:val="6"/>
        <w:keepNext w:val="0"/>
        <w:keepLines w:val="0"/>
        <w:pageBreakBefore w:val="0"/>
        <w:numPr>
          <w:ilvl w:val="0"/>
          <w:numId w:val="22"/>
        </w:numPr>
        <w:kinsoku/>
        <w:wordWrap/>
        <w:overflowPunct/>
        <w:topLinePunct w:val="0"/>
        <w:autoSpaceDE/>
        <w:autoSpaceDN/>
        <w:bidi w:val="0"/>
        <w:adjustRightInd/>
        <w:snapToGrid w:val="0"/>
        <w:spacing w:after="0"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道路两侧休闲椅、康体娱乐设施、雕塑等无明显积尘、无明显污迹；</w:t>
      </w:r>
    </w:p>
    <w:p w14:paraId="75D8B774">
      <w:pPr>
        <w:pStyle w:val="6"/>
        <w:keepNext w:val="0"/>
        <w:keepLines w:val="0"/>
        <w:pageBreakBefore w:val="0"/>
        <w:numPr>
          <w:ilvl w:val="0"/>
          <w:numId w:val="22"/>
        </w:numPr>
        <w:kinsoku/>
        <w:wordWrap/>
        <w:overflowPunct/>
        <w:topLinePunct w:val="0"/>
        <w:autoSpaceDE/>
        <w:autoSpaceDN/>
        <w:bidi w:val="0"/>
        <w:adjustRightInd/>
        <w:snapToGrid w:val="0"/>
        <w:spacing w:after="0"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道路两侧广告牌、路牌、邮筒、读报栏、站亭等设施无污迹、积尘。</w:t>
      </w:r>
    </w:p>
    <w:p w14:paraId="313F9200">
      <w:pPr>
        <w:pStyle w:val="6"/>
        <w:keepNext w:val="0"/>
        <w:keepLines w:val="0"/>
        <w:pageBreakBefore w:val="0"/>
        <w:numPr>
          <w:ilvl w:val="0"/>
          <w:numId w:val="19"/>
        </w:numPr>
        <w:kinsoku/>
        <w:wordWrap/>
        <w:overflowPunct/>
        <w:topLinePunct w:val="0"/>
        <w:autoSpaceDE/>
        <w:autoSpaceDN/>
        <w:bidi w:val="0"/>
        <w:adjustRightInd/>
        <w:snapToGrid w:val="0"/>
        <w:spacing w:after="0"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人行天桥的保洁应符合以下要求：</w:t>
      </w:r>
    </w:p>
    <w:p w14:paraId="10A30FBA">
      <w:pPr>
        <w:pStyle w:val="6"/>
        <w:keepNext w:val="0"/>
        <w:keepLines w:val="0"/>
        <w:pageBreakBefore w:val="0"/>
        <w:numPr>
          <w:ilvl w:val="0"/>
          <w:numId w:val="23"/>
        </w:numPr>
        <w:kinsoku/>
        <w:wordWrap/>
        <w:overflowPunct/>
        <w:topLinePunct w:val="0"/>
        <w:autoSpaceDE/>
        <w:autoSpaceDN/>
        <w:bidi w:val="0"/>
        <w:adjustRightInd/>
        <w:snapToGrid w:val="0"/>
        <w:spacing w:after="0"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人行天桥应与所连接的道路保洁质量标准相同，人行天桥桥面应无明显垃圾，注意清理口香糖渣等污垢，做到桥面见本色，阶梯、扶手、栏杆应干净整洁，无乱张贴、乱涂写；</w:t>
      </w:r>
    </w:p>
    <w:p w14:paraId="1F8DA3B1">
      <w:pPr>
        <w:pStyle w:val="6"/>
        <w:keepNext w:val="0"/>
        <w:keepLines w:val="0"/>
        <w:pageBreakBefore w:val="0"/>
        <w:numPr>
          <w:ilvl w:val="0"/>
          <w:numId w:val="23"/>
        </w:numPr>
        <w:kinsoku/>
        <w:wordWrap/>
        <w:overflowPunct/>
        <w:topLinePunct w:val="0"/>
        <w:autoSpaceDE/>
        <w:autoSpaceDN/>
        <w:bidi w:val="0"/>
        <w:adjustRightInd/>
        <w:snapToGrid w:val="0"/>
        <w:spacing w:after="0"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人行天桥雨篷应定期进行清理，确保无暴露垃圾。</w:t>
      </w:r>
    </w:p>
    <w:p w14:paraId="41CA5DB2">
      <w:pPr>
        <w:pStyle w:val="6"/>
        <w:keepNext w:val="0"/>
        <w:keepLines w:val="0"/>
        <w:pageBreakBefore w:val="0"/>
        <w:numPr>
          <w:ilvl w:val="0"/>
          <w:numId w:val="19"/>
        </w:numPr>
        <w:kinsoku/>
        <w:wordWrap/>
        <w:overflowPunct/>
        <w:topLinePunct w:val="0"/>
        <w:autoSpaceDE/>
        <w:autoSpaceDN/>
        <w:bidi w:val="0"/>
        <w:adjustRightInd/>
        <w:snapToGrid w:val="0"/>
        <w:spacing w:after="0"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地下人行通道的保洁应符合以下要求： </w:t>
      </w:r>
    </w:p>
    <w:p w14:paraId="7738B476">
      <w:pPr>
        <w:pStyle w:val="6"/>
        <w:keepNext w:val="0"/>
        <w:keepLines w:val="0"/>
        <w:pageBreakBefore w:val="0"/>
        <w:numPr>
          <w:ilvl w:val="0"/>
          <w:numId w:val="24"/>
        </w:numPr>
        <w:kinsoku/>
        <w:wordWrap/>
        <w:overflowPunct/>
        <w:topLinePunct w:val="0"/>
        <w:autoSpaceDE/>
        <w:autoSpaceDN/>
        <w:bidi w:val="0"/>
        <w:adjustRightInd/>
        <w:snapToGrid w:val="0"/>
        <w:spacing w:after="0"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地下人行通道应与所连接的道路保洁质量标准相同，地下人行通道地面、阶梯、扶手应干净，注意清理口香糖渣等污垢，做到地面见本色，两侧墙面无乱张贴、乱涂写。</w:t>
      </w:r>
    </w:p>
    <w:p w14:paraId="3CC5065D">
      <w:pPr>
        <w:pStyle w:val="6"/>
        <w:keepNext w:val="0"/>
        <w:keepLines w:val="0"/>
        <w:pageBreakBefore w:val="0"/>
        <w:numPr>
          <w:ilvl w:val="0"/>
          <w:numId w:val="19"/>
        </w:numPr>
        <w:kinsoku/>
        <w:wordWrap/>
        <w:overflowPunct/>
        <w:topLinePunct w:val="0"/>
        <w:autoSpaceDE/>
        <w:autoSpaceDN/>
        <w:bidi w:val="0"/>
        <w:adjustRightInd/>
        <w:snapToGrid w:val="0"/>
        <w:spacing w:after="0"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车行隧道的保洁应符合以下要求：</w:t>
      </w:r>
    </w:p>
    <w:p w14:paraId="05202A82">
      <w:pPr>
        <w:pStyle w:val="6"/>
        <w:keepNext w:val="0"/>
        <w:keepLines w:val="0"/>
        <w:pageBreakBefore w:val="0"/>
        <w:numPr>
          <w:ilvl w:val="0"/>
          <w:numId w:val="25"/>
        </w:numPr>
        <w:kinsoku/>
        <w:wordWrap/>
        <w:overflowPunct/>
        <w:topLinePunct w:val="0"/>
        <w:autoSpaceDE/>
        <w:autoSpaceDN/>
        <w:bidi w:val="0"/>
        <w:adjustRightInd/>
        <w:snapToGrid w:val="0"/>
        <w:spacing w:after="0"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车行隧道的路面应干净，无积存污水和垃圾；</w:t>
      </w:r>
    </w:p>
    <w:p w14:paraId="6782F7A3">
      <w:pPr>
        <w:pStyle w:val="6"/>
        <w:keepNext w:val="0"/>
        <w:keepLines w:val="0"/>
        <w:pageBreakBefore w:val="0"/>
        <w:numPr>
          <w:ilvl w:val="0"/>
          <w:numId w:val="25"/>
        </w:numPr>
        <w:kinsoku/>
        <w:wordWrap/>
        <w:overflowPunct/>
        <w:topLinePunct w:val="0"/>
        <w:autoSpaceDE/>
        <w:autoSpaceDN/>
        <w:bidi w:val="0"/>
        <w:adjustRightInd/>
        <w:snapToGrid w:val="0"/>
        <w:spacing w:after="0"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隧道两壁应无明显污物；</w:t>
      </w:r>
    </w:p>
    <w:p w14:paraId="0ADDBF2F">
      <w:pPr>
        <w:pStyle w:val="6"/>
        <w:keepNext w:val="0"/>
        <w:keepLines w:val="0"/>
        <w:pageBreakBefore w:val="0"/>
        <w:numPr>
          <w:ilvl w:val="0"/>
          <w:numId w:val="25"/>
        </w:numPr>
        <w:kinsoku/>
        <w:wordWrap/>
        <w:overflowPunct/>
        <w:topLinePunct w:val="0"/>
        <w:autoSpaceDE/>
        <w:autoSpaceDN/>
        <w:bidi w:val="0"/>
        <w:adjustRightInd/>
        <w:snapToGrid w:val="0"/>
        <w:spacing w:after="0"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隧道进出口保洁质量应与所连接路段保洁质量标准相同。</w:t>
      </w:r>
    </w:p>
    <w:p w14:paraId="40B571D7">
      <w:pPr>
        <w:pStyle w:val="6"/>
        <w:keepNext w:val="0"/>
        <w:keepLines w:val="0"/>
        <w:pageBreakBefore w:val="0"/>
        <w:numPr>
          <w:ilvl w:val="0"/>
          <w:numId w:val="17"/>
        </w:numPr>
        <w:kinsoku/>
        <w:wordWrap/>
        <w:overflowPunct/>
        <w:topLinePunct w:val="0"/>
        <w:autoSpaceDE/>
        <w:autoSpaceDN/>
        <w:bidi w:val="0"/>
        <w:adjustRightInd/>
        <w:snapToGrid w:val="0"/>
        <w:spacing w:after="0" w:line="360" w:lineRule="auto"/>
        <w:ind w:left="425" w:leftChars="0" w:hanging="425" w:firstLineChars="0"/>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环卫保洁作业要求</w:t>
      </w:r>
    </w:p>
    <w:p w14:paraId="461D5152">
      <w:pPr>
        <w:pStyle w:val="6"/>
        <w:keepNext w:val="0"/>
        <w:keepLines w:val="0"/>
        <w:pageBreakBefore w:val="0"/>
        <w:numPr>
          <w:ilvl w:val="0"/>
          <w:numId w:val="26"/>
        </w:numPr>
        <w:kinsoku/>
        <w:wordWrap/>
        <w:overflowPunct/>
        <w:topLinePunct w:val="0"/>
        <w:autoSpaceDE/>
        <w:autoSpaceDN/>
        <w:bidi w:val="0"/>
        <w:adjustRightInd/>
        <w:snapToGrid w:val="0"/>
        <w:spacing w:after="0" w:line="360" w:lineRule="auto"/>
        <w:ind w:left="425" w:leftChars="0" w:hanging="425" w:firstLineChars="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针对服务范围内相应道路、区域养护等级，分类落实不同等级作业要求。</w:t>
      </w:r>
    </w:p>
    <w:p w14:paraId="1E59A6C7">
      <w:pPr>
        <w:pStyle w:val="6"/>
        <w:keepNext w:val="0"/>
        <w:keepLines w:val="0"/>
        <w:pageBreakBefore w:val="0"/>
        <w:numPr>
          <w:ilvl w:val="0"/>
          <w:numId w:val="26"/>
        </w:numPr>
        <w:kinsoku/>
        <w:wordWrap/>
        <w:overflowPunct/>
        <w:topLinePunct w:val="0"/>
        <w:autoSpaceDE/>
        <w:autoSpaceDN/>
        <w:bidi w:val="0"/>
        <w:adjustRightInd/>
        <w:snapToGrid w:val="0"/>
        <w:spacing w:after="0"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三级区域</w:t>
      </w:r>
    </w:p>
    <w:p w14:paraId="0426CF69">
      <w:pPr>
        <w:pStyle w:val="6"/>
        <w:keepNext w:val="0"/>
        <w:keepLines w:val="0"/>
        <w:pageBreakBefore w:val="0"/>
        <w:numPr>
          <w:ilvl w:val="0"/>
          <w:numId w:val="27"/>
        </w:numPr>
        <w:kinsoku/>
        <w:wordWrap/>
        <w:overflowPunct/>
        <w:topLinePunct w:val="0"/>
        <w:autoSpaceDE/>
        <w:autoSpaceDN/>
        <w:bidi w:val="0"/>
        <w:adjustRightInd/>
        <w:snapToGrid w:val="0"/>
        <w:spacing w:after="0"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cs="宋体"/>
          <w:color w:val="auto"/>
          <w:kern w:val="2"/>
          <w:sz w:val="21"/>
          <w:szCs w:val="21"/>
          <w:highlight w:val="none"/>
          <w:lang w:val="en-US" w:eastAsia="zh-CN" w:bidi="ar-SA"/>
        </w:rPr>
        <w:t>虎门镇</w:t>
      </w:r>
      <w:r>
        <w:rPr>
          <w:rFonts w:hint="eastAsia" w:ascii="宋体" w:hAnsi="宋体" w:eastAsia="宋体" w:cs="宋体"/>
          <w:color w:val="auto"/>
          <w:kern w:val="2"/>
          <w:sz w:val="21"/>
          <w:szCs w:val="21"/>
          <w:highlight w:val="none"/>
          <w:lang w:val="en-US" w:eastAsia="zh-CN" w:bidi="ar-SA"/>
        </w:rPr>
        <w:t>一般省道、一般县道、乡村公路</w:t>
      </w:r>
    </w:p>
    <w:p w14:paraId="72951F09">
      <w:pPr>
        <w:pStyle w:val="6"/>
        <w:keepNext w:val="0"/>
        <w:keepLines w:val="0"/>
        <w:pageBreakBefore w:val="0"/>
        <w:widowControl w:val="0"/>
        <w:kinsoku/>
        <w:wordWrap/>
        <w:overflowPunct/>
        <w:topLinePunct w:val="0"/>
        <w:autoSpaceDE/>
        <w:autoSpaceDN/>
        <w:bidi w:val="0"/>
        <w:adjustRightInd/>
        <w:snapToGrid w:val="0"/>
        <w:spacing w:after="0"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①清扫作业：机械化清扫率达到90%以上，不能机械化作业区域采用人工进行清扫作业，每日清扫次数不少于1次；人行道实行人工清扫，每日清扫次数不少于1次。</w:t>
      </w:r>
    </w:p>
    <w:p w14:paraId="09F2F4AF">
      <w:pPr>
        <w:pStyle w:val="6"/>
        <w:keepNext w:val="0"/>
        <w:keepLines w:val="0"/>
        <w:pageBreakBefore w:val="0"/>
        <w:widowControl w:val="0"/>
        <w:kinsoku/>
        <w:wordWrap/>
        <w:overflowPunct/>
        <w:topLinePunct w:val="0"/>
        <w:autoSpaceDE/>
        <w:autoSpaceDN/>
        <w:bidi w:val="0"/>
        <w:adjustRightInd/>
        <w:snapToGrid w:val="0"/>
        <w:spacing w:after="0"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②保洁作业：机动车道使用机械化车辆辅以人工保洁方式进行保洁，人行道实行人工保洁作业，保洁时间12小时。</w:t>
      </w:r>
    </w:p>
    <w:p w14:paraId="05D175F1">
      <w:pPr>
        <w:pStyle w:val="6"/>
        <w:keepNext w:val="0"/>
        <w:keepLines w:val="0"/>
        <w:pageBreakBefore w:val="0"/>
        <w:widowControl w:val="0"/>
        <w:kinsoku/>
        <w:wordWrap/>
        <w:overflowPunct/>
        <w:topLinePunct w:val="0"/>
        <w:autoSpaceDE/>
        <w:autoSpaceDN/>
        <w:bidi w:val="0"/>
        <w:adjustRightInd/>
        <w:snapToGrid w:val="0"/>
        <w:spacing w:after="0"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③清洗作业：机动车道使用高压冲洗车进行冲洗作业，冲洗次数不少于1次/3日；路沿石冲洗使用小型冲洗车作业，冲洗次数不少于1次/</w:t>
      </w:r>
      <w:r>
        <w:rPr>
          <w:rFonts w:hint="eastAsia" w:ascii="宋体" w:hAnsi="宋体" w:cs="宋体"/>
          <w:color w:val="auto"/>
          <w:kern w:val="2"/>
          <w:sz w:val="21"/>
          <w:szCs w:val="21"/>
          <w:highlight w:val="none"/>
          <w:lang w:val="en-US" w:eastAsia="zh-CN" w:bidi="ar-SA"/>
        </w:rPr>
        <w:t>月</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人行道冲刷除尘采用高压水枪进行洗刷，不少于1次/月，果皮箱、垃圾桶、灯杆、护栏清洗频次不少于1次/</w:t>
      </w:r>
      <w:r>
        <w:rPr>
          <w:rFonts w:hint="eastAsia" w:ascii="宋体" w:hAnsi="宋体" w:cs="宋体"/>
          <w:color w:val="auto"/>
          <w:kern w:val="2"/>
          <w:sz w:val="21"/>
          <w:szCs w:val="21"/>
          <w:highlight w:val="none"/>
          <w:lang w:val="en-US" w:eastAsia="zh-CN" w:bidi="ar-SA"/>
        </w:rPr>
        <w:t>月</w:t>
      </w:r>
      <w:r>
        <w:rPr>
          <w:rFonts w:hint="eastAsia" w:ascii="宋体" w:hAnsi="宋体" w:eastAsia="宋体" w:cs="宋体"/>
          <w:color w:val="auto"/>
          <w:sz w:val="21"/>
          <w:szCs w:val="21"/>
          <w:highlight w:val="none"/>
        </w:rPr>
        <w:t>。</w:t>
      </w:r>
    </w:p>
    <w:p w14:paraId="35A83B44">
      <w:pPr>
        <w:pStyle w:val="6"/>
        <w:keepNext w:val="0"/>
        <w:keepLines w:val="0"/>
        <w:pageBreakBefore w:val="0"/>
        <w:widowControl w:val="0"/>
        <w:kinsoku/>
        <w:wordWrap/>
        <w:overflowPunct/>
        <w:topLinePunct w:val="0"/>
        <w:autoSpaceDE/>
        <w:autoSpaceDN/>
        <w:bidi w:val="0"/>
        <w:adjustRightInd/>
        <w:snapToGrid w:val="0"/>
        <w:spacing w:after="0"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④洒水作业：洒水次数不少于</w:t>
      </w:r>
      <w:r>
        <w:rPr>
          <w:rFonts w:hint="eastAsia" w:ascii="宋体" w:hAnsi="宋体" w:cs="宋体"/>
          <w:color w:val="auto"/>
          <w:sz w:val="21"/>
          <w:szCs w:val="21"/>
          <w:highlight w:val="none"/>
          <w:lang w:val="en-US" w:eastAsia="zh-CN"/>
        </w:rPr>
        <w:t>1</w:t>
      </w:r>
      <w:r>
        <w:rPr>
          <w:rFonts w:hint="eastAsia" w:ascii="宋体" w:hAnsi="宋体" w:eastAsia="宋体" w:cs="宋体"/>
          <w:color w:val="auto"/>
          <w:sz w:val="21"/>
          <w:szCs w:val="21"/>
          <w:highlight w:val="none"/>
        </w:rPr>
        <w:t>次/日，阴雨天气可减少或不进行洒水。</w:t>
      </w:r>
    </w:p>
    <w:p w14:paraId="44B7FDB1">
      <w:pPr>
        <w:pStyle w:val="6"/>
        <w:keepNext w:val="0"/>
        <w:keepLines w:val="0"/>
        <w:pageBreakBefore w:val="0"/>
        <w:widowControl w:val="0"/>
        <w:kinsoku/>
        <w:wordWrap/>
        <w:overflowPunct/>
        <w:topLinePunct w:val="0"/>
        <w:autoSpaceDE/>
        <w:autoSpaceDN/>
        <w:bidi w:val="0"/>
        <w:adjustRightInd/>
        <w:snapToGrid w:val="0"/>
        <w:spacing w:after="0"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⑤绿化带、树池、背景林清理作业：宜采用人工对白色垃圾进行清理，保洁时间不少于8小时/日。</w:t>
      </w:r>
    </w:p>
    <w:p w14:paraId="31F99AD0">
      <w:pPr>
        <w:pStyle w:val="6"/>
        <w:keepNext w:val="0"/>
        <w:keepLines w:val="0"/>
        <w:pageBreakBefore w:val="0"/>
        <w:widowControl w:val="0"/>
        <w:kinsoku/>
        <w:wordWrap/>
        <w:overflowPunct/>
        <w:topLinePunct w:val="0"/>
        <w:autoSpaceDE/>
        <w:autoSpaceDN/>
        <w:bidi w:val="0"/>
        <w:adjustRightInd/>
        <w:snapToGrid w:val="0"/>
        <w:spacing w:after="0"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⑥果皮箱、垃圾桶清掏擦拭作业：清掏果皮箱、垃圾桶频次不少于1次/日，并在清掏后进行擦拭，确保无明显污渍。</w:t>
      </w:r>
    </w:p>
    <w:p w14:paraId="0570F0F0">
      <w:pPr>
        <w:pStyle w:val="6"/>
        <w:keepNext w:val="0"/>
        <w:keepLines w:val="0"/>
        <w:pageBreakBefore w:val="0"/>
        <w:widowControl w:val="0"/>
        <w:kinsoku/>
        <w:wordWrap/>
        <w:overflowPunct/>
        <w:topLinePunct w:val="0"/>
        <w:autoSpaceDE/>
        <w:autoSpaceDN/>
        <w:bidi w:val="0"/>
        <w:adjustRightInd/>
        <w:snapToGrid w:val="0"/>
        <w:spacing w:after="0"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⑦沉沙井清理作业</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不含排水管道清理</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：采用人工作业方式清理</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正常季节（1-4月、9-12月）清理频次为1次/周；雨季（5-8月）清理频次为2次/周；遇暴雨等恶劣天气需及时清理。</w:t>
      </w:r>
    </w:p>
    <w:p w14:paraId="4AC85489">
      <w:pPr>
        <w:pStyle w:val="6"/>
        <w:keepNext w:val="0"/>
        <w:keepLines w:val="0"/>
        <w:pageBreakBefore w:val="0"/>
        <w:numPr>
          <w:ilvl w:val="0"/>
          <w:numId w:val="27"/>
        </w:numPr>
        <w:kinsoku/>
        <w:wordWrap/>
        <w:overflowPunct/>
        <w:topLinePunct w:val="0"/>
        <w:autoSpaceDE/>
        <w:autoSpaceDN/>
        <w:bidi w:val="0"/>
        <w:adjustRightInd/>
        <w:snapToGrid w:val="0"/>
        <w:spacing w:after="0"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cs="宋体"/>
          <w:color w:val="auto"/>
          <w:kern w:val="2"/>
          <w:sz w:val="21"/>
          <w:szCs w:val="21"/>
          <w:highlight w:val="none"/>
          <w:lang w:val="en-US" w:eastAsia="zh-CN" w:bidi="ar-SA"/>
        </w:rPr>
        <w:t>虎门镇</w:t>
      </w:r>
      <w:r>
        <w:rPr>
          <w:rFonts w:hint="eastAsia" w:ascii="宋体" w:hAnsi="宋体" w:eastAsia="宋体" w:cs="宋体"/>
          <w:color w:val="auto"/>
          <w:kern w:val="2"/>
          <w:sz w:val="21"/>
          <w:szCs w:val="21"/>
          <w:highlight w:val="none"/>
          <w:lang w:val="en-US" w:eastAsia="zh-CN" w:bidi="ar-SA"/>
        </w:rPr>
        <w:t>村（社区）中心区域及居住区巷道</w:t>
      </w:r>
    </w:p>
    <w:p w14:paraId="74E1B1D5">
      <w:pPr>
        <w:pStyle w:val="6"/>
        <w:keepNext w:val="0"/>
        <w:keepLines w:val="0"/>
        <w:pageBreakBefore w:val="0"/>
        <w:widowControl w:val="0"/>
        <w:kinsoku/>
        <w:wordWrap/>
        <w:overflowPunct/>
        <w:topLinePunct w:val="0"/>
        <w:autoSpaceDE/>
        <w:autoSpaceDN/>
        <w:bidi w:val="0"/>
        <w:adjustRightInd/>
        <w:snapToGrid w:val="0"/>
        <w:spacing w:after="0"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①清扫作业：</w:t>
      </w:r>
      <w:r>
        <w:rPr>
          <w:rFonts w:hint="eastAsia" w:ascii="宋体" w:hAnsi="宋体" w:eastAsia="宋体" w:cs="宋体"/>
          <w:color w:val="auto"/>
          <w:sz w:val="21"/>
          <w:szCs w:val="21"/>
          <w:highlight w:val="none"/>
          <w:lang w:val="en-US" w:eastAsia="zh-CN"/>
        </w:rPr>
        <w:t>机械化清扫率达到90%以上，不能机械化作业区域采用人工进行清扫作业，每日清扫次数不少于2次；人行道实行人工清扫，每日清扫次数不少于2次</w:t>
      </w:r>
      <w:r>
        <w:rPr>
          <w:rFonts w:hint="eastAsia" w:ascii="宋体" w:hAnsi="宋体" w:cs="宋体"/>
          <w:color w:val="auto"/>
          <w:sz w:val="21"/>
          <w:szCs w:val="21"/>
          <w:highlight w:val="none"/>
          <w:lang w:val="en-US" w:eastAsia="zh-CN"/>
        </w:rPr>
        <w:t>。</w:t>
      </w:r>
    </w:p>
    <w:p w14:paraId="3607DB72">
      <w:pPr>
        <w:pStyle w:val="6"/>
        <w:keepNext w:val="0"/>
        <w:keepLines w:val="0"/>
        <w:pageBreakBefore w:val="0"/>
        <w:widowControl w:val="0"/>
        <w:kinsoku/>
        <w:wordWrap/>
        <w:overflowPunct/>
        <w:topLinePunct w:val="0"/>
        <w:autoSpaceDE/>
        <w:autoSpaceDN/>
        <w:bidi w:val="0"/>
        <w:adjustRightInd/>
        <w:snapToGrid w:val="0"/>
        <w:spacing w:after="0"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②保洁作业：</w:t>
      </w:r>
      <w:r>
        <w:rPr>
          <w:rFonts w:hint="eastAsia" w:ascii="宋体" w:hAnsi="宋体" w:eastAsia="宋体" w:cs="宋体"/>
          <w:color w:val="auto"/>
          <w:sz w:val="21"/>
          <w:szCs w:val="21"/>
          <w:highlight w:val="none"/>
          <w:lang w:val="en-US" w:eastAsia="zh-CN"/>
        </w:rPr>
        <w:t>机动车道使用机械化车辆辅以人工保洁方式进行保洁，人行道实行人工保洁作业，保洁时间16小时。</w:t>
      </w:r>
    </w:p>
    <w:p w14:paraId="64BC504E">
      <w:pPr>
        <w:pStyle w:val="6"/>
        <w:keepNext w:val="0"/>
        <w:keepLines w:val="0"/>
        <w:pageBreakBefore w:val="0"/>
        <w:widowControl w:val="0"/>
        <w:kinsoku/>
        <w:wordWrap/>
        <w:overflowPunct/>
        <w:topLinePunct w:val="0"/>
        <w:autoSpaceDE/>
        <w:autoSpaceDN/>
        <w:bidi w:val="0"/>
        <w:adjustRightInd/>
        <w:snapToGrid w:val="0"/>
        <w:spacing w:after="0"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③清洗作业：</w:t>
      </w:r>
      <w:bookmarkStart w:id="9" w:name="OLE_LINK10"/>
      <w:r>
        <w:rPr>
          <w:rFonts w:hint="eastAsia" w:ascii="宋体" w:hAnsi="宋体" w:eastAsia="宋体" w:cs="宋体"/>
          <w:color w:val="auto"/>
          <w:sz w:val="21"/>
          <w:szCs w:val="21"/>
          <w:highlight w:val="none"/>
          <w:lang w:val="en-US" w:eastAsia="zh-CN"/>
        </w:rPr>
        <w:t>机动车道使用高压冲洗车进行冲洗作业，冲洗次数不少于1次/3日；路沿石冲洗使用小型冲洗车作业，冲洗次数不少于1次/周;人行道冲刷除尘采用高压水枪进行洗刷，不少于2次/月，果皮箱、垃圾桶、灯杆、护栏清洗频次不少于1次/月</w:t>
      </w:r>
      <w:bookmarkEnd w:id="9"/>
      <w:r>
        <w:rPr>
          <w:rFonts w:hint="eastAsia" w:ascii="宋体" w:hAnsi="宋体" w:cs="宋体"/>
          <w:color w:val="auto"/>
          <w:sz w:val="21"/>
          <w:szCs w:val="21"/>
          <w:highlight w:val="none"/>
          <w:lang w:val="en-US" w:eastAsia="zh-CN"/>
        </w:rPr>
        <w:t>。</w:t>
      </w:r>
    </w:p>
    <w:p w14:paraId="34CE0A06">
      <w:pPr>
        <w:pStyle w:val="6"/>
        <w:keepNext w:val="0"/>
        <w:keepLines w:val="0"/>
        <w:pageBreakBefore w:val="0"/>
        <w:widowControl w:val="0"/>
        <w:kinsoku/>
        <w:wordWrap/>
        <w:overflowPunct/>
        <w:topLinePunct w:val="0"/>
        <w:autoSpaceDE/>
        <w:autoSpaceDN/>
        <w:bidi w:val="0"/>
        <w:adjustRightInd/>
        <w:snapToGrid w:val="0"/>
        <w:spacing w:after="0"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④绿化带、树池清理作业：宜采用人工对白色垃圾进行清理，保洁时间不少于8小时/日；</w:t>
      </w:r>
    </w:p>
    <w:p w14:paraId="7326FE85">
      <w:pPr>
        <w:pStyle w:val="6"/>
        <w:keepNext w:val="0"/>
        <w:keepLines w:val="0"/>
        <w:pageBreakBefore w:val="0"/>
        <w:widowControl w:val="0"/>
        <w:kinsoku/>
        <w:wordWrap/>
        <w:overflowPunct/>
        <w:topLinePunct w:val="0"/>
        <w:autoSpaceDE/>
        <w:autoSpaceDN/>
        <w:bidi w:val="0"/>
        <w:adjustRightInd/>
        <w:snapToGrid w:val="0"/>
        <w:spacing w:after="0"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⑤</w:t>
      </w:r>
      <w:r>
        <w:rPr>
          <w:rFonts w:hint="eastAsia" w:ascii="宋体" w:hAnsi="宋体" w:eastAsia="宋体" w:cs="宋体"/>
          <w:color w:val="auto"/>
          <w:kern w:val="2"/>
          <w:sz w:val="21"/>
          <w:szCs w:val="21"/>
          <w:highlight w:val="none"/>
          <w:lang w:val="en-US" w:eastAsia="zh-CN" w:bidi="ar-SA"/>
        </w:rPr>
        <w:t>果皮箱、垃圾收集器清掏擦拭作业：清掏果皮箱、垃圾收集器频次不少</w:t>
      </w:r>
      <w:r>
        <w:rPr>
          <w:rFonts w:hint="eastAsia" w:ascii="宋体" w:hAnsi="宋体" w:cs="宋体"/>
          <w:color w:val="auto"/>
          <w:kern w:val="2"/>
          <w:sz w:val="21"/>
          <w:szCs w:val="21"/>
          <w:highlight w:val="none"/>
          <w:lang w:val="en-US" w:eastAsia="zh-CN" w:bidi="ar-SA"/>
        </w:rPr>
        <w:t>3</w:t>
      </w:r>
      <w:r>
        <w:rPr>
          <w:rFonts w:hint="eastAsia" w:ascii="宋体" w:hAnsi="宋体" w:eastAsia="宋体" w:cs="宋体"/>
          <w:color w:val="auto"/>
          <w:kern w:val="2"/>
          <w:sz w:val="21"/>
          <w:szCs w:val="21"/>
          <w:highlight w:val="none"/>
          <w:lang w:val="en-US" w:eastAsia="zh-CN" w:bidi="ar-SA"/>
        </w:rPr>
        <w:t>次1日</w:t>
      </w:r>
      <w:r>
        <w:rPr>
          <w:rFonts w:hint="eastAsia" w:ascii="宋体" w:hAnsi="宋体" w:cs="宋体"/>
          <w:color w:val="auto"/>
          <w:kern w:val="2"/>
          <w:sz w:val="21"/>
          <w:szCs w:val="21"/>
          <w:highlight w:val="none"/>
          <w:lang w:val="en-US" w:eastAsia="zh-CN" w:bidi="ar-SA"/>
        </w:rPr>
        <w:t>保证垃圾不满溢</w:t>
      </w:r>
      <w:r>
        <w:rPr>
          <w:rFonts w:hint="eastAsia" w:ascii="宋体" w:hAnsi="宋体" w:eastAsia="宋体" w:cs="宋体"/>
          <w:color w:val="auto"/>
          <w:kern w:val="2"/>
          <w:sz w:val="21"/>
          <w:szCs w:val="21"/>
          <w:highlight w:val="none"/>
          <w:lang w:val="en-US" w:eastAsia="zh-CN" w:bidi="ar-SA"/>
        </w:rPr>
        <w:t>，并在清掏后进行擦拭</w:t>
      </w:r>
      <w:r>
        <w:rPr>
          <w:rFonts w:hint="eastAsia" w:ascii="宋体" w:hAnsi="宋体" w:cs="宋体"/>
          <w:color w:val="auto"/>
          <w:kern w:val="2"/>
          <w:sz w:val="21"/>
          <w:szCs w:val="21"/>
          <w:highlight w:val="none"/>
          <w:lang w:val="en-US" w:eastAsia="zh-CN" w:bidi="ar-SA"/>
        </w:rPr>
        <w:t>频次不少于1次/日</w:t>
      </w:r>
      <w:r>
        <w:rPr>
          <w:rFonts w:hint="eastAsia" w:ascii="宋体" w:hAnsi="宋体" w:eastAsia="宋体" w:cs="宋体"/>
          <w:color w:val="auto"/>
          <w:kern w:val="2"/>
          <w:sz w:val="21"/>
          <w:szCs w:val="21"/>
          <w:highlight w:val="none"/>
          <w:lang w:val="en-US" w:eastAsia="zh-CN" w:bidi="ar-SA"/>
        </w:rPr>
        <w:t>，确保无明显污渍。</w:t>
      </w:r>
    </w:p>
    <w:p w14:paraId="77DCDA16">
      <w:pPr>
        <w:pStyle w:val="6"/>
        <w:keepNext w:val="0"/>
        <w:keepLines w:val="0"/>
        <w:pageBreakBefore w:val="0"/>
        <w:widowControl w:val="0"/>
        <w:kinsoku/>
        <w:wordWrap/>
        <w:overflowPunct/>
        <w:topLinePunct w:val="0"/>
        <w:autoSpaceDE/>
        <w:autoSpaceDN/>
        <w:bidi w:val="0"/>
        <w:adjustRightInd/>
        <w:snapToGrid w:val="0"/>
        <w:spacing w:after="0"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⑥沉沙井清理作业</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不含排水管道清理</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：采用人工作业方式清理</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正常季节（1-4月、9-12月）清理频次为1次/周；雨季（5-8月）清理频次为2次/周；遇暴雨等恶劣天气需及时清理。</w:t>
      </w:r>
    </w:p>
    <w:p w14:paraId="67637C05">
      <w:pPr>
        <w:pStyle w:val="6"/>
        <w:keepNext w:val="0"/>
        <w:keepLines w:val="0"/>
        <w:pageBreakBefore w:val="0"/>
        <w:numPr>
          <w:ilvl w:val="0"/>
          <w:numId w:val="17"/>
        </w:numPr>
        <w:kinsoku/>
        <w:wordWrap/>
        <w:overflowPunct/>
        <w:topLinePunct w:val="0"/>
        <w:autoSpaceDE/>
        <w:autoSpaceDN/>
        <w:bidi w:val="0"/>
        <w:adjustRightInd/>
        <w:snapToGrid w:val="0"/>
        <w:spacing w:after="0" w:line="360" w:lineRule="auto"/>
        <w:ind w:left="425" w:leftChars="0" w:hanging="425" w:firstLineChars="0"/>
        <w:textAlignment w:val="auto"/>
        <w:rPr>
          <w:rFonts w:hint="eastAsia" w:ascii="宋体" w:hAnsi="宋体" w:eastAsia="宋体" w:cs="宋体"/>
          <w:b/>
          <w:bCs/>
          <w:color w:val="auto"/>
          <w:sz w:val="21"/>
          <w:szCs w:val="21"/>
          <w:highlight w:val="none"/>
        </w:rPr>
      </w:pPr>
      <w:r>
        <w:rPr>
          <w:rFonts w:hint="eastAsia" w:ascii="宋体" w:hAnsi="宋体" w:cs="宋体"/>
          <w:b/>
          <w:bCs/>
          <w:color w:val="auto"/>
          <w:sz w:val="21"/>
          <w:szCs w:val="21"/>
          <w:highlight w:val="none"/>
          <w:lang w:val="en-US" w:eastAsia="zh-CN"/>
        </w:rPr>
        <w:t>垃圾运输要求</w:t>
      </w:r>
    </w:p>
    <w:p w14:paraId="05C53F28">
      <w:pPr>
        <w:numPr>
          <w:ilvl w:val="0"/>
          <w:numId w:val="28"/>
        </w:numPr>
        <w:ind w:left="425" w:leftChars="0" w:hanging="425" w:firstLineChars="0"/>
        <w:rPr>
          <w:rFonts w:hint="eastAsia" w:ascii="宋体" w:hAnsi="宋体" w:eastAsia="宋体" w:cs="宋体"/>
          <w:highlight w:val="none"/>
        </w:rPr>
      </w:pPr>
      <w:r>
        <w:rPr>
          <w:rFonts w:hint="eastAsia" w:ascii="宋体" w:hAnsi="宋体" w:eastAsia="宋体" w:cs="宋体"/>
          <w:highlight w:val="none"/>
        </w:rPr>
        <w:t>垃圾运输车辆应按车辆的出厂日期，满足国家和省市对安全、排放、噪声、油耗的相关法规及标准要求</w:t>
      </w:r>
      <w:r>
        <w:rPr>
          <w:rFonts w:hint="eastAsia" w:ascii="宋体" w:hAnsi="宋体" w:eastAsia="宋体" w:cs="宋体"/>
          <w:highlight w:val="none"/>
          <w:lang w:eastAsia="zh-CN"/>
        </w:rPr>
        <w:t>。</w:t>
      </w:r>
    </w:p>
    <w:p w14:paraId="48D4CAB9">
      <w:pPr>
        <w:numPr>
          <w:ilvl w:val="0"/>
          <w:numId w:val="28"/>
        </w:numPr>
        <w:ind w:left="425" w:leftChars="0" w:hanging="425" w:firstLineChars="0"/>
        <w:rPr>
          <w:rFonts w:hint="eastAsia" w:ascii="宋体" w:hAnsi="宋体" w:eastAsia="宋体" w:cs="宋体"/>
          <w:highlight w:val="none"/>
        </w:rPr>
      </w:pPr>
      <w:r>
        <w:rPr>
          <w:rFonts w:hint="eastAsia" w:ascii="宋体" w:hAnsi="宋体" w:eastAsia="宋体" w:cs="宋体"/>
          <w:highlight w:val="none"/>
          <w:lang w:val="en-US" w:eastAsia="zh-CN"/>
        </w:rPr>
        <w:t>环卫垃圾</w:t>
      </w:r>
      <w:r>
        <w:rPr>
          <w:rFonts w:hint="eastAsia" w:ascii="宋体" w:hAnsi="宋体" w:eastAsia="宋体" w:cs="宋体"/>
          <w:highlight w:val="none"/>
        </w:rPr>
        <w:t>禁止任意抛洒或倾倒。</w:t>
      </w:r>
    </w:p>
    <w:p w14:paraId="17491F92">
      <w:pPr>
        <w:pStyle w:val="6"/>
        <w:keepNext w:val="0"/>
        <w:keepLines w:val="0"/>
        <w:pageBreakBefore w:val="0"/>
        <w:numPr>
          <w:ilvl w:val="0"/>
          <w:numId w:val="17"/>
        </w:numPr>
        <w:kinsoku/>
        <w:wordWrap/>
        <w:overflowPunct/>
        <w:topLinePunct w:val="0"/>
        <w:autoSpaceDE/>
        <w:autoSpaceDN/>
        <w:bidi w:val="0"/>
        <w:adjustRightInd/>
        <w:snapToGrid w:val="0"/>
        <w:spacing w:after="0" w:line="360" w:lineRule="auto"/>
        <w:ind w:left="425" w:leftChars="0" w:hanging="425" w:firstLineChars="0"/>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垃圾收集点保洁要求</w:t>
      </w:r>
    </w:p>
    <w:p w14:paraId="2D6D6570">
      <w:pPr>
        <w:pStyle w:val="6"/>
        <w:keepNext w:val="0"/>
        <w:keepLines w:val="0"/>
        <w:pageBreakBefore w:val="0"/>
        <w:widowControl w:val="0"/>
        <w:numPr>
          <w:ilvl w:val="0"/>
          <w:numId w:val="29"/>
        </w:numPr>
        <w:kinsoku/>
        <w:wordWrap/>
        <w:overflowPunct/>
        <w:topLinePunct w:val="0"/>
        <w:autoSpaceDE/>
        <w:autoSpaceDN/>
        <w:bidi w:val="0"/>
        <w:adjustRightInd/>
        <w:snapToGrid w:val="0"/>
        <w:spacing w:after="0"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垃圾收集容器应定位设置，摆放整齐。设置点及周围2</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3m内应整洁，无散落、存留垃圾和污水。</w:t>
      </w:r>
    </w:p>
    <w:p w14:paraId="0203DE4E">
      <w:pPr>
        <w:pStyle w:val="6"/>
        <w:keepNext w:val="0"/>
        <w:keepLines w:val="0"/>
        <w:pageBreakBefore w:val="0"/>
        <w:widowControl w:val="0"/>
        <w:numPr>
          <w:ilvl w:val="0"/>
          <w:numId w:val="29"/>
        </w:numPr>
        <w:kinsoku/>
        <w:wordWrap/>
        <w:overflowPunct/>
        <w:topLinePunct w:val="0"/>
        <w:autoSpaceDE/>
        <w:autoSpaceDN/>
        <w:bidi w:val="0"/>
        <w:adjustRightInd/>
        <w:snapToGrid w:val="0"/>
        <w:spacing w:after="0"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垃圾收集容器应无残缺、破损，封闭性好，</w:t>
      </w:r>
      <w:r>
        <w:rPr>
          <w:rFonts w:hint="eastAsia" w:ascii="宋体" w:hAnsi="宋体" w:eastAsia="宋体" w:cs="宋体"/>
          <w:color w:val="auto"/>
          <w:sz w:val="21"/>
          <w:szCs w:val="21"/>
          <w:highlight w:val="none"/>
          <w:lang w:val="en-US" w:eastAsia="zh-CN"/>
        </w:rPr>
        <w:t>外观</w:t>
      </w:r>
      <w:r>
        <w:rPr>
          <w:rFonts w:hint="eastAsia" w:ascii="宋体" w:hAnsi="宋体" w:eastAsia="宋体" w:cs="宋体"/>
          <w:color w:val="auto"/>
          <w:sz w:val="21"/>
          <w:szCs w:val="21"/>
          <w:highlight w:val="none"/>
        </w:rPr>
        <w:t>干净。垃圾房内外墙面、垃圾亭等建筑设施不得有明显积灰、污物。</w:t>
      </w:r>
    </w:p>
    <w:p w14:paraId="3328F141">
      <w:pPr>
        <w:pStyle w:val="6"/>
        <w:keepNext w:val="0"/>
        <w:keepLines w:val="0"/>
        <w:pageBreakBefore w:val="0"/>
        <w:widowControl w:val="0"/>
        <w:numPr>
          <w:ilvl w:val="0"/>
          <w:numId w:val="29"/>
        </w:numPr>
        <w:kinsoku/>
        <w:wordWrap/>
        <w:overflowPunct/>
        <w:topLinePunct w:val="0"/>
        <w:autoSpaceDE/>
        <w:autoSpaceDN/>
        <w:bidi w:val="0"/>
        <w:adjustRightInd/>
        <w:snapToGrid w:val="0"/>
        <w:spacing w:after="0"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厨余垃圾的收集，必须用设有明显标志、能防止污染打散的密封容器。</w:t>
      </w:r>
    </w:p>
    <w:p w14:paraId="15A6A67F">
      <w:pPr>
        <w:pStyle w:val="6"/>
        <w:numPr>
          <w:ilvl w:val="0"/>
          <w:numId w:val="29"/>
        </w:numPr>
        <w:snapToGrid w:val="0"/>
        <w:spacing w:line="360" w:lineRule="auto"/>
        <w:ind w:left="425" w:hanging="425"/>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蝇、蚊孽生季节，垃圾收集站（点），应定时喷洒消毒、灭蚊蝇药物。</w:t>
      </w:r>
    </w:p>
    <w:p w14:paraId="1A5B238D">
      <w:pPr>
        <w:pStyle w:val="6"/>
        <w:numPr>
          <w:ilvl w:val="0"/>
          <w:numId w:val="29"/>
        </w:numPr>
        <w:snapToGrid w:val="0"/>
        <w:spacing w:line="360" w:lineRule="auto"/>
        <w:ind w:left="425" w:hanging="425"/>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生活垃圾应全部实行容器收集，且执行垃圾分类收集。</w:t>
      </w:r>
    </w:p>
    <w:p w14:paraId="64420744">
      <w:pPr>
        <w:pStyle w:val="6"/>
        <w:numPr>
          <w:ilvl w:val="0"/>
          <w:numId w:val="29"/>
        </w:numPr>
        <w:snapToGrid w:val="0"/>
        <w:spacing w:line="360" w:lineRule="auto"/>
        <w:ind w:left="425" w:hanging="425"/>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中标人</w:t>
      </w:r>
      <w:r>
        <w:rPr>
          <w:rFonts w:hint="eastAsia" w:ascii="宋体" w:hAnsi="宋体" w:eastAsia="宋体" w:cs="宋体"/>
          <w:color w:val="auto"/>
          <w:sz w:val="21"/>
          <w:szCs w:val="21"/>
          <w:highlight w:val="none"/>
          <w:lang w:val="en-US" w:eastAsia="zh-CN"/>
        </w:rPr>
        <w:t>应按规定将分类收集的垃圾实行分类运输，将不同种类的垃圾分类运输至</w:t>
      </w:r>
      <w:r>
        <w:rPr>
          <w:rFonts w:hint="eastAsia" w:ascii="宋体" w:hAnsi="宋体" w:cs="宋体"/>
          <w:color w:val="auto"/>
          <w:sz w:val="21"/>
          <w:szCs w:val="21"/>
          <w:highlight w:val="none"/>
          <w:lang w:val="en-US" w:eastAsia="zh-CN"/>
        </w:rPr>
        <w:t>采购人</w:t>
      </w:r>
      <w:r>
        <w:rPr>
          <w:rFonts w:hint="eastAsia" w:ascii="宋体" w:hAnsi="宋体" w:eastAsia="宋体" w:cs="宋体"/>
          <w:color w:val="auto"/>
          <w:sz w:val="21"/>
          <w:szCs w:val="21"/>
          <w:highlight w:val="none"/>
          <w:lang w:val="en-US" w:eastAsia="zh-CN"/>
        </w:rPr>
        <w:t>指定的各个地点。</w:t>
      </w:r>
    </w:p>
    <w:p w14:paraId="07DFCC13">
      <w:pPr>
        <w:pStyle w:val="6"/>
        <w:numPr>
          <w:ilvl w:val="0"/>
          <w:numId w:val="29"/>
        </w:numPr>
        <w:snapToGrid w:val="0"/>
        <w:spacing w:line="360" w:lineRule="auto"/>
        <w:ind w:left="425" w:hanging="425"/>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工业垃圾、建筑垃圾、危险废物不得混入生活垃圾。</w:t>
      </w:r>
    </w:p>
    <w:p w14:paraId="673DF6FE">
      <w:pPr>
        <w:pStyle w:val="6"/>
        <w:numPr>
          <w:ilvl w:val="0"/>
          <w:numId w:val="29"/>
        </w:numPr>
        <w:snapToGrid w:val="0"/>
        <w:spacing w:line="360" w:lineRule="auto"/>
        <w:ind w:left="425" w:hanging="425"/>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垃圾收集容器内的垃圾无满溢和散落，并定时清洗箱体。</w:t>
      </w:r>
    </w:p>
    <w:p w14:paraId="19CDA1A4">
      <w:pPr>
        <w:pStyle w:val="6"/>
        <w:numPr>
          <w:ilvl w:val="0"/>
          <w:numId w:val="29"/>
        </w:numPr>
        <w:snapToGrid w:val="0"/>
        <w:spacing w:line="360" w:lineRule="auto"/>
        <w:ind w:left="425" w:hanging="425"/>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地面（含天桥、地道）清扫的垃圾应及时收集到</w:t>
      </w:r>
      <w:r>
        <w:rPr>
          <w:rFonts w:hint="eastAsia" w:ascii="宋体" w:hAnsi="宋体" w:cs="宋体"/>
          <w:color w:val="auto"/>
          <w:sz w:val="21"/>
          <w:szCs w:val="21"/>
          <w:highlight w:val="none"/>
          <w:lang w:val="en-US" w:eastAsia="zh-CN"/>
        </w:rPr>
        <w:t>采购人</w:t>
      </w:r>
      <w:r>
        <w:rPr>
          <w:rFonts w:hint="eastAsia" w:ascii="宋体" w:hAnsi="宋体" w:eastAsia="宋体" w:cs="宋体"/>
          <w:color w:val="auto"/>
          <w:sz w:val="21"/>
          <w:szCs w:val="21"/>
          <w:highlight w:val="none"/>
          <w:lang w:val="en-US" w:eastAsia="zh-CN"/>
        </w:rPr>
        <w:t>指定地点，不遗漏，不得堆放在路边。</w:t>
      </w:r>
    </w:p>
    <w:p w14:paraId="47AC76E1">
      <w:pPr>
        <w:pStyle w:val="6"/>
        <w:numPr>
          <w:ilvl w:val="0"/>
          <w:numId w:val="29"/>
        </w:numPr>
        <w:snapToGrid w:val="0"/>
        <w:spacing w:line="360" w:lineRule="auto"/>
        <w:ind w:left="425" w:hanging="425"/>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服务期内，</w:t>
      </w:r>
      <w:r>
        <w:rPr>
          <w:rFonts w:hint="eastAsia" w:ascii="宋体" w:hAnsi="宋体" w:cs="宋体"/>
          <w:color w:val="auto"/>
          <w:sz w:val="21"/>
          <w:szCs w:val="21"/>
          <w:highlight w:val="none"/>
          <w:lang w:val="en-US" w:eastAsia="zh-CN"/>
        </w:rPr>
        <w:t>采购人</w:t>
      </w:r>
      <w:r>
        <w:rPr>
          <w:rFonts w:hint="eastAsia" w:ascii="宋体" w:hAnsi="宋体" w:eastAsia="宋体" w:cs="宋体"/>
          <w:color w:val="auto"/>
          <w:sz w:val="21"/>
          <w:szCs w:val="21"/>
          <w:highlight w:val="none"/>
          <w:lang w:val="en-US" w:eastAsia="zh-CN"/>
        </w:rPr>
        <w:t>会逐步实施街道撤桶，</w:t>
      </w:r>
      <w:r>
        <w:rPr>
          <w:rFonts w:hint="eastAsia" w:ascii="宋体" w:hAnsi="宋体" w:cs="宋体"/>
          <w:color w:val="auto"/>
          <w:sz w:val="21"/>
          <w:szCs w:val="21"/>
          <w:highlight w:val="none"/>
          <w:lang w:val="en-US" w:eastAsia="zh-CN"/>
        </w:rPr>
        <w:t>中标人</w:t>
      </w:r>
      <w:r>
        <w:rPr>
          <w:rFonts w:hint="eastAsia" w:ascii="宋体" w:hAnsi="宋体" w:eastAsia="宋体" w:cs="宋体"/>
          <w:color w:val="auto"/>
          <w:sz w:val="21"/>
          <w:szCs w:val="21"/>
          <w:highlight w:val="none"/>
          <w:lang w:val="en-US" w:eastAsia="zh-CN"/>
        </w:rPr>
        <w:t>应根据</w:t>
      </w:r>
      <w:r>
        <w:rPr>
          <w:rFonts w:hint="eastAsia" w:ascii="宋体" w:hAnsi="宋体" w:cs="宋体"/>
          <w:color w:val="auto"/>
          <w:sz w:val="21"/>
          <w:szCs w:val="21"/>
          <w:highlight w:val="none"/>
          <w:lang w:val="en-US" w:eastAsia="zh-CN"/>
        </w:rPr>
        <w:t>采购人</w:t>
      </w:r>
      <w:r>
        <w:rPr>
          <w:rFonts w:hint="eastAsia" w:ascii="宋体" w:hAnsi="宋体" w:eastAsia="宋体" w:cs="宋体"/>
          <w:color w:val="auto"/>
          <w:sz w:val="21"/>
          <w:szCs w:val="21"/>
          <w:highlight w:val="none"/>
          <w:lang w:val="en-US" w:eastAsia="zh-CN"/>
        </w:rPr>
        <w:t>关于垃圾收运的要求配合做好上门收集垃圾工作，范围从主干道开始，逐渐覆盖全域范围。</w:t>
      </w:r>
    </w:p>
    <w:p w14:paraId="2102D19C">
      <w:pPr>
        <w:pStyle w:val="6"/>
        <w:keepNext w:val="0"/>
        <w:keepLines w:val="0"/>
        <w:pageBreakBefore w:val="0"/>
        <w:numPr>
          <w:ilvl w:val="0"/>
          <w:numId w:val="17"/>
        </w:numPr>
        <w:kinsoku/>
        <w:wordWrap/>
        <w:overflowPunct/>
        <w:topLinePunct w:val="0"/>
        <w:autoSpaceDE/>
        <w:autoSpaceDN/>
        <w:bidi w:val="0"/>
        <w:adjustRightInd/>
        <w:snapToGrid w:val="0"/>
        <w:spacing w:after="0" w:line="360" w:lineRule="auto"/>
        <w:ind w:left="425" w:leftChars="0" w:hanging="425" w:firstLineChars="0"/>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“牛皮癣”清理标准要求</w:t>
      </w:r>
    </w:p>
    <w:p w14:paraId="314B54D6">
      <w:pPr>
        <w:pStyle w:val="6"/>
        <w:keepNext w:val="0"/>
        <w:keepLines w:val="0"/>
        <w:pageBreakBefore w:val="0"/>
        <w:widowControl w:val="0"/>
        <w:numPr>
          <w:ilvl w:val="0"/>
          <w:numId w:val="0"/>
        </w:numPr>
        <w:kinsoku/>
        <w:wordWrap/>
        <w:overflowPunct/>
        <w:topLinePunct w:val="0"/>
        <w:autoSpaceDE/>
        <w:autoSpaceDN/>
        <w:bidi w:val="0"/>
        <w:adjustRightInd/>
        <w:snapToGrid w:val="0"/>
        <w:spacing w:after="0" w:line="360" w:lineRule="auto"/>
        <w:ind w:left="42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清除乱张贴类“牛皮癣”标准：</w:t>
      </w:r>
    </w:p>
    <w:p w14:paraId="14ECE8F3">
      <w:pPr>
        <w:pStyle w:val="6"/>
        <w:keepNext w:val="0"/>
        <w:keepLines w:val="0"/>
        <w:pageBreakBefore w:val="0"/>
        <w:widowControl w:val="0"/>
        <w:numPr>
          <w:ilvl w:val="0"/>
          <w:numId w:val="30"/>
        </w:numPr>
        <w:kinsoku/>
        <w:wordWrap/>
        <w:overflowPunct/>
        <w:topLinePunct w:val="0"/>
        <w:autoSpaceDE/>
        <w:autoSpaceDN/>
        <w:bidi w:val="0"/>
        <w:adjustRightInd/>
        <w:snapToGrid w:val="0"/>
        <w:spacing w:after="0"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必须清除彻底、无残留。有色张贴物的颜料不能残留在或渗入附着物表面，有胶张贴物不能有残留胶，原有胶体残留痕迹要清理干净；</w:t>
      </w:r>
    </w:p>
    <w:p w14:paraId="546AE9AD">
      <w:pPr>
        <w:pStyle w:val="6"/>
        <w:keepNext w:val="0"/>
        <w:keepLines w:val="0"/>
        <w:pageBreakBefore w:val="0"/>
        <w:widowControl w:val="0"/>
        <w:numPr>
          <w:ilvl w:val="0"/>
          <w:numId w:val="30"/>
        </w:numPr>
        <w:kinsoku/>
        <w:wordWrap/>
        <w:overflowPunct/>
        <w:topLinePunct w:val="0"/>
        <w:autoSpaceDE/>
        <w:autoSpaceDN/>
        <w:bidi w:val="0"/>
        <w:adjustRightInd/>
        <w:snapToGrid w:val="0"/>
        <w:spacing w:after="0"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基底无损伤，包括</w:t>
      </w:r>
      <w:r>
        <w:rPr>
          <w:rFonts w:hint="eastAsia" w:ascii="宋体" w:hAnsi="宋体" w:eastAsia="宋体" w:cs="宋体"/>
          <w:color w:val="auto"/>
          <w:sz w:val="21"/>
          <w:szCs w:val="21"/>
          <w:highlight w:val="none"/>
          <w:lang w:val="en-US" w:eastAsia="zh-CN"/>
        </w:rPr>
        <w:t>划</w:t>
      </w:r>
      <w:r>
        <w:rPr>
          <w:rFonts w:hint="eastAsia" w:ascii="宋体" w:hAnsi="宋体" w:eastAsia="宋体" w:cs="宋体"/>
          <w:color w:val="auto"/>
          <w:sz w:val="21"/>
          <w:szCs w:val="21"/>
          <w:highlight w:val="none"/>
        </w:rPr>
        <w:t>伤、掉漆、明显划痕等；</w:t>
      </w:r>
    </w:p>
    <w:p w14:paraId="48DD6AA9">
      <w:pPr>
        <w:pStyle w:val="6"/>
        <w:keepNext w:val="0"/>
        <w:keepLines w:val="0"/>
        <w:pageBreakBefore w:val="0"/>
        <w:widowControl w:val="0"/>
        <w:numPr>
          <w:ilvl w:val="0"/>
          <w:numId w:val="30"/>
        </w:numPr>
        <w:kinsoku/>
        <w:wordWrap/>
        <w:overflowPunct/>
        <w:topLinePunct w:val="0"/>
        <w:autoSpaceDE/>
        <w:autoSpaceDN/>
        <w:bidi w:val="0"/>
        <w:adjustRightInd/>
        <w:snapToGrid w:val="0"/>
        <w:spacing w:after="0"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无遗漏，在人行道上和机动车道上均看不到张贴物。</w:t>
      </w:r>
    </w:p>
    <w:p w14:paraId="123C7A4D">
      <w:pPr>
        <w:pStyle w:val="6"/>
        <w:keepNext w:val="0"/>
        <w:keepLines w:val="0"/>
        <w:pageBreakBefore w:val="0"/>
        <w:widowControl w:val="0"/>
        <w:kinsoku/>
        <w:wordWrap/>
        <w:overflowPunct/>
        <w:topLinePunct w:val="0"/>
        <w:autoSpaceDE/>
        <w:autoSpaceDN/>
        <w:bidi w:val="0"/>
        <w:adjustRightInd/>
        <w:snapToGrid w:val="0"/>
        <w:spacing w:after="0"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清理乱涂写（刻画）类“牛皮癣”标准：</w:t>
      </w:r>
    </w:p>
    <w:p w14:paraId="7D0BA2BB">
      <w:pPr>
        <w:pStyle w:val="6"/>
        <w:keepNext w:val="0"/>
        <w:keepLines w:val="0"/>
        <w:pageBreakBefore w:val="0"/>
        <w:widowControl w:val="0"/>
        <w:numPr>
          <w:ilvl w:val="0"/>
          <w:numId w:val="31"/>
        </w:numPr>
        <w:kinsoku/>
        <w:wordWrap/>
        <w:overflowPunct/>
        <w:topLinePunct w:val="0"/>
        <w:autoSpaceDE/>
        <w:autoSpaceDN/>
        <w:bidi w:val="0"/>
        <w:adjustRightInd/>
        <w:snapToGrid w:val="0"/>
        <w:spacing w:after="0"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基底恢复原貌，无残留物或者残留痕迹；</w:t>
      </w:r>
    </w:p>
    <w:p w14:paraId="3BA5067F">
      <w:pPr>
        <w:pStyle w:val="6"/>
        <w:keepNext w:val="0"/>
        <w:keepLines w:val="0"/>
        <w:pageBreakBefore w:val="0"/>
        <w:widowControl w:val="0"/>
        <w:numPr>
          <w:ilvl w:val="0"/>
          <w:numId w:val="31"/>
        </w:numPr>
        <w:kinsoku/>
        <w:wordWrap/>
        <w:overflowPunct/>
        <w:topLinePunct w:val="0"/>
        <w:autoSpaceDE/>
        <w:autoSpaceDN/>
        <w:bidi w:val="0"/>
        <w:adjustRightInd/>
        <w:snapToGrid w:val="0"/>
        <w:spacing w:after="0"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勾缝</w:t>
      </w:r>
      <w:r>
        <w:rPr>
          <w:rFonts w:hint="eastAsia" w:ascii="宋体" w:hAnsi="宋体" w:eastAsia="宋体" w:cs="宋体"/>
          <w:color w:val="auto"/>
          <w:sz w:val="21"/>
          <w:szCs w:val="21"/>
          <w:highlight w:val="none"/>
        </w:rPr>
        <w:t xml:space="preserve">干净，无残留物或残留痕迹； </w:t>
      </w:r>
    </w:p>
    <w:p w14:paraId="39B741FA">
      <w:pPr>
        <w:pStyle w:val="6"/>
        <w:keepNext w:val="0"/>
        <w:keepLines w:val="0"/>
        <w:pageBreakBefore w:val="0"/>
        <w:widowControl w:val="0"/>
        <w:numPr>
          <w:ilvl w:val="0"/>
          <w:numId w:val="31"/>
        </w:numPr>
        <w:kinsoku/>
        <w:wordWrap/>
        <w:overflowPunct/>
        <w:topLinePunct w:val="0"/>
        <w:autoSpaceDE/>
        <w:autoSpaceDN/>
        <w:bidi w:val="0"/>
        <w:adjustRightInd/>
        <w:snapToGrid w:val="0"/>
        <w:spacing w:after="0"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基底无损伤，漆面、有机玻璃面、喷绘布面等基底无划痕、无掉漆、无变色、不失原有光泽；</w:t>
      </w:r>
    </w:p>
    <w:p w14:paraId="2F4D4E93">
      <w:pPr>
        <w:pStyle w:val="6"/>
        <w:keepNext w:val="0"/>
        <w:keepLines w:val="0"/>
        <w:pageBreakBefore w:val="0"/>
        <w:widowControl w:val="0"/>
        <w:numPr>
          <w:ilvl w:val="0"/>
          <w:numId w:val="31"/>
        </w:numPr>
        <w:kinsoku/>
        <w:wordWrap/>
        <w:overflowPunct/>
        <w:topLinePunct w:val="0"/>
        <w:autoSpaceDE/>
        <w:autoSpaceDN/>
        <w:bidi w:val="0"/>
        <w:adjustRightInd/>
        <w:snapToGrid w:val="0"/>
        <w:spacing w:after="0"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块状瓷面、大理石面与原材质一致；</w:t>
      </w:r>
    </w:p>
    <w:p w14:paraId="4F085AB6">
      <w:pPr>
        <w:pStyle w:val="6"/>
        <w:keepNext w:val="0"/>
        <w:keepLines w:val="0"/>
        <w:pageBreakBefore w:val="0"/>
        <w:widowControl w:val="0"/>
        <w:numPr>
          <w:ilvl w:val="0"/>
          <w:numId w:val="31"/>
        </w:numPr>
        <w:kinsoku/>
        <w:wordWrap/>
        <w:overflowPunct/>
        <w:topLinePunct w:val="0"/>
        <w:autoSpaceDE/>
        <w:autoSpaceDN/>
        <w:bidi w:val="0"/>
        <w:adjustRightInd/>
        <w:snapToGrid w:val="0"/>
        <w:spacing w:after="0"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无遗漏，在人行道上和机动车道上均看不到乱涂写（刻画）物。</w:t>
      </w:r>
    </w:p>
    <w:p w14:paraId="6FE2E16E">
      <w:pPr>
        <w:pStyle w:val="6"/>
        <w:keepNext w:val="0"/>
        <w:keepLines w:val="0"/>
        <w:pageBreakBefore w:val="0"/>
        <w:widowControl w:val="0"/>
        <w:kinsoku/>
        <w:wordWrap/>
        <w:overflowPunct/>
        <w:topLinePunct w:val="0"/>
        <w:autoSpaceDE/>
        <w:autoSpaceDN/>
        <w:bidi w:val="0"/>
        <w:adjustRightInd/>
        <w:snapToGrid w:val="0"/>
        <w:spacing w:after="0"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清理乱张挂类“牛皮癣”标准：</w:t>
      </w:r>
    </w:p>
    <w:p w14:paraId="26CE9871">
      <w:pPr>
        <w:pStyle w:val="6"/>
        <w:keepNext w:val="0"/>
        <w:keepLines w:val="0"/>
        <w:pageBreakBefore w:val="0"/>
        <w:widowControl w:val="0"/>
        <w:numPr>
          <w:ilvl w:val="0"/>
          <w:numId w:val="32"/>
        </w:numPr>
        <w:kinsoku/>
        <w:wordWrap/>
        <w:overflowPunct/>
        <w:topLinePunct w:val="0"/>
        <w:autoSpaceDE/>
        <w:autoSpaceDN/>
        <w:bidi w:val="0"/>
        <w:adjustRightInd/>
        <w:snapToGrid w:val="0"/>
        <w:spacing w:after="0"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无残留物或者残留痕迹；</w:t>
      </w:r>
    </w:p>
    <w:p w14:paraId="7ED6034B">
      <w:pPr>
        <w:pStyle w:val="6"/>
        <w:keepNext w:val="0"/>
        <w:keepLines w:val="0"/>
        <w:pageBreakBefore w:val="0"/>
        <w:widowControl w:val="0"/>
        <w:numPr>
          <w:ilvl w:val="0"/>
          <w:numId w:val="32"/>
        </w:numPr>
        <w:kinsoku/>
        <w:wordWrap/>
        <w:overflowPunct/>
        <w:topLinePunct w:val="0"/>
        <w:autoSpaceDE/>
        <w:autoSpaceDN/>
        <w:bidi w:val="0"/>
        <w:adjustRightInd/>
        <w:snapToGrid w:val="0"/>
        <w:spacing w:after="0"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基底或原附着物无损伤；</w:t>
      </w:r>
    </w:p>
    <w:p w14:paraId="4C80AE07">
      <w:pPr>
        <w:pStyle w:val="6"/>
        <w:keepNext w:val="0"/>
        <w:keepLines w:val="0"/>
        <w:pageBreakBefore w:val="0"/>
        <w:widowControl w:val="0"/>
        <w:numPr>
          <w:ilvl w:val="0"/>
          <w:numId w:val="32"/>
        </w:numPr>
        <w:kinsoku/>
        <w:wordWrap/>
        <w:overflowPunct/>
        <w:topLinePunct w:val="0"/>
        <w:autoSpaceDE/>
        <w:autoSpaceDN/>
        <w:bidi w:val="0"/>
        <w:adjustRightInd/>
        <w:snapToGrid w:val="0"/>
        <w:spacing w:after="0"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无遗漏，在人行道上和机动车道上均看不见残旧破烂的张挂物；高空电线、墙面上的牛皮癣也要清理干净。</w:t>
      </w:r>
    </w:p>
    <w:p w14:paraId="671B34D4">
      <w:pPr>
        <w:pStyle w:val="6"/>
        <w:keepNext w:val="0"/>
        <w:keepLines w:val="0"/>
        <w:pageBreakBefore w:val="0"/>
        <w:widowControl w:val="0"/>
        <w:numPr>
          <w:ilvl w:val="0"/>
          <w:numId w:val="0"/>
        </w:numPr>
        <w:kinsoku/>
        <w:wordWrap/>
        <w:overflowPunct/>
        <w:topLinePunct w:val="0"/>
        <w:autoSpaceDE/>
        <w:autoSpaceDN/>
        <w:bidi w:val="0"/>
        <w:adjustRightInd/>
        <w:snapToGrid w:val="0"/>
        <w:spacing w:after="0" w:line="360" w:lineRule="auto"/>
        <w:ind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涂刷覆盖效果标准：</w:t>
      </w:r>
    </w:p>
    <w:p w14:paraId="7F531BF2">
      <w:pPr>
        <w:pStyle w:val="6"/>
        <w:keepNext w:val="0"/>
        <w:keepLines w:val="0"/>
        <w:pageBreakBefore w:val="0"/>
        <w:widowControl w:val="0"/>
        <w:numPr>
          <w:ilvl w:val="0"/>
          <w:numId w:val="33"/>
        </w:numPr>
        <w:kinsoku/>
        <w:wordWrap/>
        <w:overflowPunct/>
        <w:topLinePunct w:val="0"/>
        <w:autoSpaceDE/>
        <w:autoSpaceDN/>
        <w:bidi w:val="0"/>
        <w:adjustRightInd/>
        <w:snapToGrid w:val="0"/>
        <w:spacing w:after="0"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涂刷用料与被涂刷物基底材质相同或接近；</w:t>
      </w:r>
    </w:p>
    <w:p w14:paraId="1C8131AD">
      <w:pPr>
        <w:pStyle w:val="6"/>
        <w:keepNext w:val="0"/>
        <w:keepLines w:val="0"/>
        <w:pageBreakBefore w:val="0"/>
        <w:widowControl w:val="0"/>
        <w:numPr>
          <w:ilvl w:val="0"/>
          <w:numId w:val="33"/>
        </w:numPr>
        <w:kinsoku/>
        <w:wordWrap/>
        <w:overflowPunct/>
        <w:topLinePunct w:val="0"/>
        <w:autoSpaceDE/>
        <w:autoSpaceDN/>
        <w:bidi w:val="0"/>
        <w:adjustRightInd/>
        <w:snapToGrid w:val="0"/>
        <w:spacing w:after="0"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色泽相同或接近，色彩与原底色吻合；</w:t>
      </w:r>
    </w:p>
    <w:p w14:paraId="7838AA80">
      <w:pPr>
        <w:pStyle w:val="6"/>
        <w:keepNext w:val="0"/>
        <w:keepLines w:val="0"/>
        <w:pageBreakBefore w:val="0"/>
        <w:widowControl w:val="0"/>
        <w:numPr>
          <w:ilvl w:val="0"/>
          <w:numId w:val="33"/>
        </w:numPr>
        <w:kinsoku/>
        <w:wordWrap/>
        <w:overflowPunct/>
        <w:topLinePunct w:val="0"/>
        <w:autoSpaceDE/>
        <w:autoSpaceDN/>
        <w:bidi w:val="0"/>
        <w:adjustRightInd/>
        <w:snapToGrid w:val="0"/>
        <w:spacing w:after="0"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刷痕自然，无漏刷、无流淌，地面干净、界线齐平。</w:t>
      </w:r>
    </w:p>
    <w:p w14:paraId="7C73F3BC">
      <w:pPr>
        <w:pStyle w:val="6"/>
        <w:keepNext w:val="0"/>
        <w:keepLines w:val="0"/>
        <w:pageBreakBefore w:val="0"/>
        <w:widowControl w:val="0"/>
        <w:kinsoku/>
        <w:wordWrap/>
        <w:overflowPunct/>
        <w:topLinePunct w:val="0"/>
        <w:autoSpaceDE/>
        <w:autoSpaceDN/>
        <w:bidi w:val="0"/>
        <w:adjustRightInd/>
        <w:snapToGrid w:val="0"/>
        <w:spacing w:after="0"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清洗剂使用标准：</w:t>
      </w:r>
    </w:p>
    <w:p w14:paraId="6065DCF9">
      <w:pPr>
        <w:pStyle w:val="6"/>
        <w:keepNext w:val="0"/>
        <w:keepLines w:val="0"/>
        <w:pageBreakBefore w:val="0"/>
        <w:widowControl w:val="0"/>
        <w:numPr>
          <w:ilvl w:val="0"/>
          <w:numId w:val="34"/>
        </w:numPr>
        <w:kinsoku/>
        <w:wordWrap/>
        <w:overflowPunct/>
        <w:topLinePunct w:val="0"/>
        <w:autoSpaceDE/>
        <w:autoSpaceDN/>
        <w:bidi w:val="0"/>
        <w:adjustRightInd/>
        <w:snapToGrid w:val="0"/>
        <w:spacing w:after="0"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符合国家环保部颁布的《环境标志产品技术要求水性涂料（HJ2537-2014）》外墙涂料执行标准；</w:t>
      </w:r>
    </w:p>
    <w:p w14:paraId="5B0F5600">
      <w:pPr>
        <w:pStyle w:val="6"/>
        <w:keepNext w:val="0"/>
        <w:keepLines w:val="0"/>
        <w:pageBreakBefore w:val="0"/>
        <w:widowControl w:val="0"/>
        <w:numPr>
          <w:ilvl w:val="0"/>
          <w:numId w:val="34"/>
        </w:numPr>
        <w:kinsoku/>
        <w:wordWrap/>
        <w:overflowPunct/>
        <w:topLinePunct w:val="0"/>
        <w:autoSpaceDE/>
        <w:autoSpaceDN/>
        <w:bidi w:val="0"/>
        <w:adjustRightInd/>
        <w:snapToGrid w:val="0"/>
        <w:spacing w:after="0"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对人畜不造成损害，对“牛皮癣”附着物不构成物理或化学破坏。</w:t>
      </w:r>
    </w:p>
    <w:p w14:paraId="66783197">
      <w:pPr>
        <w:pStyle w:val="6"/>
        <w:keepNext w:val="0"/>
        <w:keepLines w:val="0"/>
        <w:pageBreakBefore w:val="0"/>
        <w:numPr>
          <w:ilvl w:val="0"/>
          <w:numId w:val="17"/>
        </w:numPr>
        <w:kinsoku/>
        <w:wordWrap/>
        <w:overflowPunct/>
        <w:topLinePunct w:val="0"/>
        <w:autoSpaceDE/>
        <w:autoSpaceDN/>
        <w:bidi w:val="0"/>
        <w:adjustRightInd/>
        <w:snapToGrid w:val="0"/>
        <w:spacing w:after="0" w:line="360" w:lineRule="auto"/>
        <w:ind w:left="425" w:leftChars="0" w:hanging="425" w:firstLineChars="0"/>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公厕管养要求</w:t>
      </w:r>
    </w:p>
    <w:p w14:paraId="3F855A86">
      <w:pPr>
        <w:pStyle w:val="6"/>
        <w:keepNext w:val="0"/>
        <w:keepLines w:val="0"/>
        <w:pageBreakBefore w:val="0"/>
        <w:widowControl w:val="0"/>
        <w:kinsoku/>
        <w:wordWrap/>
        <w:overflowPunct/>
        <w:topLinePunct w:val="0"/>
        <w:autoSpaceDE/>
        <w:autoSpaceDN/>
        <w:bidi w:val="0"/>
        <w:adjustRightInd/>
        <w:snapToGrid w:val="0"/>
        <w:spacing w:after="0" w:line="360" w:lineRule="auto"/>
        <w:ind w:firstLine="422" w:firstLineChars="200"/>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公厕须配备专人管理。</w:t>
      </w:r>
    </w:p>
    <w:p w14:paraId="203E7A4D">
      <w:pPr>
        <w:pStyle w:val="6"/>
        <w:keepNext w:val="0"/>
        <w:keepLines w:val="0"/>
        <w:pageBreakBefore w:val="0"/>
        <w:widowControl w:val="0"/>
        <w:numPr>
          <w:ilvl w:val="0"/>
          <w:numId w:val="35"/>
        </w:numPr>
        <w:kinsoku/>
        <w:wordWrap/>
        <w:overflowPunct/>
        <w:topLinePunct w:val="0"/>
        <w:autoSpaceDE/>
        <w:autoSpaceDN/>
        <w:bidi w:val="0"/>
        <w:adjustRightInd/>
        <w:snapToGrid w:val="0"/>
        <w:spacing w:after="0" w:line="360" w:lineRule="auto"/>
        <w:ind w:left="625" w:leftChars="0" w:hanging="625"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清扫保洁</w:t>
      </w:r>
    </w:p>
    <w:p w14:paraId="345F7249">
      <w:pPr>
        <w:pStyle w:val="6"/>
        <w:keepNext w:val="0"/>
        <w:keepLines w:val="0"/>
        <w:pageBreakBefore w:val="0"/>
        <w:numPr>
          <w:ilvl w:val="0"/>
          <w:numId w:val="36"/>
        </w:numPr>
        <w:tabs>
          <w:tab w:val="left" w:pos="640"/>
        </w:tabs>
        <w:kinsoku/>
        <w:wordWrap/>
        <w:overflowPunct/>
        <w:topLinePunct w:val="0"/>
        <w:autoSpaceDE/>
        <w:autoSpaceDN/>
        <w:bidi w:val="0"/>
        <w:adjustRightInd/>
        <w:snapToGrid w:val="0"/>
        <w:spacing w:after="0" w:line="360" w:lineRule="auto"/>
        <w:ind w:left="633" w:leftChars="104" w:hanging="415" w:hangingChars="198"/>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每天早上7时前完成冲洗和清扫，全天坚持保洁，做到冲洗干净便池、便斗、厕所地面及墙面。做到无污物，无积水，全厕无粪迹、无尿迹、无乱弃置垃圾，无其他污物。</w:t>
      </w:r>
    </w:p>
    <w:p w14:paraId="1DE47213">
      <w:pPr>
        <w:pStyle w:val="6"/>
        <w:keepNext w:val="0"/>
        <w:keepLines w:val="0"/>
        <w:pageBreakBefore w:val="0"/>
        <w:numPr>
          <w:ilvl w:val="0"/>
          <w:numId w:val="36"/>
        </w:numPr>
        <w:tabs>
          <w:tab w:val="left" w:pos="640"/>
        </w:tabs>
        <w:kinsoku/>
        <w:wordWrap/>
        <w:overflowPunct/>
        <w:topLinePunct w:val="0"/>
        <w:autoSpaceDE/>
        <w:autoSpaceDN/>
        <w:bidi w:val="0"/>
        <w:adjustRightInd/>
        <w:snapToGrid w:val="0"/>
        <w:spacing w:after="0" w:line="360" w:lineRule="auto"/>
        <w:ind w:left="633" w:leftChars="104" w:hanging="415" w:hangingChars="198"/>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定时喷洒药物，灭杀蚊蝇等害虫，做到无蚊蝇、无蟑螂、无蛆蛹等。</w:t>
      </w:r>
    </w:p>
    <w:p w14:paraId="02344512">
      <w:pPr>
        <w:pStyle w:val="6"/>
        <w:keepNext w:val="0"/>
        <w:keepLines w:val="0"/>
        <w:pageBreakBefore w:val="0"/>
        <w:numPr>
          <w:ilvl w:val="0"/>
          <w:numId w:val="36"/>
        </w:numPr>
        <w:tabs>
          <w:tab w:val="left" w:pos="640"/>
        </w:tabs>
        <w:kinsoku/>
        <w:wordWrap/>
        <w:overflowPunct/>
        <w:topLinePunct w:val="0"/>
        <w:autoSpaceDE/>
        <w:autoSpaceDN/>
        <w:bidi w:val="0"/>
        <w:adjustRightInd/>
        <w:snapToGrid w:val="0"/>
        <w:spacing w:after="0" w:line="360" w:lineRule="auto"/>
        <w:ind w:left="633" w:leftChars="104" w:hanging="415" w:hangingChars="198"/>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纸篓无污迹、无隔夜垃圾。环保处理泡沫、洗手液、纸巾等应保持持续供应。</w:t>
      </w:r>
    </w:p>
    <w:p w14:paraId="6064CA38">
      <w:pPr>
        <w:pStyle w:val="6"/>
        <w:keepNext w:val="0"/>
        <w:keepLines w:val="0"/>
        <w:pageBreakBefore w:val="0"/>
        <w:numPr>
          <w:ilvl w:val="0"/>
          <w:numId w:val="36"/>
        </w:numPr>
        <w:tabs>
          <w:tab w:val="left" w:pos="640"/>
        </w:tabs>
        <w:kinsoku/>
        <w:wordWrap/>
        <w:overflowPunct/>
        <w:topLinePunct w:val="0"/>
        <w:autoSpaceDE/>
        <w:autoSpaceDN/>
        <w:bidi w:val="0"/>
        <w:adjustRightInd/>
        <w:snapToGrid w:val="0"/>
        <w:spacing w:after="0" w:line="360" w:lineRule="auto"/>
        <w:ind w:left="633" w:leftChars="104" w:hanging="415" w:hangingChars="198"/>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内外墙、屋顶及卫生责任区保持整洁，无乱张贴、涂写、刻画，无污迹、无蜘蛛网、无杂草等。</w:t>
      </w:r>
    </w:p>
    <w:p w14:paraId="56F415C6">
      <w:pPr>
        <w:pStyle w:val="6"/>
        <w:keepNext w:val="0"/>
        <w:keepLines w:val="0"/>
        <w:pageBreakBefore w:val="0"/>
        <w:numPr>
          <w:ilvl w:val="0"/>
          <w:numId w:val="36"/>
        </w:numPr>
        <w:tabs>
          <w:tab w:val="left" w:pos="640"/>
        </w:tabs>
        <w:kinsoku/>
        <w:wordWrap/>
        <w:overflowPunct/>
        <w:topLinePunct w:val="0"/>
        <w:autoSpaceDE/>
        <w:autoSpaceDN/>
        <w:bidi w:val="0"/>
        <w:adjustRightInd/>
        <w:snapToGrid w:val="0"/>
        <w:spacing w:after="0" w:line="360" w:lineRule="auto"/>
        <w:ind w:left="633" w:leftChars="104" w:hanging="415" w:hangingChars="198"/>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厕内空气流通清新，无异味。</w:t>
      </w:r>
    </w:p>
    <w:p w14:paraId="676DBA7B">
      <w:pPr>
        <w:pStyle w:val="6"/>
        <w:keepNext w:val="0"/>
        <w:keepLines w:val="0"/>
        <w:pageBreakBefore w:val="0"/>
        <w:numPr>
          <w:ilvl w:val="0"/>
          <w:numId w:val="36"/>
        </w:numPr>
        <w:tabs>
          <w:tab w:val="left" w:pos="640"/>
        </w:tabs>
        <w:kinsoku/>
        <w:wordWrap/>
        <w:overflowPunct/>
        <w:topLinePunct w:val="0"/>
        <w:autoSpaceDE/>
        <w:autoSpaceDN/>
        <w:bidi w:val="0"/>
        <w:adjustRightInd/>
        <w:snapToGrid w:val="0"/>
        <w:spacing w:after="0" w:line="360" w:lineRule="auto"/>
        <w:ind w:left="633" w:leftChars="104" w:hanging="415" w:hangingChars="198"/>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按照规定的时间、地点和方式清倒废弃物。</w:t>
      </w:r>
    </w:p>
    <w:p w14:paraId="67A55E8A">
      <w:pPr>
        <w:pStyle w:val="6"/>
        <w:keepNext w:val="0"/>
        <w:keepLines w:val="0"/>
        <w:pageBreakBefore w:val="0"/>
        <w:widowControl w:val="0"/>
        <w:numPr>
          <w:ilvl w:val="0"/>
          <w:numId w:val="35"/>
        </w:numPr>
        <w:kinsoku/>
        <w:wordWrap/>
        <w:overflowPunct/>
        <w:topLinePunct w:val="0"/>
        <w:autoSpaceDE/>
        <w:autoSpaceDN/>
        <w:bidi w:val="0"/>
        <w:adjustRightInd/>
        <w:snapToGrid w:val="0"/>
        <w:spacing w:after="0" w:line="360" w:lineRule="auto"/>
        <w:ind w:left="425" w:leftChars="0" w:hanging="425"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内部管理</w:t>
      </w:r>
    </w:p>
    <w:p w14:paraId="2521CCAC">
      <w:pPr>
        <w:pStyle w:val="6"/>
        <w:keepNext w:val="0"/>
        <w:keepLines w:val="0"/>
        <w:pageBreakBefore w:val="0"/>
        <w:numPr>
          <w:ilvl w:val="0"/>
          <w:numId w:val="37"/>
        </w:numPr>
        <w:tabs>
          <w:tab w:val="left" w:pos="640"/>
        </w:tabs>
        <w:kinsoku/>
        <w:wordWrap/>
        <w:overflowPunct/>
        <w:topLinePunct w:val="0"/>
        <w:autoSpaceDE/>
        <w:autoSpaceDN/>
        <w:bidi w:val="0"/>
        <w:adjustRightInd/>
        <w:snapToGrid w:val="0"/>
        <w:spacing w:after="0" w:line="360" w:lineRule="auto"/>
        <w:ind w:left="633" w:leftChars="104" w:hanging="415" w:hangingChars="198"/>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厕内各种工具完好、干净、整洁、摆放有序。</w:t>
      </w:r>
    </w:p>
    <w:p w14:paraId="50E57F4A">
      <w:pPr>
        <w:pStyle w:val="6"/>
        <w:keepNext w:val="0"/>
        <w:keepLines w:val="0"/>
        <w:pageBreakBefore w:val="0"/>
        <w:numPr>
          <w:ilvl w:val="0"/>
          <w:numId w:val="37"/>
        </w:numPr>
        <w:tabs>
          <w:tab w:val="left" w:pos="640"/>
        </w:tabs>
        <w:kinsoku/>
        <w:wordWrap/>
        <w:overflowPunct/>
        <w:topLinePunct w:val="0"/>
        <w:autoSpaceDE/>
        <w:autoSpaceDN/>
        <w:bidi w:val="0"/>
        <w:adjustRightInd/>
        <w:snapToGrid w:val="0"/>
        <w:spacing w:after="0" w:line="360" w:lineRule="auto"/>
        <w:ind w:left="633" w:leftChars="104" w:hanging="415" w:hangingChars="198"/>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公厕管理制度及保洁制度按规定公示。</w:t>
      </w:r>
    </w:p>
    <w:p w14:paraId="239045ED">
      <w:pPr>
        <w:pStyle w:val="6"/>
        <w:keepNext w:val="0"/>
        <w:keepLines w:val="0"/>
        <w:pageBreakBefore w:val="0"/>
        <w:numPr>
          <w:ilvl w:val="0"/>
          <w:numId w:val="37"/>
        </w:numPr>
        <w:tabs>
          <w:tab w:val="left" w:pos="640"/>
        </w:tabs>
        <w:kinsoku/>
        <w:wordWrap/>
        <w:overflowPunct/>
        <w:topLinePunct w:val="0"/>
        <w:autoSpaceDE/>
        <w:autoSpaceDN/>
        <w:bidi w:val="0"/>
        <w:adjustRightInd/>
        <w:snapToGrid w:val="0"/>
        <w:spacing w:after="0" w:line="360" w:lineRule="auto"/>
        <w:ind w:left="633" w:leftChars="104" w:hanging="415" w:hangingChars="198"/>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公厕用地范围内应保持环境整洁，任何单位和个人不得占用、堆物、搭建或作其它用途。</w:t>
      </w:r>
    </w:p>
    <w:p w14:paraId="2F2F1CD9">
      <w:pPr>
        <w:pStyle w:val="6"/>
        <w:keepNext w:val="0"/>
        <w:keepLines w:val="0"/>
        <w:pageBreakBefore w:val="0"/>
        <w:numPr>
          <w:ilvl w:val="0"/>
          <w:numId w:val="37"/>
        </w:numPr>
        <w:tabs>
          <w:tab w:val="left" w:pos="640"/>
        </w:tabs>
        <w:kinsoku/>
        <w:wordWrap/>
        <w:overflowPunct/>
        <w:topLinePunct w:val="0"/>
        <w:autoSpaceDE/>
        <w:autoSpaceDN/>
        <w:bidi w:val="0"/>
        <w:adjustRightInd/>
        <w:snapToGrid w:val="0"/>
        <w:spacing w:after="0" w:line="360" w:lineRule="auto"/>
        <w:ind w:left="633" w:leftChars="104" w:hanging="415" w:hangingChars="198"/>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公厕实行免费开放，不得收费。</w:t>
      </w:r>
    </w:p>
    <w:p w14:paraId="76E791E0">
      <w:pPr>
        <w:pStyle w:val="6"/>
        <w:keepNext w:val="0"/>
        <w:keepLines w:val="0"/>
        <w:pageBreakBefore w:val="0"/>
        <w:numPr>
          <w:ilvl w:val="0"/>
          <w:numId w:val="37"/>
        </w:numPr>
        <w:tabs>
          <w:tab w:val="left" w:pos="640"/>
        </w:tabs>
        <w:kinsoku/>
        <w:wordWrap/>
        <w:overflowPunct/>
        <w:topLinePunct w:val="0"/>
        <w:autoSpaceDE/>
        <w:autoSpaceDN/>
        <w:bidi w:val="0"/>
        <w:adjustRightInd/>
        <w:snapToGrid w:val="0"/>
        <w:spacing w:after="0" w:line="360" w:lineRule="auto"/>
        <w:ind w:left="633" w:leftChars="104" w:hanging="415" w:hangingChars="198"/>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不得擅自关闭公厕，不得擅自设置公厕。不得擅自拆除、占用、损毁公厕。</w:t>
      </w:r>
    </w:p>
    <w:p w14:paraId="162D0445">
      <w:pPr>
        <w:pStyle w:val="6"/>
        <w:keepNext w:val="0"/>
        <w:keepLines w:val="0"/>
        <w:pageBreakBefore w:val="0"/>
        <w:numPr>
          <w:ilvl w:val="0"/>
          <w:numId w:val="37"/>
        </w:numPr>
        <w:tabs>
          <w:tab w:val="left" w:pos="640"/>
        </w:tabs>
        <w:kinsoku/>
        <w:wordWrap/>
        <w:overflowPunct/>
        <w:topLinePunct w:val="0"/>
        <w:autoSpaceDE/>
        <w:autoSpaceDN/>
        <w:bidi w:val="0"/>
        <w:adjustRightInd/>
        <w:snapToGrid w:val="0"/>
        <w:spacing w:after="0" w:line="360" w:lineRule="auto"/>
        <w:ind w:left="633" w:leftChars="104" w:hanging="415" w:hangingChars="198"/>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厕内失物应交还失主，未见失主的，应交公处理。</w:t>
      </w:r>
    </w:p>
    <w:p w14:paraId="70D60293">
      <w:pPr>
        <w:pStyle w:val="6"/>
        <w:keepNext w:val="0"/>
        <w:keepLines w:val="0"/>
        <w:pageBreakBefore w:val="0"/>
        <w:numPr>
          <w:ilvl w:val="0"/>
          <w:numId w:val="37"/>
        </w:numPr>
        <w:tabs>
          <w:tab w:val="left" w:pos="640"/>
        </w:tabs>
        <w:kinsoku/>
        <w:wordWrap/>
        <w:overflowPunct/>
        <w:topLinePunct w:val="0"/>
        <w:autoSpaceDE/>
        <w:autoSpaceDN/>
        <w:bidi w:val="0"/>
        <w:adjustRightInd/>
        <w:snapToGrid w:val="0"/>
        <w:spacing w:after="0" w:line="360" w:lineRule="auto"/>
        <w:ind w:left="633" w:leftChars="104" w:hanging="415" w:hangingChars="198"/>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工作人员要尊重游客和如厕人员，不得与其发生冲突。</w:t>
      </w:r>
    </w:p>
    <w:p w14:paraId="7819DA24">
      <w:pPr>
        <w:pStyle w:val="6"/>
        <w:keepNext w:val="0"/>
        <w:keepLines w:val="0"/>
        <w:pageBreakBefore w:val="0"/>
        <w:numPr>
          <w:ilvl w:val="0"/>
          <w:numId w:val="37"/>
        </w:numPr>
        <w:tabs>
          <w:tab w:val="left" w:pos="640"/>
        </w:tabs>
        <w:kinsoku/>
        <w:wordWrap/>
        <w:overflowPunct/>
        <w:topLinePunct w:val="0"/>
        <w:autoSpaceDE/>
        <w:autoSpaceDN/>
        <w:bidi w:val="0"/>
        <w:adjustRightInd/>
        <w:snapToGrid w:val="0"/>
        <w:spacing w:after="0" w:line="360" w:lineRule="auto"/>
        <w:ind w:left="633" w:leftChars="104" w:hanging="415" w:hangingChars="198"/>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工作人员不得擅离职守、滥用职权、徇私舞弊，工作期间必须统一穿着工作服。</w:t>
      </w:r>
    </w:p>
    <w:p w14:paraId="6E782F17">
      <w:pPr>
        <w:pStyle w:val="6"/>
        <w:keepNext w:val="0"/>
        <w:keepLines w:val="0"/>
        <w:pageBreakBefore w:val="0"/>
        <w:widowControl w:val="0"/>
        <w:numPr>
          <w:ilvl w:val="0"/>
          <w:numId w:val="35"/>
        </w:numPr>
        <w:kinsoku/>
        <w:wordWrap/>
        <w:overflowPunct/>
        <w:topLinePunct w:val="0"/>
        <w:autoSpaceDE/>
        <w:autoSpaceDN/>
        <w:bidi w:val="0"/>
        <w:adjustRightInd/>
        <w:snapToGrid w:val="0"/>
        <w:spacing w:after="0" w:line="360" w:lineRule="auto"/>
        <w:ind w:left="425" w:leftChars="0" w:hanging="425"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w:t>
      </w:r>
    </w:p>
    <w:p w14:paraId="0A6A9E5B">
      <w:pPr>
        <w:pStyle w:val="6"/>
        <w:keepNext w:val="0"/>
        <w:keepLines w:val="0"/>
        <w:pageBreakBefore w:val="0"/>
        <w:numPr>
          <w:ilvl w:val="0"/>
          <w:numId w:val="38"/>
        </w:numPr>
        <w:tabs>
          <w:tab w:val="left" w:pos="640"/>
        </w:tabs>
        <w:kinsoku/>
        <w:wordWrap/>
        <w:overflowPunct/>
        <w:topLinePunct w:val="0"/>
        <w:autoSpaceDE/>
        <w:autoSpaceDN/>
        <w:bidi w:val="0"/>
        <w:adjustRightInd/>
        <w:snapToGrid w:val="0"/>
        <w:spacing w:after="0" w:line="360" w:lineRule="auto"/>
        <w:ind w:left="633" w:leftChars="104" w:hanging="415" w:hangingChars="198"/>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工作人员发现公厕主体建筑出现损坏的，如墙壁、地面等，需及时向采购人反映情况。</w:t>
      </w:r>
    </w:p>
    <w:p w14:paraId="3AB36243">
      <w:pPr>
        <w:pStyle w:val="6"/>
        <w:keepNext w:val="0"/>
        <w:keepLines w:val="0"/>
        <w:pageBreakBefore w:val="0"/>
        <w:numPr>
          <w:ilvl w:val="0"/>
          <w:numId w:val="38"/>
        </w:numPr>
        <w:tabs>
          <w:tab w:val="left" w:pos="640"/>
        </w:tabs>
        <w:kinsoku/>
        <w:wordWrap/>
        <w:overflowPunct/>
        <w:topLinePunct w:val="0"/>
        <w:autoSpaceDE/>
        <w:autoSpaceDN/>
        <w:bidi w:val="0"/>
        <w:adjustRightInd/>
        <w:snapToGrid w:val="0"/>
        <w:spacing w:after="0" w:line="360" w:lineRule="auto"/>
        <w:ind w:left="633" w:leftChars="104" w:hanging="415" w:hangingChars="198"/>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公厕化粪池需定时清掏，中标人需及时向采购人提出粪便的掏吸、清运和处置计划建议，不得擅自处置粪便。</w:t>
      </w:r>
    </w:p>
    <w:p w14:paraId="71915BC0">
      <w:pPr>
        <w:pStyle w:val="6"/>
        <w:keepNext w:val="0"/>
        <w:keepLines w:val="0"/>
        <w:pageBreakBefore w:val="0"/>
        <w:numPr>
          <w:ilvl w:val="0"/>
          <w:numId w:val="17"/>
        </w:numPr>
        <w:kinsoku/>
        <w:wordWrap/>
        <w:overflowPunct/>
        <w:topLinePunct w:val="0"/>
        <w:autoSpaceDE/>
        <w:autoSpaceDN/>
        <w:bidi w:val="0"/>
        <w:adjustRightInd/>
        <w:snapToGrid w:val="0"/>
        <w:spacing w:after="0" w:line="360" w:lineRule="auto"/>
        <w:ind w:left="425" w:leftChars="0" w:hanging="425" w:firstLineChars="0"/>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lang w:val="en-US" w:eastAsia="zh-CN"/>
        </w:rPr>
        <w:t>智慧化管理要求</w:t>
      </w:r>
    </w:p>
    <w:p w14:paraId="5534B66B">
      <w:pPr>
        <w:pStyle w:val="6"/>
        <w:keepNext w:val="0"/>
        <w:keepLines w:val="0"/>
        <w:pageBreakBefore w:val="0"/>
        <w:widowControl w:val="0"/>
        <w:numPr>
          <w:ilvl w:val="0"/>
          <w:numId w:val="39"/>
        </w:numPr>
        <w:kinsoku/>
        <w:wordWrap/>
        <w:overflowPunct/>
        <w:topLinePunct w:val="0"/>
        <w:autoSpaceDE/>
        <w:autoSpaceDN/>
        <w:bidi w:val="0"/>
        <w:adjustRightInd/>
        <w:snapToGrid w:val="0"/>
        <w:spacing w:after="0" w:line="360" w:lineRule="auto"/>
        <w:ind w:left="425" w:leftChars="0" w:hanging="425"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本环卫服务项目要求</w:t>
      </w:r>
      <w:r>
        <w:rPr>
          <w:rFonts w:hint="eastAsia" w:ascii="宋体" w:hAnsi="宋体" w:cs="宋体"/>
          <w:color w:val="auto"/>
          <w:sz w:val="21"/>
          <w:szCs w:val="21"/>
          <w:highlight w:val="none"/>
          <w:lang w:val="en-US" w:eastAsia="zh-CN"/>
        </w:rPr>
        <w:t>中标人</w:t>
      </w:r>
      <w:r>
        <w:rPr>
          <w:rFonts w:hint="eastAsia" w:ascii="宋体" w:hAnsi="宋体" w:eastAsia="宋体" w:cs="宋体"/>
          <w:color w:val="auto"/>
          <w:sz w:val="21"/>
          <w:szCs w:val="21"/>
          <w:highlight w:val="none"/>
          <w:lang w:val="en-US" w:eastAsia="zh-CN"/>
        </w:rPr>
        <w:t>使用东莞市环卫作业智能化管理系统平台，通过计算机应用软件、无线网络、GIS 地理信息、GPS定位等多种信息化手段，将环卫管理的指挥、作业、监管等要素统一融合在智能化管理系统这个平台上，实现管理过程精细化，监控治理实时化，事件处理规范化，以及完善的考核制度。</w:t>
      </w:r>
    </w:p>
    <w:p w14:paraId="466D2975">
      <w:pPr>
        <w:pStyle w:val="6"/>
        <w:keepNext w:val="0"/>
        <w:keepLines w:val="0"/>
        <w:pageBreakBefore w:val="0"/>
        <w:widowControl w:val="0"/>
        <w:numPr>
          <w:ilvl w:val="0"/>
          <w:numId w:val="39"/>
        </w:numPr>
        <w:kinsoku/>
        <w:wordWrap/>
        <w:overflowPunct/>
        <w:topLinePunct w:val="0"/>
        <w:autoSpaceDE/>
        <w:autoSpaceDN/>
        <w:bidi w:val="0"/>
        <w:adjustRightInd/>
        <w:snapToGrid w:val="0"/>
        <w:spacing w:after="0" w:line="360" w:lineRule="auto"/>
        <w:ind w:left="425" w:leftChars="0" w:hanging="425"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其中，采购人提供平台及使用权限，并协调平台建设运营单位将人员、车辆定位设备信息接入平台。</w:t>
      </w:r>
      <w:r>
        <w:rPr>
          <w:rFonts w:hint="eastAsia" w:ascii="宋体" w:hAnsi="宋体" w:cs="宋体"/>
          <w:color w:val="auto"/>
          <w:sz w:val="21"/>
          <w:szCs w:val="21"/>
          <w:highlight w:val="none"/>
          <w:lang w:val="en-US" w:eastAsia="zh-CN"/>
        </w:rPr>
        <w:t>中标人</w:t>
      </w:r>
      <w:r>
        <w:rPr>
          <w:rFonts w:hint="eastAsia" w:ascii="宋体" w:hAnsi="宋体" w:eastAsia="宋体" w:cs="宋体"/>
          <w:color w:val="auto"/>
          <w:sz w:val="21"/>
          <w:szCs w:val="21"/>
          <w:highlight w:val="none"/>
          <w:lang w:val="en-US" w:eastAsia="zh-CN"/>
        </w:rPr>
        <w:t>需采购项目所属人员、车辆所需的智能化管理硬件设施，并将设备信息接入智能化管理平台，实现人员、车辆可视化管理。采购人、</w:t>
      </w:r>
      <w:r>
        <w:rPr>
          <w:rFonts w:hint="eastAsia" w:ascii="宋体" w:hAnsi="宋体" w:cs="宋体"/>
          <w:color w:val="auto"/>
          <w:sz w:val="21"/>
          <w:szCs w:val="21"/>
          <w:highlight w:val="none"/>
          <w:lang w:val="en-US" w:eastAsia="zh-CN"/>
        </w:rPr>
        <w:t>中标人</w:t>
      </w:r>
      <w:r>
        <w:rPr>
          <w:rFonts w:hint="eastAsia" w:ascii="宋体" w:hAnsi="宋体" w:eastAsia="宋体" w:cs="宋体"/>
          <w:color w:val="auto"/>
          <w:sz w:val="21"/>
          <w:szCs w:val="21"/>
          <w:highlight w:val="none"/>
          <w:lang w:val="en-US" w:eastAsia="zh-CN"/>
        </w:rPr>
        <w:t>均可通过智能化管理系统实时查看</w:t>
      </w:r>
      <w:r>
        <w:rPr>
          <w:rFonts w:hint="eastAsia" w:ascii="宋体" w:hAnsi="宋体" w:eastAsia="宋体" w:cs="宋体"/>
          <w:b w:val="0"/>
          <w:bCs w:val="0"/>
          <w:color w:val="auto"/>
          <w:sz w:val="21"/>
          <w:szCs w:val="21"/>
          <w:highlight w:val="none"/>
          <w:lang w:val="en-US" w:eastAsia="zh-CN"/>
        </w:rPr>
        <w:t>人员情况、车辆运行情况等，及时发现和处理突发情况。</w:t>
      </w:r>
    </w:p>
    <w:p w14:paraId="78242B77">
      <w:pPr>
        <w:pStyle w:val="6"/>
        <w:keepNext w:val="0"/>
        <w:keepLines w:val="0"/>
        <w:pageBreakBefore w:val="0"/>
        <w:numPr>
          <w:ilvl w:val="0"/>
          <w:numId w:val="17"/>
        </w:numPr>
        <w:kinsoku/>
        <w:wordWrap/>
        <w:overflowPunct/>
        <w:topLinePunct w:val="0"/>
        <w:autoSpaceDE/>
        <w:autoSpaceDN/>
        <w:bidi w:val="0"/>
        <w:adjustRightInd/>
        <w:snapToGrid w:val="0"/>
        <w:spacing w:after="0" w:line="360" w:lineRule="auto"/>
        <w:ind w:left="425" w:leftChars="0" w:hanging="425" w:firstLineChars="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设备配置要求</w:t>
      </w:r>
    </w:p>
    <w:tbl>
      <w:tblPr>
        <w:tblStyle w:val="14"/>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6"/>
        <w:gridCol w:w="4127"/>
        <w:gridCol w:w="1400"/>
        <w:gridCol w:w="3256"/>
      </w:tblGrid>
      <w:tr w14:paraId="16120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267" w:type="pct"/>
            <w:tcBorders>
              <w:top w:val="single" w:color="auto" w:sz="4" w:space="0"/>
              <w:left w:val="single" w:color="auto" w:sz="4" w:space="0"/>
              <w:bottom w:val="single" w:color="auto" w:sz="4" w:space="0"/>
              <w:right w:val="single" w:color="auto" w:sz="4" w:space="0"/>
            </w:tcBorders>
            <w:noWrap w:val="0"/>
            <w:vAlign w:val="center"/>
          </w:tcPr>
          <w:p w14:paraId="1A16280F">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序号</w:t>
            </w:r>
          </w:p>
        </w:tc>
        <w:tc>
          <w:tcPr>
            <w:tcW w:w="2223" w:type="pct"/>
            <w:tcBorders>
              <w:top w:val="single" w:color="auto" w:sz="4" w:space="0"/>
              <w:left w:val="single" w:color="auto" w:sz="4" w:space="0"/>
              <w:bottom w:val="single" w:color="auto" w:sz="4" w:space="0"/>
              <w:right w:val="single" w:color="auto" w:sz="4" w:space="0"/>
            </w:tcBorders>
            <w:noWrap w:val="0"/>
            <w:vAlign w:val="center"/>
          </w:tcPr>
          <w:p w14:paraId="1257EF40">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设备名称</w:t>
            </w:r>
          </w:p>
        </w:tc>
        <w:tc>
          <w:tcPr>
            <w:tcW w:w="754" w:type="pct"/>
            <w:tcBorders>
              <w:top w:val="single" w:color="auto" w:sz="4" w:space="0"/>
              <w:left w:val="single" w:color="auto" w:sz="4" w:space="0"/>
              <w:bottom w:val="single" w:color="auto" w:sz="4" w:space="0"/>
              <w:right w:val="single" w:color="auto" w:sz="4" w:space="0"/>
            </w:tcBorders>
            <w:noWrap w:val="0"/>
            <w:vAlign w:val="center"/>
          </w:tcPr>
          <w:p w14:paraId="04D92F41">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数量</w:t>
            </w:r>
          </w:p>
        </w:tc>
        <w:tc>
          <w:tcPr>
            <w:tcW w:w="1754" w:type="pct"/>
            <w:tcBorders>
              <w:top w:val="single" w:color="auto" w:sz="4" w:space="0"/>
              <w:left w:val="single" w:color="auto" w:sz="4" w:space="0"/>
              <w:bottom w:val="single" w:color="auto" w:sz="4" w:space="0"/>
              <w:right w:val="single" w:color="auto" w:sz="4" w:space="0"/>
            </w:tcBorders>
            <w:noWrap w:val="0"/>
            <w:vAlign w:val="center"/>
          </w:tcPr>
          <w:p w14:paraId="4D07CF56">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sz w:val="21"/>
                <w:szCs w:val="21"/>
                <w:highlight w:val="none"/>
                <w:lang w:val="en-US" w:eastAsia="zh-CN"/>
              </w:rPr>
            </w:pPr>
            <w:bookmarkStart w:id="10" w:name="OLE_LINK11"/>
            <w:r>
              <w:rPr>
                <w:rFonts w:hint="eastAsia" w:ascii="宋体" w:hAnsi="宋体" w:eastAsia="宋体" w:cs="宋体"/>
                <w:b w:val="0"/>
                <w:bCs w:val="0"/>
                <w:color w:val="auto"/>
                <w:sz w:val="21"/>
                <w:szCs w:val="21"/>
                <w:highlight w:val="none"/>
                <w:lang w:val="en-US" w:eastAsia="zh-CN"/>
              </w:rPr>
              <w:t>作业里程要求</w:t>
            </w:r>
            <w:bookmarkEnd w:id="10"/>
          </w:p>
        </w:tc>
      </w:tr>
      <w:tr w14:paraId="4F62E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7" w:type="pct"/>
            <w:tcBorders>
              <w:top w:val="single" w:color="auto" w:sz="4" w:space="0"/>
              <w:left w:val="single" w:color="auto" w:sz="4" w:space="0"/>
              <w:bottom w:val="single" w:color="auto" w:sz="4" w:space="0"/>
              <w:right w:val="single" w:color="auto" w:sz="4" w:space="0"/>
            </w:tcBorders>
            <w:noWrap w:val="0"/>
            <w:vAlign w:val="center"/>
          </w:tcPr>
          <w:p w14:paraId="45010CB0">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w:t>
            </w:r>
          </w:p>
        </w:tc>
        <w:tc>
          <w:tcPr>
            <w:tcW w:w="2223" w:type="pct"/>
            <w:tcBorders>
              <w:top w:val="single" w:color="auto" w:sz="4" w:space="0"/>
              <w:left w:val="single" w:color="auto" w:sz="4" w:space="0"/>
              <w:bottom w:val="single" w:color="auto" w:sz="4" w:space="0"/>
              <w:right w:val="single" w:color="auto" w:sz="4" w:space="0"/>
            </w:tcBorders>
            <w:noWrap w:val="0"/>
            <w:vAlign w:val="center"/>
          </w:tcPr>
          <w:p w14:paraId="24009955">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color w:val="auto"/>
                <w:sz w:val="21"/>
                <w:szCs w:val="21"/>
                <w:highlight w:val="none"/>
                <w:lang w:val="en-US" w:eastAsia="zh-CN"/>
              </w:rPr>
              <w:t>道路小型扫路车</w:t>
            </w:r>
          </w:p>
        </w:tc>
        <w:tc>
          <w:tcPr>
            <w:tcW w:w="754" w:type="pct"/>
            <w:tcBorders>
              <w:top w:val="single" w:color="auto" w:sz="4" w:space="0"/>
              <w:left w:val="single" w:color="auto" w:sz="4" w:space="0"/>
              <w:bottom w:val="single" w:color="auto" w:sz="4" w:space="0"/>
              <w:right w:val="single" w:color="auto" w:sz="4" w:space="0"/>
            </w:tcBorders>
            <w:noWrap w:val="0"/>
            <w:vAlign w:val="center"/>
          </w:tcPr>
          <w:p w14:paraId="62D49943">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p>
        </w:tc>
        <w:tc>
          <w:tcPr>
            <w:tcW w:w="1754" w:type="pct"/>
            <w:tcBorders>
              <w:top w:val="single" w:color="auto" w:sz="4" w:space="0"/>
              <w:left w:val="single" w:color="auto" w:sz="4" w:space="0"/>
              <w:bottom w:val="single" w:color="auto" w:sz="4" w:space="0"/>
              <w:right w:val="single" w:color="auto" w:sz="4" w:space="0"/>
            </w:tcBorders>
            <w:noWrap w:val="0"/>
            <w:vAlign w:val="center"/>
          </w:tcPr>
          <w:p w14:paraId="17C8B1E7">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sz w:val="21"/>
                <w:szCs w:val="21"/>
                <w:highlight w:val="none"/>
                <w:lang w:val="en-US" w:eastAsia="zh-CN"/>
              </w:rPr>
            </w:pPr>
            <w:bookmarkStart w:id="11" w:name="OLE_LINK12"/>
            <w:r>
              <w:rPr>
                <w:rFonts w:hint="eastAsia" w:ascii="宋体" w:hAnsi="宋体" w:eastAsia="宋体" w:cs="宋体"/>
                <w:color w:val="auto"/>
                <w:sz w:val="21"/>
                <w:szCs w:val="21"/>
                <w:highlight w:val="none"/>
                <w:lang w:val="en-US" w:eastAsia="zh-CN"/>
              </w:rPr>
              <w:t>作业里程不少于</w:t>
            </w:r>
            <w:r>
              <w:rPr>
                <w:rFonts w:hint="eastAsia" w:ascii="宋体" w:hAnsi="宋体" w:cs="宋体"/>
                <w:color w:val="auto"/>
                <w:sz w:val="21"/>
                <w:szCs w:val="21"/>
                <w:highlight w:val="none"/>
                <w:lang w:val="en-US" w:eastAsia="zh-CN"/>
              </w:rPr>
              <w:t>30</w:t>
            </w:r>
            <w:r>
              <w:rPr>
                <w:rFonts w:hint="eastAsia" w:ascii="宋体" w:hAnsi="宋体" w:eastAsia="宋体" w:cs="宋体"/>
                <w:color w:val="auto"/>
                <w:sz w:val="21"/>
                <w:szCs w:val="21"/>
                <w:highlight w:val="none"/>
                <w:lang w:val="en-US" w:eastAsia="zh-CN"/>
              </w:rPr>
              <w:t>公里/日（不超过120公里/车</w:t>
            </w:r>
            <w:r>
              <w:rPr>
                <w:rFonts w:hint="eastAsia" w:ascii="宋体" w:hAnsi="宋体" w:cs="宋体"/>
                <w:color w:val="auto"/>
                <w:sz w:val="21"/>
                <w:szCs w:val="21"/>
                <w:highlight w:val="none"/>
                <w:lang w:val="en-US" w:eastAsia="zh-CN"/>
              </w:rPr>
              <w:t>/</w:t>
            </w:r>
            <w:r>
              <w:rPr>
                <w:rFonts w:hint="eastAsia" w:ascii="宋体" w:hAnsi="宋体" w:eastAsia="宋体" w:cs="宋体"/>
                <w:color w:val="auto"/>
                <w:sz w:val="21"/>
                <w:szCs w:val="21"/>
                <w:highlight w:val="none"/>
                <w:lang w:val="en-US" w:eastAsia="zh-CN"/>
              </w:rPr>
              <w:t>日计算）</w:t>
            </w:r>
            <w:bookmarkEnd w:id="11"/>
          </w:p>
        </w:tc>
      </w:tr>
      <w:tr w14:paraId="3EB3F3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267" w:type="pct"/>
            <w:tcBorders>
              <w:top w:val="single" w:color="auto" w:sz="4" w:space="0"/>
              <w:left w:val="single" w:color="auto" w:sz="4" w:space="0"/>
              <w:bottom w:val="single" w:color="auto" w:sz="4" w:space="0"/>
              <w:right w:val="single" w:color="auto" w:sz="4" w:space="0"/>
            </w:tcBorders>
            <w:noWrap w:val="0"/>
            <w:vAlign w:val="center"/>
          </w:tcPr>
          <w:p w14:paraId="1AE60FE5">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2</w:t>
            </w:r>
          </w:p>
        </w:tc>
        <w:tc>
          <w:tcPr>
            <w:tcW w:w="2223" w:type="pct"/>
            <w:tcBorders>
              <w:top w:val="single" w:color="auto" w:sz="4" w:space="0"/>
              <w:left w:val="single" w:color="auto" w:sz="4" w:space="0"/>
              <w:bottom w:val="single" w:color="auto" w:sz="4" w:space="0"/>
              <w:right w:val="single" w:color="auto" w:sz="4" w:space="0"/>
            </w:tcBorders>
            <w:noWrap w:val="0"/>
            <w:vAlign w:val="center"/>
          </w:tcPr>
          <w:p w14:paraId="0D32AEF9">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color w:val="auto"/>
                <w:sz w:val="21"/>
                <w:szCs w:val="21"/>
                <w:highlight w:val="none"/>
                <w:lang w:val="en-US" w:eastAsia="zh-CN"/>
              </w:rPr>
              <w:t>道路洒水车</w:t>
            </w:r>
          </w:p>
        </w:tc>
        <w:tc>
          <w:tcPr>
            <w:tcW w:w="754" w:type="pct"/>
            <w:tcBorders>
              <w:top w:val="single" w:color="auto" w:sz="4" w:space="0"/>
              <w:left w:val="single" w:color="auto" w:sz="4" w:space="0"/>
              <w:bottom w:val="single" w:color="auto" w:sz="4" w:space="0"/>
              <w:right w:val="single" w:color="auto" w:sz="4" w:space="0"/>
            </w:tcBorders>
            <w:noWrap w:val="0"/>
            <w:vAlign w:val="center"/>
          </w:tcPr>
          <w:p w14:paraId="6F903782">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p>
        </w:tc>
        <w:tc>
          <w:tcPr>
            <w:tcW w:w="1754" w:type="pct"/>
            <w:tcBorders>
              <w:top w:val="single" w:color="auto" w:sz="4" w:space="0"/>
              <w:left w:val="single" w:color="auto" w:sz="4" w:space="0"/>
              <w:bottom w:val="single" w:color="auto" w:sz="4" w:space="0"/>
              <w:right w:val="single" w:color="auto" w:sz="4" w:space="0"/>
            </w:tcBorders>
            <w:noWrap w:val="0"/>
            <w:vAlign w:val="center"/>
          </w:tcPr>
          <w:p w14:paraId="4C09DFC9">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sz w:val="21"/>
                <w:szCs w:val="21"/>
                <w:highlight w:val="none"/>
                <w:lang w:val="en-US" w:eastAsia="zh-CN"/>
              </w:rPr>
            </w:pPr>
          </w:p>
        </w:tc>
      </w:tr>
      <w:tr w14:paraId="738A8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7" w:type="pct"/>
            <w:tcBorders>
              <w:top w:val="single" w:color="auto" w:sz="4" w:space="0"/>
              <w:left w:val="single" w:color="auto" w:sz="4" w:space="0"/>
              <w:bottom w:val="single" w:color="auto" w:sz="4" w:space="0"/>
              <w:right w:val="single" w:color="auto" w:sz="4" w:space="0"/>
            </w:tcBorders>
            <w:noWrap w:val="0"/>
            <w:vAlign w:val="center"/>
          </w:tcPr>
          <w:p w14:paraId="426F77CE">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3</w:t>
            </w:r>
          </w:p>
        </w:tc>
        <w:tc>
          <w:tcPr>
            <w:tcW w:w="2223" w:type="pct"/>
            <w:tcBorders>
              <w:top w:val="single" w:color="auto" w:sz="4" w:space="0"/>
              <w:left w:val="single" w:color="auto" w:sz="4" w:space="0"/>
              <w:bottom w:val="single" w:color="auto" w:sz="4" w:space="0"/>
              <w:right w:val="single" w:color="auto" w:sz="4" w:space="0"/>
            </w:tcBorders>
            <w:noWrap w:val="0"/>
            <w:vAlign w:val="center"/>
          </w:tcPr>
          <w:p w14:paraId="1DB2DBCB">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color w:val="auto"/>
                <w:sz w:val="21"/>
                <w:szCs w:val="21"/>
                <w:highlight w:val="none"/>
                <w:lang w:val="en-US" w:eastAsia="zh-CN"/>
              </w:rPr>
              <w:t>小型高压冲洗车</w:t>
            </w:r>
          </w:p>
        </w:tc>
        <w:tc>
          <w:tcPr>
            <w:tcW w:w="754" w:type="pct"/>
            <w:tcBorders>
              <w:top w:val="single" w:color="auto" w:sz="4" w:space="0"/>
              <w:left w:val="single" w:color="auto" w:sz="4" w:space="0"/>
              <w:bottom w:val="single" w:color="auto" w:sz="4" w:space="0"/>
              <w:right w:val="single" w:color="auto" w:sz="4" w:space="0"/>
            </w:tcBorders>
            <w:noWrap w:val="0"/>
            <w:vAlign w:val="center"/>
          </w:tcPr>
          <w:p w14:paraId="593798BB">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cs="宋体"/>
                <w:color w:val="auto"/>
                <w:kern w:val="2"/>
                <w:sz w:val="21"/>
                <w:szCs w:val="21"/>
                <w:highlight w:val="none"/>
                <w:lang w:val="en-US" w:eastAsia="zh-CN" w:bidi="ar-SA"/>
              </w:rPr>
              <w:t>1</w:t>
            </w:r>
          </w:p>
        </w:tc>
        <w:tc>
          <w:tcPr>
            <w:tcW w:w="1754" w:type="pct"/>
            <w:tcBorders>
              <w:top w:val="single" w:color="auto" w:sz="4" w:space="0"/>
              <w:left w:val="single" w:color="auto" w:sz="4" w:space="0"/>
              <w:bottom w:val="single" w:color="auto" w:sz="4" w:space="0"/>
              <w:right w:val="single" w:color="auto" w:sz="4" w:space="0"/>
            </w:tcBorders>
            <w:noWrap w:val="0"/>
            <w:vAlign w:val="center"/>
          </w:tcPr>
          <w:p w14:paraId="18A4EFD0">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cs="宋体"/>
                <w:color w:val="auto"/>
                <w:kern w:val="2"/>
                <w:sz w:val="21"/>
                <w:szCs w:val="21"/>
                <w:highlight w:val="none"/>
                <w:lang w:val="en-US" w:eastAsia="zh-CN" w:bidi="ar-SA"/>
              </w:rPr>
            </w:pPr>
          </w:p>
        </w:tc>
      </w:tr>
      <w:tr w14:paraId="088208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7" w:type="pct"/>
            <w:tcBorders>
              <w:top w:val="single" w:color="auto" w:sz="4" w:space="0"/>
              <w:left w:val="single" w:color="auto" w:sz="4" w:space="0"/>
              <w:bottom w:val="single" w:color="auto" w:sz="4" w:space="0"/>
              <w:right w:val="single" w:color="auto" w:sz="4" w:space="0"/>
            </w:tcBorders>
            <w:noWrap w:val="0"/>
            <w:vAlign w:val="center"/>
          </w:tcPr>
          <w:p w14:paraId="781ECE73">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4</w:t>
            </w:r>
          </w:p>
        </w:tc>
        <w:tc>
          <w:tcPr>
            <w:tcW w:w="2223" w:type="pct"/>
            <w:tcBorders>
              <w:top w:val="single" w:color="auto" w:sz="4" w:space="0"/>
              <w:left w:val="single" w:color="auto" w:sz="4" w:space="0"/>
              <w:bottom w:val="single" w:color="auto" w:sz="4" w:space="0"/>
              <w:right w:val="single" w:color="auto" w:sz="4" w:space="0"/>
            </w:tcBorders>
            <w:noWrap w:val="0"/>
            <w:vAlign w:val="center"/>
          </w:tcPr>
          <w:p w14:paraId="03E1078C">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电动三轮保洁车</w:t>
            </w:r>
          </w:p>
        </w:tc>
        <w:tc>
          <w:tcPr>
            <w:tcW w:w="754" w:type="pct"/>
            <w:tcBorders>
              <w:top w:val="single" w:color="auto" w:sz="4" w:space="0"/>
              <w:left w:val="single" w:color="auto" w:sz="4" w:space="0"/>
              <w:bottom w:val="single" w:color="auto" w:sz="4" w:space="0"/>
              <w:right w:val="single" w:color="auto" w:sz="4" w:space="0"/>
            </w:tcBorders>
            <w:noWrap w:val="0"/>
            <w:vAlign w:val="center"/>
          </w:tcPr>
          <w:p w14:paraId="2DA67E29">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default" w:ascii="宋体" w:hAnsi="宋体" w:eastAsia="宋体" w:cs="宋体"/>
                <w:b w:val="0"/>
                <w:bCs w:val="0"/>
                <w:color w:val="auto"/>
                <w:sz w:val="21"/>
                <w:szCs w:val="21"/>
                <w:highlight w:val="none"/>
                <w:lang w:val="en-US" w:eastAsia="zh-CN"/>
              </w:rPr>
            </w:pPr>
            <w:r>
              <w:rPr>
                <w:rFonts w:hint="eastAsia" w:ascii="宋体" w:hAnsi="宋体" w:cs="宋体"/>
                <w:color w:val="auto"/>
                <w:kern w:val="2"/>
                <w:sz w:val="21"/>
                <w:szCs w:val="21"/>
                <w:highlight w:val="none"/>
                <w:lang w:val="en-US" w:eastAsia="zh-CN" w:bidi="ar-SA"/>
              </w:rPr>
              <w:t>6</w:t>
            </w:r>
          </w:p>
        </w:tc>
        <w:tc>
          <w:tcPr>
            <w:tcW w:w="1754" w:type="pct"/>
            <w:tcBorders>
              <w:top w:val="single" w:color="auto" w:sz="4" w:space="0"/>
              <w:left w:val="single" w:color="auto" w:sz="4" w:space="0"/>
              <w:bottom w:val="single" w:color="auto" w:sz="4" w:space="0"/>
              <w:right w:val="single" w:color="auto" w:sz="4" w:space="0"/>
            </w:tcBorders>
            <w:noWrap w:val="0"/>
            <w:vAlign w:val="center"/>
          </w:tcPr>
          <w:p w14:paraId="333DF3FE">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cs="宋体"/>
                <w:color w:val="auto"/>
                <w:kern w:val="2"/>
                <w:sz w:val="21"/>
                <w:szCs w:val="21"/>
                <w:highlight w:val="none"/>
                <w:lang w:val="en-US" w:eastAsia="zh-CN" w:bidi="ar-SA"/>
              </w:rPr>
            </w:pPr>
          </w:p>
        </w:tc>
      </w:tr>
      <w:tr w14:paraId="1651D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7" w:type="pct"/>
            <w:tcBorders>
              <w:top w:val="single" w:color="auto" w:sz="4" w:space="0"/>
              <w:left w:val="single" w:color="auto" w:sz="4" w:space="0"/>
              <w:bottom w:val="single" w:color="auto" w:sz="4" w:space="0"/>
              <w:right w:val="single" w:color="auto" w:sz="4" w:space="0"/>
            </w:tcBorders>
            <w:noWrap w:val="0"/>
            <w:vAlign w:val="center"/>
          </w:tcPr>
          <w:p w14:paraId="64D97E9B">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5</w:t>
            </w:r>
          </w:p>
        </w:tc>
        <w:tc>
          <w:tcPr>
            <w:tcW w:w="2223" w:type="pct"/>
            <w:tcBorders>
              <w:top w:val="single" w:color="auto" w:sz="4" w:space="0"/>
              <w:left w:val="single" w:color="auto" w:sz="4" w:space="0"/>
              <w:bottom w:val="single" w:color="auto" w:sz="4" w:space="0"/>
              <w:right w:val="single" w:color="auto" w:sz="4" w:space="0"/>
            </w:tcBorders>
            <w:noWrap w:val="0"/>
            <w:vAlign w:val="center"/>
          </w:tcPr>
          <w:p w14:paraId="07F1FFB1">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电动三轮垃圾收集车</w:t>
            </w:r>
          </w:p>
        </w:tc>
        <w:tc>
          <w:tcPr>
            <w:tcW w:w="754" w:type="pct"/>
            <w:tcBorders>
              <w:top w:val="single" w:color="auto" w:sz="4" w:space="0"/>
              <w:left w:val="single" w:color="auto" w:sz="4" w:space="0"/>
              <w:bottom w:val="single" w:color="auto" w:sz="4" w:space="0"/>
              <w:right w:val="single" w:color="auto" w:sz="4" w:space="0"/>
            </w:tcBorders>
            <w:noWrap w:val="0"/>
            <w:vAlign w:val="center"/>
          </w:tcPr>
          <w:p w14:paraId="11FD426B">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p>
        </w:tc>
        <w:tc>
          <w:tcPr>
            <w:tcW w:w="1754" w:type="pct"/>
            <w:tcBorders>
              <w:top w:val="single" w:color="auto" w:sz="4" w:space="0"/>
              <w:left w:val="single" w:color="auto" w:sz="4" w:space="0"/>
              <w:bottom w:val="single" w:color="auto" w:sz="4" w:space="0"/>
              <w:right w:val="single" w:color="auto" w:sz="4" w:space="0"/>
            </w:tcBorders>
            <w:noWrap w:val="0"/>
            <w:vAlign w:val="center"/>
          </w:tcPr>
          <w:p w14:paraId="634D7005">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sz w:val="21"/>
                <w:szCs w:val="21"/>
                <w:highlight w:val="none"/>
                <w:lang w:val="en-US" w:eastAsia="zh-CN"/>
              </w:rPr>
            </w:pPr>
          </w:p>
        </w:tc>
      </w:tr>
      <w:tr w14:paraId="54D91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7" w:type="pct"/>
            <w:tcBorders>
              <w:top w:val="single" w:color="auto" w:sz="4" w:space="0"/>
              <w:left w:val="single" w:color="auto" w:sz="4" w:space="0"/>
              <w:bottom w:val="single" w:color="auto" w:sz="4" w:space="0"/>
              <w:right w:val="single" w:color="auto" w:sz="4" w:space="0"/>
            </w:tcBorders>
            <w:noWrap w:val="0"/>
            <w:vAlign w:val="center"/>
          </w:tcPr>
          <w:p w14:paraId="5672E537">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6</w:t>
            </w:r>
          </w:p>
        </w:tc>
        <w:tc>
          <w:tcPr>
            <w:tcW w:w="2223" w:type="pct"/>
            <w:tcBorders>
              <w:top w:val="single" w:color="auto" w:sz="4" w:space="0"/>
              <w:left w:val="single" w:color="auto" w:sz="4" w:space="0"/>
              <w:bottom w:val="single" w:color="auto" w:sz="4" w:space="0"/>
              <w:right w:val="single" w:color="auto" w:sz="4" w:space="0"/>
            </w:tcBorders>
            <w:noWrap w:val="0"/>
            <w:vAlign w:val="center"/>
          </w:tcPr>
          <w:p w14:paraId="2FD65FAF">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color w:val="auto"/>
                <w:sz w:val="21"/>
                <w:szCs w:val="21"/>
                <w:highlight w:val="none"/>
                <w:lang w:val="en-US" w:eastAsia="zh-CN"/>
              </w:rPr>
              <w:t>后压式垃圾运输车</w:t>
            </w:r>
          </w:p>
        </w:tc>
        <w:tc>
          <w:tcPr>
            <w:tcW w:w="754" w:type="pct"/>
            <w:tcBorders>
              <w:top w:val="single" w:color="auto" w:sz="4" w:space="0"/>
              <w:left w:val="single" w:color="auto" w:sz="4" w:space="0"/>
              <w:bottom w:val="single" w:color="auto" w:sz="4" w:space="0"/>
              <w:right w:val="single" w:color="auto" w:sz="4" w:space="0"/>
            </w:tcBorders>
            <w:noWrap w:val="0"/>
            <w:vAlign w:val="center"/>
          </w:tcPr>
          <w:p w14:paraId="6007482D">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p>
        </w:tc>
        <w:tc>
          <w:tcPr>
            <w:tcW w:w="1754" w:type="pct"/>
            <w:tcBorders>
              <w:top w:val="single" w:color="auto" w:sz="4" w:space="0"/>
              <w:left w:val="single" w:color="auto" w:sz="4" w:space="0"/>
              <w:bottom w:val="single" w:color="auto" w:sz="4" w:space="0"/>
              <w:right w:val="single" w:color="auto" w:sz="4" w:space="0"/>
            </w:tcBorders>
            <w:noWrap w:val="0"/>
            <w:vAlign w:val="center"/>
          </w:tcPr>
          <w:p w14:paraId="175B290B">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sz w:val="21"/>
                <w:szCs w:val="21"/>
                <w:highlight w:val="none"/>
                <w:lang w:val="en-US" w:eastAsia="zh-CN"/>
              </w:rPr>
            </w:pPr>
          </w:p>
        </w:tc>
      </w:tr>
      <w:tr w14:paraId="02F857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7" w:type="pct"/>
            <w:tcBorders>
              <w:top w:val="single" w:color="auto" w:sz="4" w:space="0"/>
              <w:left w:val="single" w:color="auto" w:sz="4" w:space="0"/>
              <w:bottom w:val="single" w:color="auto" w:sz="4" w:space="0"/>
              <w:right w:val="single" w:color="auto" w:sz="4" w:space="0"/>
            </w:tcBorders>
            <w:noWrap w:val="0"/>
            <w:vAlign w:val="center"/>
          </w:tcPr>
          <w:p w14:paraId="555D19A2">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7</w:t>
            </w:r>
          </w:p>
        </w:tc>
        <w:tc>
          <w:tcPr>
            <w:tcW w:w="2223" w:type="pct"/>
            <w:tcBorders>
              <w:top w:val="single" w:color="auto" w:sz="4" w:space="0"/>
              <w:left w:val="single" w:color="auto" w:sz="4" w:space="0"/>
              <w:bottom w:val="single" w:color="auto" w:sz="4" w:space="0"/>
              <w:right w:val="single" w:color="auto" w:sz="4" w:space="0"/>
            </w:tcBorders>
            <w:noWrap w:val="0"/>
            <w:vAlign w:val="center"/>
          </w:tcPr>
          <w:p w14:paraId="7A3DABEF">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color w:val="auto"/>
                <w:sz w:val="21"/>
                <w:szCs w:val="21"/>
                <w:highlight w:val="none"/>
                <w:lang w:val="en-US" w:eastAsia="zh-CN"/>
              </w:rPr>
              <w:t>平板收集车</w:t>
            </w:r>
          </w:p>
        </w:tc>
        <w:tc>
          <w:tcPr>
            <w:tcW w:w="754" w:type="pct"/>
            <w:tcBorders>
              <w:top w:val="single" w:color="auto" w:sz="4" w:space="0"/>
              <w:left w:val="single" w:color="auto" w:sz="4" w:space="0"/>
              <w:bottom w:val="single" w:color="auto" w:sz="4" w:space="0"/>
              <w:right w:val="single" w:color="auto" w:sz="4" w:space="0"/>
            </w:tcBorders>
            <w:noWrap w:val="0"/>
            <w:vAlign w:val="center"/>
          </w:tcPr>
          <w:p w14:paraId="1762E701">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p>
        </w:tc>
        <w:tc>
          <w:tcPr>
            <w:tcW w:w="1754" w:type="pct"/>
            <w:tcBorders>
              <w:top w:val="single" w:color="auto" w:sz="4" w:space="0"/>
              <w:left w:val="single" w:color="auto" w:sz="4" w:space="0"/>
              <w:bottom w:val="single" w:color="auto" w:sz="4" w:space="0"/>
              <w:right w:val="single" w:color="auto" w:sz="4" w:space="0"/>
            </w:tcBorders>
            <w:noWrap w:val="0"/>
            <w:vAlign w:val="center"/>
          </w:tcPr>
          <w:p w14:paraId="233B8AB0">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sz w:val="21"/>
                <w:szCs w:val="21"/>
                <w:highlight w:val="none"/>
                <w:lang w:val="en-US" w:eastAsia="zh-CN"/>
              </w:rPr>
            </w:pPr>
          </w:p>
        </w:tc>
      </w:tr>
      <w:tr w14:paraId="1F0C9B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7" w:type="pct"/>
            <w:tcBorders>
              <w:top w:val="single" w:color="auto" w:sz="4" w:space="0"/>
              <w:left w:val="single" w:color="auto" w:sz="4" w:space="0"/>
              <w:bottom w:val="single" w:color="auto" w:sz="4" w:space="0"/>
              <w:right w:val="single" w:color="auto" w:sz="4" w:space="0"/>
            </w:tcBorders>
            <w:noWrap w:val="0"/>
            <w:vAlign w:val="center"/>
          </w:tcPr>
          <w:p w14:paraId="78A0CB02">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8</w:t>
            </w:r>
          </w:p>
        </w:tc>
        <w:tc>
          <w:tcPr>
            <w:tcW w:w="2223" w:type="pct"/>
            <w:tcBorders>
              <w:top w:val="single" w:color="auto" w:sz="4" w:space="0"/>
              <w:left w:val="single" w:color="auto" w:sz="4" w:space="0"/>
              <w:bottom w:val="single" w:color="auto" w:sz="4" w:space="0"/>
              <w:right w:val="single" w:color="auto" w:sz="4" w:space="0"/>
            </w:tcBorders>
            <w:noWrap w:val="0"/>
            <w:vAlign w:val="center"/>
          </w:tcPr>
          <w:p w14:paraId="6CFCD59B">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color w:val="auto"/>
                <w:sz w:val="21"/>
                <w:szCs w:val="21"/>
                <w:highlight w:val="none"/>
                <w:lang w:val="en-US" w:eastAsia="zh-CN"/>
              </w:rPr>
              <w:t>手推车</w:t>
            </w:r>
          </w:p>
        </w:tc>
        <w:tc>
          <w:tcPr>
            <w:tcW w:w="754" w:type="pct"/>
            <w:tcBorders>
              <w:top w:val="single" w:color="auto" w:sz="4" w:space="0"/>
              <w:left w:val="single" w:color="auto" w:sz="4" w:space="0"/>
              <w:bottom w:val="single" w:color="auto" w:sz="4" w:space="0"/>
              <w:right w:val="single" w:color="auto" w:sz="4" w:space="0"/>
            </w:tcBorders>
            <w:noWrap w:val="0"/>
            <w:vAlign w:val="center"/>
          </w:tcPr>
          <w:p w14:paraId="2A30A44C">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default" w:ascii="宋体" w:hAnsi="宋体" w:eastAsia="宋体" w:cs="宋体"/>
                <w:b w:val="0"/>
                <w:bCs w:val="0"/>
                <w:color w:val="auto"/>
                <w:sz w:val="21"/>
                <w:szCs w:val="21"/>
                <w:highlight w:val="none"/>
                <w:lang w:val="en-US" w:eastAsia="zh-CN"/>
              </w:rPr>
            </w:pPr>
            <w:r>
              <w:rPr>
                <w:rFonts w:hint="eastAsia" w:ascii="宋体" w:hAnsi="宋体" w:eastAsia="宋体" w:cs="宋体"/>
                <w:color w:val="auto"/>
                <w:sz w:val="21"/>
                <w:szCs w:val="21"/>
                <w:highlight w:val="none"/>
                <w:lang w:val="en-US" w:eastAsia="zh-CN"/>
              </w:rPr>
              <w:t>5</w:t>
            </w:r>
          </w:p>
        </w:tc>
        <w:tc>
          <w:tcPr>
            <w:tcW w:w="1754" w:type="pct"/>
            <w:tcBorders>
              <w:top w:val="single" w:color="auto" w:sz="4" w:space="0"/>
              <w:left w:val="single" w:color="auto" w:sz="4" w:space="0"/>
              <w:bottom w:val="single" w:color="auto" w:sz="4" w:space="0"/>
              <w:right w:val="single" w:color="auto" w:sz="4" w:space="0"/>
            </w:tcBorders>
            <w:noWrap w:val="0"/>
            <w:vAlign w:val="center"/>
          </w:tcPr>
          <w:p w14:paraId="6DB4DFEE">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sz w:val="21"/>
                <w:szCs w:val="21"/>
                <w:highlight w:val="none"/>
                <w:lang w:val="en-US" w:eastAsia="zh-CN"/>
              </w:rPr>
            </w:pPr>
          </w:p>
        </w:tc>
      </w:tr>
      <w:tr w14:paraId="16594C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7" w:type="pct"/>
            <w:tcBorders>
              <w:top w:val="single" w:color="auto" w:sz="4" w:space="0"/>
              <w:left w:val="single" w:color="auto" w:sz="4" w:space="0"/>
              <w:bottom w:val="single" w:color="auto" w:sz="4" w:space="0"/>
              <w:right w:val="single" w:color="auto" w:sz="4" w:space="0"/>
            </w:tcBorders>
            <w:noWrap w:val="0"/>
            <w:vAlign w:val="center"/>
          </w:tcPr>
          <w:p w14:paraId="4F1910FF">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9</w:t>
            </w:r>
          </w:p>
        </w:tc>
        <w:tc>
          <w:tcPr>
            <w:tcW w:w="2223" w:type="pct"/>
            <w:tcBorders>
              <w:top w:val="single" w:color="auto" w:sz="4" w:space="0"/>
              <w:left w:val="single" w:color="auto" w:sz="4" w:space="0"/>
              <w:bottom w:val="single" w:color="auto" w:sz="4" w:space="0"/>
              <w:right w:val="single" w:color="auto" w:sz="4" w:space="0"/>
            </w:tcBorders>
            <w:noWrap w:val="0"/>
            <w:vAlign w:val="center"/>
          </w:tcPr>
          <w:p w14:paraId="465C539B">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color w:val="auto"/>
                <w:sz w:val="21"/>
                <w:szCs w:val="21"/>
                <w:highlight w:val="none"/>
                <w:lang w:val="en-US" w:eastAsia="zh-CN"/>
              </w:rPr>
              <w:t>打草机</w:t>
            </w:r>
          </w:p>
        </w:tc>
        <w:tc>
          <w:tcPr>
            <w:tcW w:w="754" w:type="pct"/>
            <w:tcBorders>
              <w:top w:val="single" w:color="auto" w:sz="4" w:space="0"/>
              <w:left w:val="single" w:color="auto" w:sz="4" w:space="0"/>
              <w:bottom w:val="single" w:color="auto" w:sz="4" w:space="0"/>
              <w:right w:val="single" w:color="auto" w:sz="4" w:space="0"/>
            </w:tcBorders>
            <w:noWrap w:val="0"/>
            <w:vAlign w:val="center"/>
          </w:tcPr>
          <w:p w14:paraId="0EFB86F9">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754" w:type="pct"/>
            <w:tcBorders>
              <w:top w:val="single" w:color="auto" w:sz="4" w:space="0"/>
              <w:left w:val="single" w:color="auto" w:sz="4" w:space="0"/>
              <w:bottom w:val="single" w:color="auto" w:sz="4" w:space="0"/>
              <w:right w:val="single" w:color="auto" w:sz="4" w:space="0"/>
            </w:tcBorders>
            <w:noWrap w:val="0"/>
            <w:vAlign w:val="center"/>
          </w:tcPr>
          <w:p w14:paraId="56037136">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sz w:val="21"/>
                <w:szCs w:val="21"/>
                <w:highlight w:val="none"/>
                <w:lang w:val="en-US" w:eastAsia="zh-CN"/>
              </w:rPr>
            </w:pPr>
          </w:p>
        </w:tc>
      </w:tr>
      <w:tr w14:paraId="22696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7" w:type="pct"/>
            <w:tcBorders>
              <w:top w:val="single" w:color="auto" w:sz="4" w:space="0"/>
              <w:left w:val="single" w:color="auto" w:sz="4" w:space="0"/>
              <w:bottom w:val="single" w:color="auto" w:sz="4" w:space="0"/>
              <w:right w:val="single" w:color="auto" w:sz="4" w:space="0"/>
            </w:tcBorders>
            <w:noWrap w:val="0"/>
            <w:vAlign w:val="center"/>
          </w:tcPr>
          <w:p w14:paraId="0561A30A">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10</w:t>
            </w:r>
          </w:p>
        </w:tc>
        <w:tc>
          <w:tcPr>
            <w:tcW w:w="2223" w:type="pct"/>
            <w:tcBorders>
              <w:top w:val="single" w:color="auto" w:sz="4" w:space="0"/>
              <w:left w:val="single" w:color="auto" w:sz="4" w:space="0"/>
              <w:bottom w:val="single" w:color="auto" w:sz="4" w:space="0"/>
              <w:right w:val="single" w:color="auto" w:sz="4" w:space="0"/>
            </w:tcBorders>
            <w:noWrap w:val="0"/>
            <w:vAlign w:val="center"/>
          </w:tcPr>
          <w:p w14:paraId="59067110">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电动吹风机</w:t>
            </w:r>
          </w:p>
        </w:tc>
        <w:tc>
          <w:tcPr>
            <w:tcW w:w="754" w:type="pct"/>
            <w:tcBorders>
              <w:top w:val="single" w:color="auto" w:sz="4" w:space="0"/>
              <w:left w:val="single" w:color="auto" w:sz="4" w:space="0"/>
              <w:bottom w:val="single" w:color="auto" w:sz="4" w:space="0"/>
              <w:right w:val="single" w:color="auto" w:sz="4" w:space="0"/>
            </w:tcBorders>
            <w:noWrap w:val="0"/>
            <w:vAlign w:val="center"/>
          </w:tcPr>
          <w:p w14:paraId="681B0190">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cs="宋体"/>
                <w:color w:val="auto"/>
                <w:kern w:val="2"/>
                <w:sz w:val="21"/>
                <w:szCs w:val="21"/>
                <w:highlight w:val="none"/>
                <w:lang w:val="en-US" w:eastAsia="zh-CN" w:bidi="ar-SA"/>
              </w:rPr>
              <w:t>5</w:t>
            </w:r>
          </w:p>
        </w:tc>
        <w:tc>
          <w:tcPr>
            <w:tcW w:w="1754" w:type="pct"/>
            <w:tcBorders>
              <w:top w:val="single" w:color="auto" w:sz="4" w:space="0"/>
              <w:left w:val="single" w:color="auto" w:sz="4" w:space="0"/>
              <w:bottom w:val="single" w:color="auto" w:sz="4" w:space="0"/>
              <w:right w:val="single" w:color="auto" w:sz="4" w:space="0"/>
            </w:tcBorders>
            <w:noWrap w:val="0"/>
            <w:vAlign w:val="center"/>
          </w:tcPr>
          <w:p w14:paraId="54F92CBC">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cs="宋体"/>
                <w:color w:val="auto"/>
                <w:kern w:val="2"/>
                <w:sz w:val="21"/>
                <w:szCs w:val="21"/>
                <w:highlight w:val="none"/>
                <w:lang w:val="en-US" w:eastAsia="zh-CN" w:bidi="ar-SA"/>
              </w:rPr>
            </w:pPr>
          </w:p>
        </w:tc>
      </w:tr>
      <w:tr w14:paraId="09EDE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67" w:type="pct"/>
            <w:tcBorders>
              <w:top w:val="single" w:color="auto" w:sz="4" w:space="0"/>
              <w:left w:val="single" w:color="auto" w:sz="4" w:space="0"/>
              <w:bottom w:val="single" w:color="auto" w:sz="4" w:space="0"/>
              <w:right w:val="single" w:color="auto" w:sz="4" w:space="0"/>
            </w:tcBorders>
            <w:noWrap w:val="0"/>
            <w:vAlign w:val="center"/>
          </w:tcPr>
          <w:p w14:paraId="00EDBDBE">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11</w:t>
            </w:r>
          </w:p>
        </w:tc>
        <w:tc>
          <w:tcPr>
            <w:tcW w:w="2223" w:type="pct"/>
            <w:tcBorders>
              <w:top w:val="single" w:color="auto" w:sz="4" w:space="0"/>
              <w:left w:val="single" w:color="auto" w:sz="4" w:space="0"/>
              <w:bottom w:val="single" w:color="auto" w:sz="4" w:space="0"/>
              <w:right w:val="single" w:color="auto" w:sz="4" w:space="0"/>
            </w:tcBorders>
            <w:noWrap w:val="0"/>
            <w:vAlign w:val="center"/>
          </w:tcPr>
          <w:p w14:paraId="0F926B4D">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color w:val="auto"/>
                <w:sz w:val="21"/>
                <w:szCs w:val="21"/>
                <w:highlight w:val="none"/>
                <w:lang w:val="en-US" w:eastAsia="zh-CN"/>
              </w:rPr>
              <w:t>反光工衣、手套、雨衣、铁铲、铁锹、马路扫、竹扫、塑料扫、垃圾斗、锄头等</w:t>
            </w:r>
          </w:p>
        </w:tc>
        <w:tc>
          <w:tcPr>
            <w:tcW w:w="754" w:type="pct"/>
            <w:tcBorders>
              <w:top w:val="single" w:color="auto" w:sz="4" w:space="0"/>
              <w:left w:val="single" w:color="auto" w:sz="4" w:space="0"/>
              <w:bottom w:val="single" w:color="auto" w:sz="4" w:space="0"/>
              <w:right w:val="single" w:color="auto" w:sz="4" w:space="0"/>
            </w:tcBorders>
            <w:noWrap w:val="0"/>
            <w:vAlign w:val="center"/>
          </w:tcPr>
          <w:p w14:paraId="4ED74FE5">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足量</w:t>
            </w:r>
          </w:p>
        </w:tc>
        <w:tc>
          <w:tcPr>
            <w:tcW w:w="1754" w:type="pct"/>
            <w:tcBorders>
              <w:top w:val="single" w:color="auto" w:sz="4" w:space="0"/>
              <w:left w:val="single" w:color="auto" w:sz="4" w:space="0"/>
              <w:bottom w:val="single" w:color="auto" w:sz="4" w:space="0"/>
              <w:right w:val="single" w:color="auto" w:sz="4" w:space="0"/>
            </w:tcBorders>
            <w:noWrap w:val="0"/>
            <w:vAlign w:val="center"/>
          </w:tcPr>
          <w:p w14:paraId="0DC30A06">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sz w:val="21"/>
                <w:szCs w:val="21"/>
                <w:highlight w:val="none"/>
                <w:lang w:val="en-US" w:eastAsia="zh-CN"/>
              </w:rPr>
            </w:pPr>
          </w:p>
        </w:tc>
      </w:tr>
    </w:tbl>
    <w:p w14:paraId="3F6430A5">
      <w:pPr>
        <w:keepNext w:val="0"/>
        <w:keepLines w:val="0"/>
        <w:pageBreakBefore w:val="0"/>
        <w:widowControl w:val="0"/>
        <w:numPr>
          <w:ilvl w:val="0"/>
          <w:numId w:val="40"/>
        </w:numPr>
        <w:kinsoku/>
        <w:wordWrap/>
        <w:overflowPunct/>
        <w:topLinePunct w:val="0"/>
        <w:autoSpaceDE/>
        <w:autoSpaceDN/>
        <w:bidi w:val="0"/>
        <w:adjustRightInd/>
        <w:snapToGrid w:val="0"/>
        <w:spacing w:before="437" w:beforeLines="100" w:line="360" w:lineRule="auto"/>
        <w:ind w:left="425" w:leftChars="0" w:hanging="425" w:firstLineChars="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kern w:val="2"/>
          <w:sz w:val="21"/>
          <w:szCs w:val="21"/>
          <w:highlight w:val="none"/>
          <w:lang w:val="en-US" w:eastAsia="zh-CN" w:bidi="ar-SA"/>
        </w:rPr>
        <w:t>以上设备为投标人在投标文件中承诺为本项目投入的设备，本项目须投入设备数量不少于以上清单，如遇相关设备不足的情况，</w:t>
      </w:r>
      <w:r>
        <w:rPr>
          <w:rFonts w:hint="eastAsia" w:ascii="宋体" w:hAnsi="宋体" w:eastAsia="宋体" w:cs="宋体"/>
          <w:b w:val="0"/>
          <w:bCs w:val="0"/>
          <w:color w:val="auto"/>
          <w:sz w:val="21"/>
          <w:szCs w:val="21"/>
          <w:highlight w:val="none"/>
          <w:lang w:val="en-US" w:eastAsia="zh-CN"/>
        </w:rPr>
        <w:t>采购人</w:t>
      </w:r>
      <w:r>
        <w:rPr>
          <w:rFonts w:hint="eastAsia" w:ascii="宋体" w:hAnsi="宋体" w:eastAsia="宋体" w:cs="宋体"/>
          <w:b w:val="0"/>
          <w:bCs w:val="0"/>
          <w:color w:val="auto"/>
          <w:kern w:val="2"/>
          <w:sz w:val="21"/>
          <w:szCs w:val="21"/>
          <w:highlight w:val="none"/>
          <w:lang w:val="en-US" w:eastAsia="zh-CN" w:bidi="ar-SA"/>
        </w:rPr>
        <w:t>有权根据实际所需要求</w:t>
      </w:r>
      <w:r>
        <w:rPr>
          <w:rFonts w:hint="eastAsia" w:ascii="宋体" w:hAnsi="宋体" w:eastAsia="宋体" w:cs="宋体"/>
          <w:b w:val="0"/>
          <w:bCs w:val="0"/>
          <w:color w:val="auto"/>
          <w:sz w:val="21"/>
          <w:szCs w:val="21"/>
          <w:highlight w:val="none"/>
          <w:lang w:eastAsia="zh-CN"/>
        </w:rPr>
        <w:t>中标人</w:t>
      </w:r>
      <w:r>
        <w:rPr>
          <w:rFonts w:hint="eastAsia" w:ascii="宋体" w:hAnsi="宋体" w:eastAsia="宋体" w:cs="宋体"/>
          <w:b w:val="0"/>
          <w:bCs w:val="0"/>
          <w:color w:val="auto"/>
          <w:kern w:val="2"/>
          <w:sz w:val="21"/>
          <w:szCs w:val="21"/>
          <w:highlight w:val="none"/>
          <w:lang w:val="en-US" w:eastAsia="zh-CN" w:bidi="ar-SA"/>
        </w:rPr>
        <w:t>增加，</w:t>
      </w:r>
      <w:r>
        <w:rPr>
          <w:rFonts w:hint="eastAsia" w:ascii="宋体" w:hAnsi="宋体" w:eastAsia="宋体" w:cs="宋体"/>
          <w:b w:val="0"/>
          <w:bCs w:val="0"/>
          <w:color w:val="auto"/>
          <w:sz w:val="21"/>
          <w:szCs w:val="21"/>
          <w:highlight w:val="none"/>
          <w:lang w:eastAsia="zh-CN"/>
        </w:rPr>
        <w:t>中标人</w:t>
      </w:r>
      <w:r>
        <w:rPr>
          <w:rFonts w:hint="eastAsia" w:ascii="宋体" w:hAnsi="宋体" w:eastAsia="宋体" w:cs="宋体"/>
          <w:b w:val="0"/>
          <w:bCs w:val="0"/>
          <w:color w:val="auto"/>
          <w:kern w:val="2"/>
          <w:sz w:val="21"/>
          <w:szCs w:val="21"/>
          <w:highlight w:val="none"/>
          <w:lang w:val="en-US" w:eastAsia="zh-CN" w:bidi="ar-SA"/>
        </w:rPr>
        <w:t>投入的机械设备在合同签订后20天内配备完成并须经</w:t>
      </w:r>
      <w:r>
        <w:rPr>
          <w:rFonts w:hint="eastAsia" w:ascii="宋体" w:hAnsi="宋体" w:eastAsia="宋体" w:cs="宋体"/>
          <w:b w:val="0"/>
          <w:bCs w:val="0"/>
          <w:color w:val="auto"/>
          <w:sz w:val="21"/>
          <w:szCs w:val="21"/>
          <w:highlight w:val="none"/>
          <w:lang w:val="en-US" w:eastAsia="zh-CN"/>
        </w:rPr>
        <w:t>采购人</w:t>
      </w:r>
      <w:r>
        <w:rPr>
          <w:rFonts w:hint="eastAsia" w:ascii="宋体" w:hAnsi="宋体" w:eastAsia="宋体" w:cs="宋体"/>
          <w:b w:val="0"/>
          <w:bCs w:val="0"/>
          <w:color w:val="auto"/>
          <w:kern w:val="2"/>
          <w:sz w:val="21"/>
          <w:szCs w:val="21"/>
          <w:highlight w:val="none"/>
          <w:lang w:val="en-US" w:eastAsia="zh-CN" w:bidi="ar-SA"/>
        </w:rPr>
        <w:t>验收认定。</w:t>
      </w:r>
    </w:p>
    <w:p w14:paraId="7D8586F3">
      <w:pPr>
        <w:pStyle w:val="6"/>
        <w:keepNext w:val="0"/>
        <w:keepLines w:val="0"/>
        <w:pageBreakBefore w:val="0"/>
        <w:numPr>
          <w:ilvl w:val="0"/>
          <w:numId w:val="17"/>
        </w:numPr>
        <w:kinsoku/>
        <w:wordWrap/>
        <w:overflowPunct/>
        <w:topLinePunct w:val="0"/>
        <w:autoSpaceDE/>
        <w:autoSpaceDN/>
        <w:bidi w:val="0"/>
        <w:adjustRightInd/>
        <w:snapToGrid w:val="0"/>
        <w:spacing w:after="0" w:line="360" w:lineRule="auto"/>
        <w:ind w:left="425" w:leftChars="0" w:hanging="425" w:firstLineChars="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人员配置要求</w:t>
      </w:r>
    </w:p>
    <w:tbl>
      <w:tblPr>
        <w:tblStyle w:val="14"/>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6"/>
        <w:gridCol w:w="1886"/>
        <w:gridCol w:w="2059"/>
        <w:gridCol w:w="4218"/>
      </w:tblGrid>
      <w:tr w14:paraId="11255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601" w:type="pct"/>
            <w:tcBorders>
              <w:top w:val="single" w:color="auto" w:sz="4" w:space="0"/>
              <w:left w:val="single" w:color="auto" w:sz="4" w:space="0"/>
              <w:bottom w:val="single" w:color="auto" w:sz="4" w:space="0"/>
              <w:right w:val="single" w:color="auto" w:sz="4" w:space="0"/>
            </w:tcBorders>
            <w:noWrap w:val="0"/>
            <w:vAlign w:val="center"/>
          </w:tcPr>
          <w:p w14:paraId="6219C02C">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序号</w:t>
            </w:r>
          </w:p>
        </w:tc>
        <w:tc>
          <w:tcPr>
            <w:tcW w:w="1016" w:type="pct"/>
            <w:tcBorders>
              <w:top w:val="single" w:color="auto" w:sz="4" w:space="0"/>
              <w:left w:val="single" w:color="auto" w:sz="4" w:space="0"/>
              <w:bottom w:val="single" w:color="auto" w:sz="4" w:space="0"/>
              <w:right w:val="single" w:color="auto" w:sz="4" w:space="0"/>
            </w:tcBorders>
            <w:noWrap w:val="0"/>
            <w:vAlign w:val="center"/>
          </w:tcPr>
          <w:p w14:paraId="3CE09389">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人员种类</w:t>
            </w:r>
          </w:p>
        </w:tc>
        <w:tc>
          <w:tcPr>
            <w:tcW w:w="1109" w:type="pct"/>
            <w:tcBorders>
              <w:top w:val="single" w:color="auto" w:sz="4" w:space="0"/>
              <w:left w:val="single" w:color="auto" w:sz="4" w:space="0"/>
              <w:bottom w:val="single" w:color="auto" w:sz="4" w:space="0"/>
              <w:right w:val="single" w:color="auto" w:sz="4" w:space="0"/>
            </w:tcBorders>
            <w:noWrap w:val="0"/>
            <w:vAlign w:val="center"/>
          </w:tcPr>
          <w:p w14:paraId="5D9AD410">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数量（人）</w:t>
            </w:r>
          </w:p>
        </w:tc>
        <w:tc>
          <w:tcPr>
            <w:tcW w:w="2272" w:type="pct"/>
            <w:tcBorders>
              <w:top w:val="single" w:color="auto" w:sz="4" w:space="0"/>
              <w:left w:val="single" w:color="auto" w:sz="4" w:space="0"/>
              <w:bottom w:val="single" w:color="auto" w:sz="4" w:space="0"/>
              <w:right w:val="single" w:color="auto" w:sz="4" w:space="0"/>
            </w:tcBorders>
            <w:noWrap w:val="0"/>
            <w:vAlign w:val="center"/>
          </w:tcPr>
          <w:p w14:paraId="3BF7A8BF">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cs="宋体"/>
                <w:b w:val="0"/>
                <w:bCs w:val="0"/>
                <w:color w:val="auto"/>
                <w:kern w:val="2"/>
                <w:sz w:val="21"/>
                <w:szCs w:val="21"/>
                <w:highlight w:val="none"/>
                <w:lang w:val="en-US" w:eastAsia="zh-CN" w:bidi="ar-SA"/>
              </w:rPr>
              <w:t>工作</w:t>
            </w:r>
            <w:r>
              <w:rPr>
                <w:rFonts w:hint="eastAsia" w:ascii="宋体" w:hAnsi="宋体" w:eastAsia="宋体" w:cs="宋体"/>
                <w:b w:val="0"/>
                <w:bCs w:val="0"/>
                <w:color w:val="auto"/>
                <w:kern w:val="2"/>
                <w:sz w:val="21"/>
                <w:szCs w:val="21"/>
                <w:highlight w:val="none"/>
                <w:lang w:val="en-US" w:eastAsia="zh-CN" w:bidi="ar-SA"/>
              </w:rPr>
              <w:t>要求</w:t>
            </w:r>
          </w:p>
        </w:tc>
      </w:tr>
      <w:tr w14:paraId="7883F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601" w:type="pct"/>
            <w:tcBorders>
              <w:top w:val="single" w:color="auto" w:sz="4" w:space="0"/>
              <w:left w:val="single" w:color="auto" w:sz="4" w:space="0"/>
              <w:bottom w:val="single" w:color="auto" w:sz="4" w:space="0"/>
              <w:right w:val="single" w:color="auto" w:sz="4" w:space="0"/>
            </w:tcBorders>
            <w:noWrap w:val="0"/>
            <w:vAlign w:val="center"/>
          </w:tcPr>
          <w:p w14:paraId="678FECED">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1</w:t>
            </w:r>
          </w:p>
        </w:tc>
        <w:tc>
          <w:tcPr>
            <w:tcW w:w="1016" w:type="pct"/>
            <w:tcBorders>
              <w:top w:val="single" w:color="auto" w:sz="4" w:space="0"/>
              <w:left w:val="single" w:color="auto" w:sz="4" w:space="0"/>
              <w:bottom w:val="single" w:color="auto" w:sz="4" w:space="0"/>
              <w:right w:val="single" w:color="auto" w:sz="4" w:space="0"/>
            </w:tcBorders>
            <w:noWrap w:val="0"/>
            <w:vAlign w:val="center"/>
          </w:tcPr>
          <w:p w14:paraId="54038E38">
            <w:pPr>
              <w:pStyle w:val="6"/>
              <w:keepNext w:val="0"/>
              <w:keepLines w:val="0"/>
              <w:pageBreakBefore w:val="0"/>
              <w:widowControl w:val="0"/>
              <w:kinsoku/>
              <w:wordWrap/>
              <w:overflowPunct/>
              <w:topLinePunct w:val="0"/>
              <w:autoSpaceDE/>
              <w:autoSpaceDN/>
              <w:bidi w:val="0"/>
              <w:adjustRightInd/>
              <w:snapToGrid w:val="0"/>
              <w:spacing w:after="0" w:line="440" w:lineRule="exact"/>
              <w:ind w:left="0" w:leftChars="0" w:firstLine="0" w:firstLineChars="0"/>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项目经理</w:t>
            </w:r>
          </w:p>
        </w:tc>
        <w:tc>
          <w:tcPr>
            <w:tcW w:w="1109" w:type="pct"/>
            <w:tcBorders>
              <w:top w:val="single" w:color="auto" w:sz="4" w:space="0"/>
              <w:left w:val="single" w:color="auto" w:sz="4" w:space="0"/>
              <w:bottom w:val="single" w:color="auto" w:sz="4" w:space="0"/>
              <w:right w:val="single" w:color="auto" w:sz="4" w:space="0"/>
            </w:tcBorders>
            <w:noWrap w:val="0"/>
            <w:vAlign w:val="center"/>
          </w:tcPr>
          <w:p w14:paraId="00B089B9">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1</w:t>
            </w:r>
          </w:p>
        </w:tc>
        <w:tc>
          <w:tcPr>
            <w:tcW w:w="2272" w:type="pct"/>
            <w:tcBorders>
              <w:top w:val="single" w:color="auto" w:sz="4" w:space="0"/>
              <w:left w:val="single" w:color="auto" w:sz="4" w:space="0"/>
              <w:bottom w:val="single" w:color="auto" w:sz="4" w:space="0"/>
              <w:right w:val="single" w:color="auto" w:sz="4" w:space="0"/>
            </w:tcBorders>
            <w:noWrap w:val="0"/>
            <w:vAlign w:val="center"/>
          </w:tcPr>
          <w:p w14:paraId="6A6CF9A1">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kern w:val="2"/>
                <w:sz w:val="21"/>
                <w:szCs w:val="21"/>
                <w:highlight w:val="none"/>
                <w:lang w:val="en-US" w:eastAsia="zh-CN" w:bidi="ar-SA"/>
              </w:rPr>
            </w:pPr>
          </w:p>
        </w:tc>
      </w:tr>
      <w:tr w14:paraId="5F3BF1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01" w:type="pct"/>
            <w:tcBorders>
              <w:top w:val="single" w:color="auto" w:sz="4" w:space="0"/>
              <w:left w:val="single" w:color="auto" w:sz="4" w:space="0"/>
              <w:bottom w:val="single" w:color="auto" w:sz="4" w:space="0"/>
              <w:right w:val="single" w:color="auto" w:sz="4" w:space="0"/>
            </w:tcBorders>
            <w:noWrap w:val="0"/>
            <w:vAlign w:val="center"/>
          </w:tcPr>
          <w:p w14:paraId="0787D45B">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2</w:t>
            </w:r>
          </w:p>
        </w:tc>
        <w:tc>
          <w:tcPr>
            <w:tcW w:w="1016" w:type="pct"/>
            <w:tcBorders>
              <w:top w:val="single" w:color="auto" w:sz="4" w:space="0"/>
              <w:left w:val="single" w:color="auto" w:sz="4" w:space="0"/>
              <w:bottom w:val="single" w:color="auto" w:sz="4" w:space="0"/>
              <w:right w:val="single" w:color="auto" w:sz="4" w:space="0"/>
            </w:tcBorders>
            <w:noWrap w:val="0"/>
            <w:vAlign w:val="center"/>
          </w:tcPr>
          <w:p w14:paraId="6E100973">
            <w:pPr>
              <w:pStyle w:val="6"/>
              <w:keepNext w:val="0"/>
              <w:keepLines w:val="0"/>
              <w:pageBreakBefore w:val="0"/>
              <w:widowControl w:val="0"/>
              <w:kinsoku/>
              <w:wordWrap/>
              <w:overflowPunct/>
              <w:topLinePunct w:val="0"/>
              <w:autoSpaceDE/>
              <w:autoSpaceDN/>
              <w:bidi w:val="0"/>
              <w:adjustRightInd/>
              <w:snapToGrid w:val="0"/>
              <w:spacing w:after="0" w:line="440" w:lineRule="exact"/>
              <w:ind w:left="0" w:leftChars="0" w:firstLine="0" w:firstLineChars="0"/>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主管</w:t>
            </w:r>
          </w:p>
        </w:tc>
        <w:tc>
          <w:tcPr>
            <w:tcW w:w="1109" w:type="pct"/>
            <w:tcBorders>
              <w:top w:val="single" w:color="auto" w:sz="4" w:space="0"/>
              <w:left w:val="single" w:color="auto" w:sz="4" w:space="0"/>
              <w:bottom w:val="single" w:color="auto" w:sz="4" w:space="0"/>
              <w:right w:val="single" w:color="auto" w:sz="4" w:space="0"/>
            </w:tcBorders>
            <w:noWrap w:val="0"/>
            <w:vAlign w:val="center"/>
          </w:tcPr>
          <w:p w14:paraId="3AAB10C1">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1</w:t>
            </w:r>
          </w:p>
        </w:tc>
        <w:tc>
          <w:tcPr>
            <w:tcW w:w="2272" w:type="pct"/>
            <w:tcBorders>
              <w:top w:val="single" w:color="auto" w:sz="4" w:space="0"/>
              <w:left w:val="single" w:color="auto" w:sz="4" w:space="0"/>
              <w:bottom w:val="single" w:color="auto" w:sz="4" w:space="0"/>
              <w:right w:val="single" w:color="auto" w:sz="4" w:space="0"/>
            </w:tcBorders>
            <w:noWrap w:val="0"/>
            <w:vAlign w:val="center"/>
          </w:tcPr>
          <w:p w14:paraId="42A443E2">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kern w:val="2"/>
                <w:sz w:val="21"/>
                <w:szCs w:val="21"/>
                <w:highlight w:val="none"/>
                <w:lang w:val="en-US" w:eastAsia="zh-CN" w:bidi="ar-SA"/>
              </w:rPr>
            </w:pPr>
          </w:p>
        </w:tc>
      </w:tr>
      <w:tr w14:paraId="00BEF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601" w:type="pct"/>
            <w:tcBorders>
              <w:top w:val="single" w:color="auto" w:sz="4" w:space="0"/>
              <w:left w:val="single" w:color="auto" w:sz="4" w:space="0"/>
              <w:right w:val="single" w:color="auto" w:sz="4" w:space="0"/>
            </w:tcBorders>
            <w:noWrap w:val="0"/>
            <w:vAlign w:val="center"/>
          </w:tcPr>
          <w:p w14:paraId="2681577A">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3</w:t>
            </w:r>
          </w:p>
        </w:tc>
        <w:tc>
          <w:tcPr>
            <w:tcW w:w="1016" w:type="pct"/>
            <w:tcBorders>
              <w:top w:val="single" w:color="auto" w:sz="4" w:space="0"/>
              <w:left w:val="single" w:color="auto" w:sz="4" w:space="0"/>
              <w:right w:val="single" w:color="auto" w:sz="4" w:space="0"/>
            </w:tcBorders>
            <w:noWrap w:val="0"/>
            <w:vAlign w:val="center"/>
          </w:tcPr>
          <w:p w14:paraId="73370E81">
            <w:pPr>
              <w:pStyle w:val="6"/>
              <w:keepNext w:val="0"/>
              <w:keepLines w:val="0"/>
              <w:pageBreakBefore w:val="0"/>
              <w:widowControl w:val="0"/>
              <w:kinsoku/>
              <w:wordWrap/>
              <w:overflowPunct/>
              <w:topLinePunct w:val="0"/>
              <w:autoSpaceDE/>
              <w:autoSpaceDN/>
              <w:bidi w:val="0"/>
              <w:adjustRightInd/>
              <w:snapToGrid w:val="0"/>
              <w:spacing w:after="0" w:line="440" w:lineRule="exact"/>
              <w:ind w:left="0" w:leftChars="0" w:firstLine="0" w:firstLineChars="0"/>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普扫工</w:t>
            </w:r>
          </w:p>
        </w:tc>
        <w:tc>
          <w:tcPr>
            <w:tcW w:w="1109" w:type="pct"/>
            <w:tcBorders>
              <w:top w:val="single" w:color="auto" w:sz="4" w:space="0"/>
              <w:left w:val="single" w:color="auto" w:sz="4" w:space="0"/>
              <w:bottom w:val="single" w:color="auto" w:sz="4" w:space="0"/>
              <w:right w:val="single" w:color="auto" w:sz="4" w:space="0"/>
            </w:tcBorders>
            <w:noWrap w:val="0"/>
            <w:vAlign w:val="center"/>
          </w:tcPr>
          <w:p w14:paraId="51AC8409">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default" w:ascii="宋体" w:hAnsi="宋体" w:eastAsia="宋体" w:cs="宋体"/>
                <w:b w:val="0"/>
                <w:bCs w:val="0"/>
                <w:color w:val="auto"/>
                <w:kern w:val="2"/>
                <w:sz w:val="21"/>
                <w:szCs w:val="21"/>
                <w:highlight w:val="none"/>
                <w:lang w:val="en-US" w:eastAsia="zh-CN" w:bidi="ar-SA"/>
              </w:rPr>
            </w:pPr>
            <w:r>
              <w:rPr>
                <w:rFonts w:hint="eastAsia" w:ascii="宋体" w:hAnsi="宋体" w:cs="宋体"/>
                <w:b w:val="0"/>
                <w:bCs w:val="0"/>
                <w:color w:val="auto"/>
                <w:kern w:val="2"/>
                <w:sz w:val="21"/>
                <w:szCs w:val="21"/>
                <w:highlight w:val="none"/>
                <w:lang w:val="en-US" w:eastAsia="zh-CN" w:bidi="ar-SA"/>
              </w:rPr>
              <w:t>13</w:t>
            </w:r>
          </w:p>
        </w:tc>
        <w:tc>
          <w:tcPr>
            <w:tcW w:w="2272" w:type="pct"/>
            <w:tcBorders>
              <w:top w:val="single" w:color="auto" w:sz="4" w:space="0"/>
              <w:left w:val="single" w:color="auto" w:sz="4" w:space="0"/>
              <w:bottom w:val="single" w:color="auto" w:sz="4" w:space="0"/>
              <w:right w:val="single" w:color="auto" w:sz="4" w:space="0"/>
            </w:tcBorders>
            <w:noWrap w:val="0"/>
            <w:vAlign w:val="center"/>
          </w:tcPr>
          <w:p w14:paraId="4F07EB45">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9工时/人/日</w:t>
            </w:r>
          </w:p>
        </w:tc>
      </w:tr>
      <w:tr w14:paraId="1A5A28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601" w:type="pct"/>
            <w:tcBorders>
              <w:top w:val="single" w:color="auto" w:sz="4" w:space="0"/>
              <w:left w:val="single" w:color="auto" w:sz="4" w:space="0"/>
              <w:bottom w:val="single" w:color="auto" w:sz="4" w:space="0"/>
              <w:right w:val="single" w:color="auto" w:sz="4" w:space="0"/>
            </w:tcBorders>
            <w:noWrap w:val="0"/>
            <w:vAlign w:val="center"/>
          </w:tcPr>
          <w:p w14:paraId="428FAD10">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4</w:t>
            </w:r>
          </w:p>
        </w:tc>
        <w:tc>
          <w:tcPr>
            <w:tcW w:w="1016" w:type="pct"/>
            <w:tcBorders>
              <w:top w:val="single" w:color="auto" w:sz="4" w:space="0"/>
              <w:left w:val="single" w:color="auto" w:sz="4" w:space="0"/>
              <w:bottom w:val="single" w:color="auto" w:sz="4" w:space="0"/>
              <w:right w:val="single" w:color="auto" w:sz="4" w:space="0"/>
            </w:tcBorders>
            <w:noWrap w:val="0"/>
            <w:vAlign w:val="center"/>
          </w:tcPr>
          <w:p w14:paraId="6347217D">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保洁工</w:t>
            </w:r>
          </w:p>
        </w:tc>
        <w:tc>
          <w:tcPr>
            <w:tcW w:w="1109" w:type="pct"/>
            <w:tcBorders>
              <w:top w:val="single" w:color="auto" w:sz="4" w:space="0"/>
              <w:left w:val="single" w:color="auto" w:sz="4" w:space="0"/>
              <w:bottom w:val="single" w:color="auto" w:sz="4" w:space="0"/>
              <w:right w:val="single" w:color="auto" w:sz="4" w:space="0"/>
            </w:tcBorders>
            <w:noWrap w:val="0"/>
            <w:vAlign w:val="center"/>
          </w:tcPr>
          <w:p w14:paraId="1161211E">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cs="宋体"/>
                <w:b w:val="0"/>
                <w:bCs w:val="0"/>
                <w:color w:val="auto"/>
                <w:kern w:val="2"/>
                <w:sz w:val="21"/>
                <w:szCs w:val="21"/>
                <w:highlight w:val="none"/>
                <w:lang w:val="en-US" w:eastAsia="zh-CN" w:bidi="ar-SA"/>
              </w:rPr>
              <w:t>4</w:t>
            </w:r>
          </w:p>
        </w:tc>
        <w:tc>
          <w:tcPr>
            <w:tcW w:w="2272" w:type="pct"/>
            <w:tcBorders>
              <w:top w:val="single" w:color="auto" w:sz="4" w:space="0"/>
              <w:left w:val="single" w:color="auto" w:sz="4" w:space="0"/>
              <w:bottom w:val="single" w:color="auto" w:sz="4" w:space="0"/>
              <w:right w:val="single" w:color="auto" w:sz="4" w:space="0"/>
            </w:tcBorders>
            <w:noWrap w:val="0"/>
            <w:vAlign w:val="center"/>
          </w:tcPr>
          <w:p w14:paraId="04955846">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9工时/人/日</w:t>
            </w:r>
          </w:p>
        </w:tc>
      </w:tr>
      <w:tr w14:paraId="709B5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601" w:type="pct"/>
            <w:tcBorders>
              <w:top w:val="single" w:color="auto" w:sz="4" w:space="0"/>
              <w:left w:val="single" w:color="auto" w:sz="4" w:space="0"/>
              <w:bottom w:val="single" w:color="auto" w:sz="4" w:space="0"/>
              <w:right w:val="single" w:color="auto" w:sz="4" w:space="0"/>
            </w:tcBorders>
            <w:noWrap w:val="0"/>
            <w:vAlign w:val="center"/>
          </w:tcPr>
          <w:p w14:paraId="232A3B22">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5</w:t>
            </w:r>
          </w:p>
        </w:tc>
        <w:tc>
          <w:tcPr>
            <w:tcW w:w="1016" w:type="pct"/>
            <w:tcBorders>
              <w:top w:val="single" w:color="auto" w:sz="4" w:space="0"/>
              <w:left w:val="single" w:color="auto" w:sz="4" w:space="0"/>
              <w:bottom w:val="single" w:color="auto" w:sz="4" w:space="0"/>
              <w:right w:val="single" w:color="auto" w:sz="4" w:space="0"/>
            </w:tcBorders>
            <w:noWrap w:val="0"/>
            <w:vAlign w:val="center"/>
          </w:tcPr>
          <w:p w14:paraId="6A2C9816">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司机</w:t>
            </w:r>
          </w:p>
        </w:tc>
        <w:tc>
          <w:tcPr>
            <w:tcW w:w="1109" w:type="pct"/>
            <w:tcBorders>
              <w:top w:val="single" w:color="auto" w:sz="4" w:space="0"/>
              <w:left w:val="single" w:color="auto" w:sz="4" w:space="0"/>
              <w:bottom w:val="single" w:color="auto" w:sz="4" w:space="0"/>
              <w:right w:val="single" w:color="auto" w:sz="4" w:space="0"/>
            </w:tcBorders>
            <w:noWrap w:val="0"/>
            <w:vAlign w:val="center"/>
          </w:tcPr>
          <w:p w14:paraId="1093A0C3">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2</w:t>
            </w:r>
          </w:p>
        </w:tc>
        <w:tc>
          <w:tcPr>
            <w:tcW w:w="2272" w:type="pct"/>
            <w:tcBorders>
              <w:top w:val="single" w:color="auto" w:sz="4" w:space="0"/>
              <w:left w:val="single" w:color="auto" w:sz="4" w:space="0"/>
              <w:bottom w:val="single" w:color="auto" w:sz="4" w:space="0"/>
              <w:right w:val="single" w:color="auto" w:sz="4" w:space="0"/>
            </w:tcBorders>
            <w:noWrap w:val="0"/>
            <w:vAlign w:val="center"/>
          </w:tcPr>
          <w:p w14:paraId="2E4AF0D2">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lang w:val="en-US" w:eastAsia="zh-CN"/>
              </w:rPr>
              <w:t>道路小型扫路车</w:t>
            </w:r>
            <w:r>
              <w:rPr>
                <w:rFonts w:hint="eastAsia" w:ascii="宋体" w:hAnsi="宋体" w:cs="宋体"/>
                <w:b w:val="0"/>
                <w:bCs w:val="0"/>
                <w:color w:val="auto"/>
                <w:sz w:val="21"/>
                <w:szCs w:val="21"/>
                <w:highlight w:val="none"/>
                <w:lang w:val="en-US" w:eastAsia="zh-CN"/>
              </w:rPr>
              <w:t>须配备1人、</w:t>
            </w:r>
            <w:r>
              <w:rPr>
                <w:rFonts w:hint="eastAsia" w:ascii="宋体" w:hAnsi="宋体" w:eastAsia="宋体" w:cs="宋体"/>
                <w:b w:val="0"/>
                <w:bCs w:val="0"/>
                <w:color w:val="auto"/>
                <w:sz w:val="21"/>
                <w:szCs w:val="21"/>
                <w:highlight w:val="none"/>
                <w:lang w:val="en-US" w:eastAsia="zh-CN"/>
              </w:rPr>
              <w:t>道路洒水车</w:t>
            </w:r>
            <w:r>
              <w:rPr>
                <w:rFonts w:hint="eastAsia" w:ascii="宋体" w:hAnsi="宋体" w:cs="宋体"/>
                <w:b w:val="0"/>
                <w:bCs w:val="0"/>
                <w:color w:val="auto"/>
                <w:sz w:val="21"/>
                <w:szCs w:val="21"/>
                <w:highlight w:val="none"/>
                <w:lang w:val="en-US" w:eastAsia="zh-CN"/>
              </w:rPr>
              <w:t>须配备1人）</w:t>
            </w:r>
          </w:p>
        </w:tc>
      </w:tr>
      <w:tr w14:paraId="7AF1B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601" w:type="pct"/>
            <w:tcBorders>
              <w:top w:val="single" w:color="auto" w:sz="4" w:space="0"/>
              <w:left w:val="single" w:color="auto" w:sz="4" w:space="0"/>
              <w:bottom w:val="single" w:color="auto" w:sz="4" w:space="0"/>
              <w:right w:val="single" w:color="auto" w:sz="4" w:space="0"/>
            </w:tcBorders>
            <w:noWrap w:val="0"/>
            <w:vAlign w:val="center"/>
          </w:tcPr>
          <w:p w14:paraId="187B4038">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6</w:t>
            </w:r>
          </w:p>
        </w:tc>
        <w:tc>
          <w:tcPr>
            <w:tcW w:w="1016" w:type="pct"/>
            <w:tcBorders>
              <w:top w:val="single" w:color="auto" w:sz="4" w:space="0"/>
              <w:left w:val="single" w:color="auto" w:sz="4" w:space="0"/>
              <w:bottom w:val="single" w:color="auto" w:sz="4" w:space="0"/>
              <w:right w:val="single" w:color="auto" w:sz="4" w:space="0"/>
            </w:tcBorders>
            <w:noWrap w:val="0"/>
            <w:vAlign w:val="center"/>
          </w:tcPr>
          <w:p w14:paraId="6F1D4AB6">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机动人员</w:t>
            </w:r>
          </w:p>
        </w:tc>
        <w:tc>
          <w:tcPr>
            <w:tcW w:w="1109" w:type="pct"/>
            <w:tcBorders>
              <w:top w:val="single" w:color="auto" w:sz="4" w:space="0"/>
              <w:left w:val="single" w:color="auto" w:sz="4" w:space="0"/>
              <w:bottom w:val="single" w:color="auto" w:sz="4" w:space="0"/>
              <w:right w:val="single" w:color="auto" w:sz="4" w:space="0"/>
            </w:tcBorders>
            <w:noWrap w:val="0"/>
            <w:vAlign w:val="center"/>
          </w:tcPr>
          <w:p w14:paraId="7A1124C7">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3</w:t>
            </w:r>
          </w:p>
        </w:tc>
        <w:tc>
          <w:tcPr>
            <w:tcW w:w="2272" w:type="pct"/>
            <w:tcBorders>
              <w:top w:val="single" w:color="auto" w:sz="4" w:space="0"/>
              <w:left w:val="single" w:color="auto" w:sz="4" w:space="0"/>
              <w:bottom w:val="single" w:color="auto" w:sz="4" w:space="0"/>
              <w:right w:val="single" w:color="auto" w:sz="4" w:space="0"/>
            </w:tcBorders>
            <w:noWrap w:val="0"/>
            <w:vAlign w:val="center"/>
          </w:tcPr>
          <w:p w14:paraId="16F26981">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9工时/人/日</w:t>
            </w:r>
          </w:p>
        </w:tc>
      </w:tr>
      <w:tr w14:paraId="045129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601" w:type="pct"/>
            <w:tcBorders>
              <w:top w:val="single" w:color="auto" w:sz="4" w:space="0"/>
              <w:left w:val="single" w:color="auto" w:sz="4" w:space="0"/>
              <w:bottom w:val="single" w:color="auto" w:sz="4" w:space="0"/>
              <w:right w:val="single" w:color="auto" w:sz="4" w:space="0"/>
            </w:tcBorders>
            <w:noWrap w:val="0"/>
            <w:vAlign w:val="center"/>
          </w:tcPr>
          <w:p w14:paraId="7585251E">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7</w:t>
            </w:r>
          </w:p>
        </w:tc>
        <w:tc>
          <w:tcPr>
            <w:tcW w:w="1016" w:type="pct"/>
            <w:tcBorders>
              <w:top w:val="single" w:color="auto" w:sz="4" w:space="0"/>
              <w:left w:val="single" w:color="auto" w:sz="4" w:space="0"/>
              <w:bottom w:val="single" w:color="auto" w:sz="4" w:space="0"/>
              <w:right w:val="single" w:color="auto" w:sz="4" w:space="0"/>
            </w:tcBorders>
            <w:noWrap w:val="0"/>
            <w:vAlign w:val="center"/>
          </w:tcPr>
          <w:p w14:paraId="4345BDD4">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公厕保洁员</w:t>
            </w:r>
          </w:p>
        </w:tc>
        <w:tc>
          <w:tcPr>
            <w:tcW w:w="1109" w:type="pct"/>
            <w:tcBorders>
              <w:top w:val="single" w:color="auto" w:sz="4" w:space="0"/>
              <w:left w:val="single" w:color="auto" w:sz="4" w:space="0"/>
              <w:bottom w:val="single" w:color="auto" w:sz="4" w:space="0"/>
              <w:right w:val="single" w:color="auto" w:sz="4" w:space="0"/>
            </w:tcBorders>
            <w:noWrap w:val="0"/>
            <w:vAlign w:val="center"/>
          </w:tcPr>
          <w:p w14:paraId="46C445BC">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2</w:t>
            </w:r>
          </w:p>
        </w:tc>
        <w:tc>
          <w:tcPr>
            <w:tcW w:w="2272" w:type="pct"/>
            <w:tcBorders>
              <w:top w:val="single" w:color="auto" w:sz="4" w:space="0"/>
              <w:left w:val="single" w:color="auto" w:sz="4" w:space="0"/>
              <w:bottom w:val="single" w:color="auto" w:sz="4" w:space="0"/>
              <w:right w:val="single" w:color="auto" w:sz="4" w:space="0"/>
            </w:tcBorders>
            <w:noWrap w:val="0"/>
            <w:vAlign w:val="center"/>
          </w:tcPr>
          <w:p w14:paraId="7C49F3D9">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kern w:val="2"/>
                <w:sz w:val="21"/>
                <w:szCs w:val="21"/>
                <w:highlight w:val="none"/>
                <w:lang w:val="en-US" w:eastAsia="zh-CN" w:bidi="ar-SA"/>
              </w:rPr>
            </w:pPr>
          </w:p>
        </w:tc>
      </w:tr>
      <w:tr w14:paraId="5B780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601" w:type="pct"/>
            <w:tcBorders>
              <w:top w:val="single" w:color="auto" w:sz="4" w:space="0"/>
              <w:left w:val="single" w:color="auto" w:sz="4" w:space="0"/>
              <w:bottom w:val="single" w:color="auto" w:sz="4" w:space="0"/>
              <w:right w:val="single" w:color="auto" w:sz="4" w:space="0"/>
            </w:tcBorders>
            <w:noWrap w:val="0"/>
            <w:vAlign w:val="center"/>
          </w:tcPr>
          <w:p w14:paraId="3AE0AF22">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8</w:t>
            </w:r>
          </w:p>
        </w:tc>
        <w:tc>
          <w:tcPr>
            <w:tcW w:w="1016" w:type="pct"/>
            <w:tcBorders>
              <w:top w:val="single" w:color="auto" w:sz="4" w:space="0"/>
              <w:left w:val="single" w:color="auto" w:sz="4" w:space="0"/>
              <w:bottom w:val="single" w:color="auto" w:sz="4" w:space="0"/>
              <w:right w:val="single" w:color="auto" w:sz="4" w:space="0"/>
            </w:tcBorders>
            <w:noWrap w:val="0"/>
            <w:vAlign w:val="center"/>
          </w:tcPr>
          <w:p w14:paraId="03CBE07A">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其他人员</w:t>
            </w:r>
          </w:p>
        </w:tc>
        <w:tc>
          <w:tcPr>
            <w:tcW w:w="1109" w:type="pct"/>
            <w:tcBorders>
              <w:top w:val="single" w:color="auto" w:sz="4" w:space="0"/>
              <w:left w:val="single" w:color="auto" w:sz="4" w:space="0"/>
              <w:bottom w:val="single" w:color="auto" w:sz="4" w:space="0"/>
              <w:right w:val="single" w:color="auto" w:sz="4" w:space="0"/>
            </w:tcBorders>
            <w:noWrap w:val="0"/>
            <w:vAlign w:val="center"/>
          </w:tcPr>
          <w:p w14:paraId="1CB03B17">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cs="宋体"/>
                <w:b w:val="0"/>
                <w:bCs w:val="0"/>
                <w:color w:val="auto"/>
                <w:kern w:val="2"/>
                <w:sz w:val="21"/>
                <w:szCs w:val="21"/>
                <w:highlight w:val="none"/>
                <w:lang w:val="en-US" w:eastAsia="zh-CN" w:bidi="ar-SA"/>
              </w:rPr>
              <w:t>2</w:t>
            </w:r>
          </w:p>
        </w:tc>
        <w:tc>
          <w:tcPr>
            <w:tcW w:w="2272" w:type="pct"/>
            <w:tcBorders>
              <w:top w:val="single" w:color="auto" w:sz="4" w:space="0"/>
              <w:left w:val="single" w:color="auto" w:sz="4" w:space="0"/>
              <w:bottom w:val="single" w:color="auto" w:sz="4" w:space="0"/>
              <w:right w:val="single" w:color="auto" w:sz="4" w:space="0"/>
            </w:tcBorders>
            <w:noWrap w:val="0"/>
            <w:vAlign w:val="center"/>
          </w:tcPr>
          <w:p w14:paraId="3F165D57">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kern w:val="2"/>
                <w:sz w:val="21"/>
                <w:szCs w:val="21"/>
                <w:highlight w:val="none"/>
                <w:lang w:val="en-US" w:eastAsia="zh-CN" w:bidi="ar-SA"/>
              </w:rPr>
            </w:pPr>
          </w:p>
        </w:tc>
      </w:tr>
      <w:tr w14:paraId="2B9622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617" w:type="pct"/>
            <w:gridSpan w:val="2"/>
            <w:tcBorders>
              <w:top w:val="single" w:color="auto" w:sz="4" w:space="0"/>
              <w:left w:val="single" w:color="auto" w:sz="4" w:space="0"/>
              <w:bottom w:val="single" w:color="auto" w:sz="4" w:space="0"/>
              <w:right w:val="single" w:color="auto" w:sz="4" w:space="0"/>
            </w:tcBorders>
            <w:noWrap w:val="0"/>
            <w:vAlign w:val="center"/>
          </w:tcPr>
          <w:p w14:paraId="4E4F0E9E">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合计</w:t>
            </w:r>
          </w:p>
        </w:tc>
        <w:tc>
          <w:tcPr>
            <w:tcW w:w="1109" w:type="pct"/>
            <w:tcBorders>
              <w:top w:val="single" w:color="auto" w:sz="4" w:space="0"/>
              <w:left w:val="single" w:color="auto" w:sz="4" w:space="0"/>
              <w:bottom w:val="single" w:color="auto" w:sz="4" w:space="0"/>
              <w:right w:val="single" w:color="auto" w:sz="4" w:space="0"/>
            </w:tcBorders>
            <w:noWrap w:val="0"/>
            <w:vAlign w:val="center"/>
          </w:tcPr>
          <w:p w14:paraId="77821474">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default" w:ascii="宋体" w:hAnsi="宋体" w:eastAsia="宋体" w:cs="宋体"/>
                <w:b w:val="0"/>
                <w:bCs w:val="0"/>
                <w:color w:val="auto"/>
                <w:kern w:val="2"/>
                <w:sz w:val="21"/>
                <w:szCs w:val="21"/>
                <w:highlight w:val="none"/>
                <w:lang w:val="en-US" w:eastAsia="zh-CN" w:bidi="ar-SA"/>
              </w:rPr>
            </w:pPr>
            <w:r>
              <w:rPr>
                <w:rFonts w:hint="eastAsia" w:ascii="宋体" w:hAnsi="宋体" w:cs="宋体"/>
                <w:b w:val="0"/>
                <w:bCs w:val="0"/>
                <w:color w:val="auto"/>
                <w:kern w:val="2"/>
                <w:sz w:val="21"/>
                <w:szCs w:val="21"/>
                <w:highlight w:val="none"/>
                <w:lang w:val="en-US" w:eastAsia="zh-CN" w:bidi="ar-SA"/>
              </w:rPr>
              <w:t>28</w:t>
            </w:r>
          </w:p>
        </w:tc>
        <w:tc>
          <w:tcPr>
            <w:tcW w:w="2272" w:type="pct"/>
            <w:tcBorders>
              <w:top w:val="single" w:color="auto" w:sz="4" w:space="0"/>
              <w:left w:val="single" w:color="auto" w:sz="4" w:space="0"/>
              <w:bottom w:val="single" w:color="auto" w:sz="4" w:space="0"/>
              <w:right w:val="single" w:color="auto" w:sz="4" w:space="0"/>
            </w:tcBorders>
            <w:noWrap w:val="0"/>
            <w:vAlign w:val="center"/>
          </w:tcPr>
          <w:p w14:paraId="06DE6297">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b w:val="0"/>
                <w:bCs w:val="0"/>
                <w:color w:val="auto"/>
                <w:kern w:val="2"/>
                <w:sz w:val="21"/>
                <w:szCs w:val="21"/>
                <w:highlight w:val="none"/>
                <w:lang w:val="en-US" w:eastAsia="zh-CN" w:bidi="ar-SA"/>
              </w:rPr>
            </w:pPr>
          </w:p>
        </w:tc>
      </w:tr>
    </w:tbl>
    <w:p w14:paraId="07E2E617">
      <w:pPr>
        <w:pStyle w:val="6"/>
        <w:keepNext w:val="0"/>
        <w:keepLines w:val="0"/>
        <w:pageBreakBefore w:val="0"/>
        <w:widowControl w:val="0"/>
        <w:numPr>
          <w:ilvl w:val="0"/>
          <w:numId w:val="41"/>
        </w:numPr>
        <w:kinsoku/>
        <w:wordWrap/>
        <w:overflowPunct/>
        <w:topLinePunct w:val="0"/>
        <w:autoSpaceDE/>
        <w:autoSpaceDN/>
        <w:bidi w:val="0"/>
        <w:adjustRightInd w:val="0"/>
        <w:snapToGrid w:val="0"/>
        <w:spacing w:after="0" w:line="360" w:lineRule="auto"/>
        <w:ind w:left="425" w:leftChars="0" w:hanging="425" w:firstLineChars="0"/>
        <w:jc w:val="left"/>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本项目须投入人员数量不少于以上清单，如遇相关人员数量不足的情况，</w:t>
      </w:r>
      <w:r>
        <w:rPr>
          <w:rFonts w:hint="eastAsia" w:ascii="宋体" w:hAnsi="宋体" w:cs="宋体"/>
          <w:b w:val="0"/>
          <w:bCs w:val="0"/>
          <w:color w:val="auto"/>
          <w:sz w:val="21"/>
          <w:szCs w:val="21"/>
          <w:highlight w:val="none"/>
          <w:lang w:eastAsia="zh-CN"/>
        </w:rPr>
        <w:t>中标人</w:t>
      </w:r>
      <w:r>
        <w:rPr>
          <w:rFonts w:hint="eastAsia" w:ascii="宋体" w:hAnsi="宋体" w:eastAsia="宋体" w:cs="宋体"/>
          <w:b w:val="0"/>
          <w:bCs w:val="0"/>
          <w:color w:val="auto"/>
          <w:kern w:val="2"/>
          <w:sz w:val="21"/>
          <w:szCs w:val="21"/>
          <w:highlight w:val="none"/>
          <w:lang w:val="en-US" w:eastAsia="zh-CN" w:bidi="ar-SA"/>
        </w:rPr>
        <w:t>应根据实际所需增加。</w:t>
      </w:r>
      <w:r>
        <w:rPr>
          <w:rFonts w:hint="eastAsia" w:ascii="宋体" w:hAnsi="宋体" w:cs="宋体"/>
          <w:b w:val="0"/>
          <w:bCs w:val="0"/>
          <w:color w:val="auto"/>
          <w:sz w:val="21"/>
          <w:szCs w:val="21"/>
          <w:highlight w:val="none"/>
          <w:lang w:eastAsia="zh-CN"/>
        </w:rPr>
        <w:t>中标人</w:t>
      </w:r>
      <w:r>
        <w:rPr>
          <w:rFonts w:hint="eastAsia" w:ascii="宋体" w:hAnsi="宋体" w:eastAsia="宋体" w:cs="宋体"/>
          <w:b w:val="0"/>
          <w:bCs w:val="0"/>
          <w:color w:val="auto"/>
          <w:kern w:val="2"/>
          <w:sz w:val="21"/>
          <w:szCs w:val="21"/>
          <w:highlight w:val="none"/>
          <w:lang w:val="en-US" w:eastAsia="zh-CN" w:bidi="ar-SA"/>
        </w:rPr>
        <w:t>应当与劳动者订立书面劳动合同（或劳务合同），并为员工购买社保、特定工伤保险及必要的商业保险。</w:t>
      </w:r>
    </w:p>
    <w:p w14:paraId="66D01F16">
      <w:pPr>
        <w:pStyle w:val="6"/>
        <w:keepNext w:val="0"/>
        <w:keepLines w:val="0"/>
        <w:pageBreakBefore w:val="0"/>
        <w:widowControl w:val="0"/>
        <w:numPr>
          <w:ilvl w:val="0"/>
          <w:numId w:val="41"/>
        </w:numPr>
        <w:kinsoku/>
        <w:wordWrap/>
        <w:overflowPunct/>
        <w:topLinePunct w:val="0"/>
        <w:autoSpaceDE/>
        <w:autoSpaceDN/>
        <w:bidi w:val="0"/>
        <w:adjustRightInd w:val="0"/>
        <w:snapToGrid w:val="0"/>
        <w:spacing w:after="0" w:line="360" w:lineRule="auto"/>
        <w:ind w:left="425" w:leftChars="0" w:hanging="425" w:firstLineChars="0"/>
        <w:jc w:val="left"/>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cs="宋体"/>
          <w:b w:val="0"/>
          <w:bCs w:val="0"/>
          <w:color w:val="auto"/>
          <w:sz w:val="21"/>
          <w:szCs w:val="21"/>
          <w:highlight w:val="none"/>
          <w:lang w:eastAsia="zh-CN"/>
        </w:rPr>
        <w:t>中标人</w:t>
      </w:r>
      <w:r>
        <w:rPr>
          <w:rFonts w:hint="eastAsia" w:ascii="宋体" w:hAnsi="宋体" w:eastAsia="宋体" w:cs="宋体"/>
          <w:b w:val="0"/>
          <w:bCs w:val="0"/>
          <w:color w:val="auto"/>
          <w:kern w:val="2"/>
          <w:sz w:val="21"/>
          <w:szCs w:val="21"/>
          <w:highlight w:val="none"/>
          <w:lang w:val="en-US" w:eastAsia="zh-CN" w:bidi="ar-SA"/>
        </w:rPr>
        <w:t>按照“应收尽收”原则接收自愿留下且满足年龄条件（男不超过60周岁，女不超过55周岁）的原服务项目环卫工人，所有合同期内工人工资标准必须符合劳动法规及相关法律法规，且工人最低工资不能低于东莞市最新公布的最低工资标准。同时，工人加班的劳动报酬也必须符合劳动法及相关行业的法律法规。</w:t>
      </w:r>
    </w:p>
    <w:p w14:paraId="07D1FB6D">
      <w:pPr>
        <w:pStyle w:val="6"/>
        <w:keepNext w:val="0"/>
        <w:keepLines w:val="0"/>
        <w:pageBreakBefore w:val="0"/>
        <w:numPr>
          <w:ilvl w:val="0"/>
          <w:numId w:val="17"/>
        </w:numPr>
        <w:kinsoku/>
        <w:wordWrap/>
        <w:overflowPunct/>
        <w:topLinePunct w:val="0"/>
        <w:autoSpaceDE/>
        <w:autoSpaceDN/>
        <w:bidi w:val="0"/>
        <w:adjustRightInd/>
        <w:snapToGrid w:val="0"/>
        <w:spacing w:after="0" w:line="360" w:lineRule="auto"/>
        <w:ind w:left="425" w:leftChars="0" w:hanging="425" w:firstLineChars="0"/>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val="en-US" w:eastAsia="zh-CN"/>
        </w:rPr>
        <w:t>安全生产要求</w:t>
      </w:r>
    </w:p>
    <w:p w14:paraId="52706727">
      <w:pPr>
        <w:pStyle w:val="6"/>
        <w:keepNext w:val="0"/>
        <w:keepLines w:val="0"/>
        <w:pageBreakBefore w:val="0"/>
        <w:widowControl w:val="0"/>
        <w:numPr>
          <w:ilvl w:val="0"/>
          <w:numId w:val="42"/>
        </w:numPr>
        <w:kinsoku/>
        <w:wordWrap/>
        <w:overflowPunct/>
        <w:topLinePunct w:val="0"/>
        <w:autoSpaceDE/>
        <w:autoSpaceDN/>
        <w:bidi w:val="0"/>
        <w:adjustRightInd w:val="0"/>
        <w:snapToGrid w:val="0"/>
        <w:spacing w:after="0" w:line="360" w:lineRule="auto"/>
        <w:ind w:left="425" w:leftChars="0" w:hanging="425" w:firstLineChars="0"/>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eastAsia="zh-CN"/>
        </w:rPr>
        <w:t>中标人</w:t>
      </w:r>
      <w:r>
        <w:rPr>
          <w:rFonts w:hint="eastAsia" w:ascii="宋体" w:hAnsi="宋体" w:eastAsia="宋体" w:cs="宋体"/>
          <w:color w:val="auto"/>
          <w:kern w:val="2"/>
          <w:sz w:val="21"/>
          <w:szCs w:val="21"/>
          <w:highlight w:val="none"/>
          <w:lang w:val="en-US" w:eastAsia="zh-CN" w:bidi="ar-SA"/>
        </w:rPr>
        <w:t>必须配备符合相关标准的安全作业用品和劳保用品，落实好安全生产措施，开展职业病防治工作，确保员工劳动保护和人身安全。员工的工伤、意外等的一切经济责任和法律责任由</w:t>
      </w:r>
      <w:r>
        <w:rPr>
          <w:rFonts w:hint="eastAsia" w:ascii="宋体" w:hAnsi="宋体" w:cs="宋体"/>
          <w:color w:val="auto"/>
          <w:sz w:val="21"/>
          <w:szCs w:val="21"/>
          <w:highlight w:val="none"/>
          <w:lang w:eastAsia="zh-CN"/>
        </w:rPr>
        <w:t>中标人</w:t>
      </w:r>
      <w:r>
        <w:rPr>
          <w:rFonts w:hint="eastAsia" w:ascii="宋体" w:hAnsi="宋体" w:eastAsia="宋体" w:cs="宋体"/>
          <w:color w:val="auto"/>
          <w:kern w:val="2"/>
          <w:sz w:val="21"/>
          <w:szCs w:val="21"/>
          <w:highlight w:val="none"/>
          <w:lang w:val="en-US" w:eastAsia="zh-CN" w:bidi="ar-SA"/>
        </w:rPr>
        <w:t>承担。</w:t>
      </w:r>
    </w:p>
    <w:p w14:paraId="438F3BCB">
      <w:pPr>
        <w:pStyle w:val="6"/>
        <w:keepNext w:val="0"/>
        <w:keepLines w:val="0"/>
        <w:pageBreakBefore w:val="0"/>
        <w:widowControl w:val="0"/>
        <w:numPr>
          <w:ilvl w:val="0"/>
          <w:numId w:val="42"/>
        </w:numPr>
        <w:kinsoku/>
        <w:wordWrap/>
        <w:overflowPunct/>
        <w:topLinePunct w:val="0"/>
        <w:autoSpaceDE/>
        <w:autoSpaceDN/>
        <w:bidi w:val="0"/>
        <w:adjustRightInd w:val="0"/>
        <w:snapToGrid w:val="0"/>
        <w:spacing w:after="0" w:line="360" w:lineRule="auto"/>
        <w:ind w:left="425" w:leftChars="0" w:hanging="425" w:firstLineChars="0"/>
        <w:textAlignment w:val="auto"/>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定期对员工进行安全生产教育，落实责任制，落实有关安全措施。</w:t>
      </w:r>
    </w:p>
    <w:p w14:paraId="24CCFABE">
      <w:pPr>
        <w:pStyle w:val="6"/>
        <w:keepNext w:val="0"/>
        <w:keepLines w:val="0"/>
        <w:pageBreakBefore w:val="0"/>
        <w:widowControl w:val="0"/>
        <w:numPr>
          <w:ilvl w:val="0"/>
          <w:numId w:val="42"/>
        </w:numPr>
        <w:kinsoku/>
        <w:wordWrap/>
        <w:overflowPunct/>
        <w:topLinePunct w:val="0"/>
        <w:autoSpaceDE/>
        <w:autoSpaceDN/>
        <w:bidi w:val="0"/>
        <w:adjustRightInd w:val="0"/>
        <w:snapToGrid w:val="0"/>
        <w:spacing w:after="0" w:line="360" w:lineRule="auto"/>
        <w:ind w:left="425" w:leftChars="0" w:hanging="425" w:firstLineChars="0"/>
        <w:textAlignment w:val="auto"/>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车辆行驶必须严格遵守交通规则；车辆需服从城管部门安排，张贴按市政要求制作的标识。</w:t>
      </w:r>
    </w:p>
    <w:p w14:paraId="1ED8812E">
      <w:pPr>
        <w:pStyle w:val="6"/>
        <w:keepNext w:val="0"/>
        <w:keepLines w:val="0"/>
        <w:pageBreakBefore w:val="0"/>
        <w:widowControl w:val="0"/>
        <w:numPr>
          <w:ilvl w:val="0"/>
          <w:numId w:val="42"/>
        </w:numPr>
        <w:kinsoku/>
        <w:wordWrap/>
        <w:overflowPunct/>
        <w:topLinePunct w:val="0"/>
        <w:autoSpaceDE/>
        <w:autoSpaceDN/>
        <w:bidi w:val="0"/>
        <w:adjustRightInd w:val="0"/>
        <w:snapToGrid w:val="0"/>
        <w:spacing w:after="0" w:line="360" w:lineRule="auto"/>
        <w:ind w:left="425" w:leftChars="0" w:hanging="425" w:firstLineChars="0"/>
        <w:textAlignment w:val="auto"/>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路面作业人员必须统一穿着带反光标志的工作服（按《东莞市城市管理和综合执法局视觉识别系统》中对环卫服装要求执行）。</w:t>
      </w:r>
    </w:p>
    <w:p w14:paraId="1111AAD3">
      <w:pPr>
        <w:pStyle w:val="6"/>
        <w:keepNext w:val="0"/>
        <w:keepLines w:val="0"/>
        <w:pageBreakBefore w:val="0"/>
        <w:widowControl w:val="0"/>
        <w:numPr>
          <w:ilvl w:val="0"/>
          <w:numId w:val="42"/>
        </w:numPr>
        <w:kinsoku/>
        <w:wordWrap/>
        <w:overflowPunct/>
        <w:topLinePunct w:val="0"/>
        <w:autoSpaceDE/>
        <w:autoSpaceDN/>
        <w:bidi w:val="0"/>
        <w:adjustRightInd w:val="0"/>
        <w:snapToGrid w:val="0"/>
        <w:spacing w:after="0" w:line="360" w:lineRule="auto"/>
        <w:ind w:left="425" w:leftChars="0" w:hanging="425" w:firstLineChars="0"/>
        <w:textAlignment w:val="auto"/>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路面作业时必须落实警示标志及防护措施。</w:t>
      </w:r>
    </w:p>
    <w:p w14:paraId="0CB85D66">
      <w:pPr>
        <w:pStyle w:val="6"/>
        <w:keepNext w:val="0"/>
        <w:keepLines w:val="0"/>
        <w:pageBreakBefore w:val="0"/>
        <w:widowControl w:val="0"/>
        <w:numPr>
          <w:ilvl w:val="0"/>
          <w:numId w:val="42"/>
        </w:numPr>
        <w:kinsoku/>
        <w:wordWrap/>
        <w:overflowPunct/>
        <w:topLinePunct w:val="0"/>
        <w:autoSpaceDE/>
        <w:autoSpaceDN/>
        <w:bidi w:val="0"/>
        <w:adjustRightInd w:val="0"/>
        <w:snapToGrid w:val="0"/>
        <w:spacing w:after="0" w:line="360" w:lineRule="auto"/>
        <w:ind w:left="425" w:leftChars="0" w:hanging="425" w:firstLineChars="0"/>
        <w:textAlignment w:val="auto"/>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清扫后的斗车、清扫工具等不得妨碍交通。</w:t>
      </w:r>
    </w:p>
    <w:p w14:paraId="61BE27F4">
      <w:pPr>
        <w:pStyle w:val="6"/>
        <w:keepNext w:val="0"/>
        <w:keepLines w:val="0"/>
        <w:pageBreakBefore w:val="0"/>
        <w:widowControl w:val="0"/>
        <w:numPr>
          <w:ilvl w:val="0"/>
          <w:numId w:val="42"/>
        </w:numPr>
        <w:kinsoku/>
        <w:wordWrap/>
        <w:overflowPunct/>
        <w:topLinePunct w:val="0"/>
        <w:autoSpaceDE/>
        <w:autoSpaceDN/>
        <w:bidi w:val="0"/>
        <w:adjustRightInd w:val="0"/>
        <w:snapToGrid w:val="0"/>
        <w:spacing w:after="0" w:line="360" w:lineRule="auto"/>
        <w:ind w:left="425" w:leftChars="0" w:hanging="425" w:firstLineChars="0"/>
        <w:textAlignment w:val="auto"/>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不得存放易燃、易爆、剧毒等危险品。</w:t>
      </w:r>
    </w:p>
    <w:p w14:paraId="7881616E">
      <w:pPr>
        <w:pStyle w:val="6"/>
        <w:keepNext w:val="0"/>
        <w:keepLines w:val="0"/>
        <w:pageBreakBefore w:val="0"/>
        <w:widowControl w:val="0"/>
        <w:numPr>
          <w:ilvl w:val="0"/>
          <w:numId w:val="42"/>
        </w:numPr>
        <w:kinsoku/>
        <w:wordWrap/>
        <w:overflowPunct/>
        <w:topLinePunct w:val="0"/>
        <w:autoSpaceDE/>
        <w:autoSpaceDN/>
        <w:bidi w:val="0"/>
        <w:adjustRightInd w:val="0"/>
        <w:snapToGrid w:val="0"/>
        <w:spacing w:after="0" w:line="360" w:lineRule="auto"/>
        <w:ind w:left="425" w:leftChars="0" w:hanging="425" w:firstLineChars="0"/>
        <w:textAlignment w:val="auto"/>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落实防火措施，配足性能良好的消防器材。</w:t>
      </w:r>
    </w:p>
    <w:p w14:paraId="797457BC">
      <w:pPr>
        <w:pStyle w:val="6"/>
        <w:keepNext w:val="0"/>
        <w:keepLines w:val="0"/>
        <w:pageBreakBefore w:val="0"/>
        <w:widowControl w:val="0"/>
        <w:numPr>
          <w:ilvl w:val="0"/>
          <w:numId w:val="42"/>
        </w:numPr>
        <w:kinsoku/>
        <w:wordWrap/>
        <w:overflowPunct/>
        <w:topLinePunct w:val="0"/>
        <w:autoSpaceDE/>
        <w:autoSpaceDN/>
        <w:bidi w:val="0"/>
        <w:adjustRightInd w:val="0"/>
        <w:snapToGrid w:val="0"/>
        <w:spacing w:after="0" w:line="360" w:lineRule="auto"/>
        <w:ind w:left="425" w:leftChars="0" w:hanging="425" w:firstLineChars="0"/>
        <w:textAlignment w:val="auto"/>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落实安全用电措施，不得乱拉、乱挂、乱接电线，不使用非生产性大功率电器，不得超线路负载使用电器。</w:t>
      </w:r>
    </w:p>
    <w:p w14:paraId="5116C062">
      <w:pPr>
        <w:pStyle w:val="6"/>
        <w:keepNext w:val="0"/>
        <w:keepLines w:val="0"/>
        <w:pageBreakBefore w:val="0"/>
        <w:widowControl w:val="0"/>
        <w:numPr>
          <w:ilvl w:val="0"/>
          <w:numId w:val="42"/>
        </w:numPr>
        <w:kinsoku/>
        <w:wordWrap/>
        <w:overflowPunct/>
        <w:topLinePunct w:val="0"/>
        <w:autoSpaceDE/>
        <w:autoSpaceDN/>
        <w:bidi w:val="0"/>
        <w:adjustRightInd w:val="0"/>
        <w:snapToGrid w:val="0"/>
        <w:spacing w:after="0" w:line="360" w:lineRule="auto"/>
        <w:ind w:left="425" w:leftChars="0" w:hanging="425" w:firstLineChars="0"/>
        <w:textAlignment w:val="auto"/>
        <w:rPr>
          <w:rFonts w:hint="eastAsia" w:ascii="宋体" w:hAnsi="宋体" w:cs="宋体"/>
          <w:color w:val="auto"/>
          <w:sz w:val="21"/>
          <w:szCs w:val="21"/>
          <w:highlight w:val="none"/>
          <w:lang w:eastAsia="zh-CN"/>
        </w:rPr>
      </w:pPr>
      <w:r>
        <w:rPr>
          <w:rFonts w:hint="eastAsia" w:ascii="宋体" w:hAnsi="宋体" w:cs="宋体"/>
          <w:color w:val="auto"/>
          <w:sz w:val="21"/>
          <w:szCs w:val="21"/>
          <w:highlight w:val="none"/>
          <w:lang w:val="en-US" w:eastAsia="zh-CN"/>
        </w:rPr>
        <w:t>在各类作业期间，必须按各工种的操作特性，落实各类的安全、防护措施，确保人员及财产的安全，发生安全生产事故的，必须及时上报。</w:t>
      </w:r>
    </w:p>
    <w:p w14:paraId="7401C552">
      <w:pPr>
        <w:pStyle w:val="6"/>
        <w:keepNext w:val="0"/>
        <w:keepLines w:val="0"/>
        <w:pageBreakBefore w:val="0"/>
        <w:numPr>
          <w:ilvl w:val="0"/>
          <w:numId w:val="17"/>
        </w:numPr>
        <w:kinsoku/>
        <w:wordWrap/>
        <w:overflowPunct/>
        <w:topLinePunct w:val="0"/>
        <w:autoSpaceDE/>
        <w:autoSpaceDN/>
        <w:bidi w:val="0"/>
        <w:adjustRightInd/>
        <w:snapToGrid w:val="0"/>
        <w:spacing w:after="0" w:line="360" w:lineRule="auto"/>
        <w:ind w:left="425" w:leftChars="0" w:hanging="425" w:firstLineChars="0"/>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应急要求</w:t>
      </w:r>
    </w:p>
    <w:p w14:paraId="7B0B79FC">
      <w:pPr>
        <w:pStyle w:val="6"/>
        <w:keepNext w:val="0"/>
        <w:keepLines w:val="0"/>
        <w:pageBreakBefore w:val="0"/>
        <w:widowControl w:val="0"/>
        <w:numPr>
          <w:ilvl w:val="0"/>
          <w:numId w:val="43"/>
        </w:numPr>
        <w:kinsoku/>
        <w:wordWrap/>
        <w:overflowPunct/>
        <w:topLinePunct w:val="0"/>
        <w:autoSpaceDE/>
        <w:autoSpaceDN/>
        <w:bidi w:val="0"/>
        <w:adjustRightInd w:val="0"/>
        <w:snapToGrid w:val="0"/>
        <w:spacing w:after="0" w:line="360" w:lineRule="auto"/>
        <w:ind w:left="425" w:leftChars="0" w:hanging="425"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突发事件（如道路污染）和自然灾害（如台风等）要在确保安全情况下及时清理现场并冲洗路面；如遇强台风、特大暴雨等不适应上路作业时段时，</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lang w:val="en-US" w:eastAsia="zh-CN"/>
        </w:rPr>
        <w:t>可以不安排人员上路清扫保洁，但应按照采购人要求成立一支不少于5人的清扫保洁临时应急队伍，服从采购人和政府相关部门的统一指挥和调度。台风、暴雨过后，</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lang w:val="en-US" w:eastAsia="zh-CN"/>
        </w:rPr>
        <w:t>应立即组织人员做好清扫保洁工作。特殊情况，如需协助救险救灾工作，</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lang w:val="en-US" w:eastAsia="zh-CN"/>
        </w:rPr>
        <w:t>应服从采购人和政府相关部门的统一指挥和调度。</w:t>
      </w:r>
    </w:p>
    <w:p w14:paraId="615828A6">
      <w:pPr>
        <w:pStyle w:val="6"/>
        <w:keepNext w:val="0"/>
        <w:keepLines w:val="0"/>
        <w:pageBreakBefore w:val="0"/>
        <w:widowControl w:val="0"/>
        <w:numPr>
          <w:ilvl w:val="0"/>
          <w:numId w:val="43"/>
        </w:numPr>
        <w:kinsoku/>
        <w:wordWrap/>
        <w:overflowPunct/>
        <w:topLinePunct w:val="0"/>
        <w:autoSpaceDE/>
        <w:autoSpaceDN/>
        <w:bidi w:val="0"/>
        <w:adjustRightInd w:val="0"/>
        <w:snapToGrid w:val="0"/>
        <w:spacing w:after="0" w:line="360" w:lineRule="auto"/>
        <w:ind w:left="425" w:leftChars="0" w:hanging="425"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因城市管理工作、创建工作（如创文、创卫等）以及其他临时性重大活动保障要求，中标人必须无条件配合做好考评、检查、创建、活动保障工作，加强保洁服务工作。</w:t>
      </w:r>
    </w:p>
    <w:p w14:paraId="73123962">
      <w:pPr>
        <w:pStyle w:val="6"/>
        <w:keepNext w:val="0"/>
        <w:keepLines w:val="0"/>
        <w:pageBreakBefore w:val="0"/>
        <w:widowControl w:val="0"/>
        <w:numPr>
          <w:ilvl w:val="0"/>
          <w:numId w:val="43"/>
        </w:numPr>
        <w:kinsoku/>
        <w:wordWrap/>
        <w:overflowPunct/>
        <w:topLinePunct w:val="0"/>
        <w:autoSpaceDE/>
        <w:autoSpaceDN/>
        <w:bidi w:val="0"/>
        <w:adjustRightInd w:val="0"/>
        <w:snapToGrid w:val="0"/>
        <w:spacing w:after="0" w:line="360" w:lineRule="auto"/>
        <w:ind w:left="425" w:leftChars="0" w:hanging="425"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在接到暴雨预警信息后立即组织对道路雨水口周边垃圾进行清扫；发现作业区域存在大面积淤泥，需根据采购人要求及时清理、冲洗污染路面，影响交通安全的，应立即组织清理。如发现化学物品、危险物品后立即报告相关部门处理。</w:t>
      </w:r>
    </w:p>
    <w:p w14:paraId="6E34E830">
      <w:pPr>
        <w:pStyle w:val="6"/>
        <w:keepNext w:val="0"/>
        <w:keepLines w:val="0"/>
        <w:pageBreakBefore w:val="0"/>
        <w:widowControl w:val="0"/>
        <w:numPr>
          <w:ilvl w:val="0"/>
          <w:numId w:val="43"/>
        </w:numPr>
        <w:kinsoku/>
        <w:wordWrap/>
        <w:overflowPunct/>
        <w:topLinePunct w:val="0"/>
        <w:autoSpaceDE/>
        <w:autoSpaceDN/>
        <w:bidi w:val="0"/>
        <w:adjustRightInd w:val="0"/>
        <w:snapToGrid w:val="0"/>
        <w:spacing w:after="0" w:line="360" w:lineRule="auto"/>
        <w:ind w:left="425" w:leftChars="0" w:hanging="425"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作业范围内如出现车辆机油和运输物等撒漏现象，中标人必须采取应急措施科学处理。</w:t>
      </w:r>
    </w:p>
    <w:p w14:paraId="0A140007">
      <w:pPr>
        <w:pStyle w:val="6"/>
        <w:keepNext w:val="0"/>
        <w:keepLines w:val="0"/>
        <w:pageBreakBefore w:val="0"/>
        <w:widowControl w:val="0"/>
        <w:numPr>
          <w:ilvl w:val="0"/>
          <w:numId w:val="43"/>
        </w:numPr>
        <w:kinsoku/>
        <w:wordWrap/>
        <w:overflowPunct/>
        <w:topLinePunct w:val="0"/>
        <w:autoSpaceDE/>
        <w:autoSpaceDN/>
        <w:bidi w:val="0"/>
        <w:adjustRightInd w:val="0"/>
        <w:snapToGrid w:val="0"/>
        <w:spacing w:after="0" w:line="360" w:lineRule="auto"/>
        <w:ind w:left="425" w:leftChars="0" w:hanging="425"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中标人协助监督辖区内施工单位的撒漏问题，督促协助撒漏方及时清理余泥、垃圾和废弃物，发现不配合且情节恶劣的应及时告知采购人，并报告相关部门处理。</w:t>
      </w:r>
    </w:p>
    <w:p w14:paraId="1B2C8BF0">
      <w:pPr>
        <w:pStyle w:val="6"/>
        <w:keepNext w:val="0"/>
        <w:keepLines w:val="0"/>
        <w:pageBreakBefore w:val="0"/>
        <w:widowControl w:val="0"/>
        <w:numPr>
          <w:ilvl w:val="0"/>
          <w:numId w:val="43"/>
        </w:numPr>
        <w:kinsoku/>
        <w:wordWrap/>
        <w:overflowPunct/>
        <w:topLinePunct w:val="0"/>
        <w:autoSpaceDE/>
        <w:autoSpaceDN/>
        <w:bidi w:val="0"/>
        <w:adjustRightInd w:val="0"/>
        <w:snapToGrid w:val="0"/>
        <w:spacing w:after="0" w:line="360" w:lineRule="auto"/>
        <w:ind w:left="425" w:leftChars="0" w:hanging="425" w:firstLineChars="0"/>
        <w:textAlignment w:val="auto"/>
        <w:rPr>
          <w:rFonts w:hint="eastAsia"/>
          <w:lang w:val="en-US" w:eastAsia="zh-CN"/>
        </w:rPr>
      </w:pPr>
      <w:r>
        <w:rPr>
          <w:rFonts w:hint="eastAsia" w:ascii="宋体" w:hAnsi="宋体"/>
          <w:color w:val="000000" w:themeColor="text1"/>
          <w:szCs w:val="21"/>
          <w:lang w:val="en-US" w:eastAsia="zh-CN"/>
          <w14:textFill>
            <w14:solidFill>
              <w14:schemeClr w14:val="tx1"/>
            </w14:solidFill>
          </w14:textFill>
        </w:rPr>
        <w:t>如果遇到临时任务或紧急任务安排，中标人须在接到采购人通知后1.5小时内到达采购人指定地点。</w:t>
      </w:r>
    </w:p>
    <w:p w14:paraId="7DE130C2">
      <w:pPr>
        <w:pStyle w:val="6"/>
        <w:keepNext w:val="0"/>
        <w:keepLines w:val="0"/>
        <w:pageBreakBefore w:val="0"/>
        <w:numPr>
          <w:ilvl w:val="0"/>
          <w:numId w:val="17"/>
        </w:numPr>
        <w:kinsoku/>
        <w:wordWrap/>
        <w:overflowPunct/>
        <w:topLinePunct w:val="0"/>
        <w:autoSpaceDE/>
        <w:autoSpaceDN/>
        <w:bidi w:val="0"/>
        <w:adjustRightInd/>
        <w:snapToGrid w:val="0"/>
        <w:spacing w:after="0" w:line="360" w:lineRule="auto"/>
        <w:ind w:left="425" w:leftChars="0" w:hanging="425" w:firstLineChars="0"/>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整改事项要求</w:t>
      </w:r>
    </w:p>
    <w:p w14:paraId="066A8F9A">
      <w:pPr>
        <w:pStyle w:val="6"/>
        <w:keepNext w:val="0"/>
        <w:keepLines w:val="0"/>
        <w:pageBreakBefore w:val="0"/>
        <w:widowControl w:val="0"/>
        <w:numPr>
          <w:ilvl w:val="0"/>
          <w:numId w:val="44"/>
        </w:numPr>
        <w:kinsoku/>
        <w:wordWrap/>
        <w:overflowPunct/>
        <w:topLinePunct w:val="0"/>
        <w:autoSpaceDE/>
        <w:autoSpaceDN/>
        <w:bidi w:val="0"/>
        <w:adjustRightInd w:val="0"/>
        <w:snapToGrid w:val="0"/>
        <w:spacing w:after="0"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中标人</w:t>
      </w:r>
      <w:r>
        <w:rPr>
          <w:rFonts w:hint="eastAsia" w:ascii="宋体" w:hAnsi="宋体" w:eastAsia="宋体" w:cs="宋体"/>
          <w:color w:val="auto"/>
          <w:sz w:val="21"/>
          <w:szCs w:val="21"/>
          <w:highlight w:val="none"/>
        </w:rPr>
        <w:t>在接到整改事项后需提交整改工作计划并按期按要求整改，若未按要求落实整改的，则按整改事项违约处理。如</w:t>
      </w:r>
      <w:r>
        <w:rPr>
          <w:rFonts w:hint="eastAsia" w:ascii="宋体" w:hAnsi="宋体" w:cs="宋体"/>
          <w:color w:val="auto"/>
          <w:sz w:val="21"/>
          <w:szCs w:val="21"/>
          <w:highlight w:val="none"/>
          <w:lang w:eastAsia="zh-CN"/>
        </w:rPr>
        <w:t>中标人</w:t>
      </w:r>
      <w:r>
        <w:rPr>
          <w:rFonts w:hint="eastAsia" w:ascii="宋体" w:hAnsi="宋体" w:eastAsia="宋体" w:cs="宋体"/>
          <w:color w:val="auto"/>
          <w:sz w:val="21"/>
          <w:szCs w:val="21"/>
          <w:highlight w:val="none"/>
        </w:rPr>
        <w:t>认为情况不实，有异议的，可在24小时内向采购人申请复核。</w:t>
      </w:r>
    </w:p>
    <w:p w14:paraId="7723EDE8">
      <w:pPr>
        <w:keepNext w:val="0"/>
        <w:keepLines w:val="0"/>
        <w:pageBreakBefore w:val="0"/>
        <w:numPr>
          <w:ilvl w:val="0"/>
          <w:numId w:val="14"/>
        </w:numPr>
        <w:kinsoku/>
        <w:wordWrap/>
        <w:overflowPunct/>
        <w:topLinePunct w:val="0"/>
        <w:autoSpaceDE/>
        <w:autoSpaceDN/>
        <w:bidi w:val="0"/>
        <w:adjustRightInd/>
        <w:snapToGrid w:val="0"/>
        <w:spacing w:line="360" w:lineRule="auto"/>
        <w:ind w:left="0" w:leftChars="0" w:firstLine="0" w:firstLineChars="0"/>
        <w:rPr>
          <w:rFonts w:hint="eastAsia" w:ascii="宋体" w:hAnsi="宋体" w:eastAsia="宋体" w:cs="宋体"/>
          <w:b/>
          <w:color w:val="auto"/>
          <w:sz w:val="21"/>
          <w:szCs w:val="21"/>
          <w:highlight w:val="none"/>
        </w:rPr>
      </w:pPr>
      <w:bookmarkStart w:id="12" w:name="_Toc2269"/>
      <w:r>
        <w:rPr>
          <w:rFonts w:hint="eastAsia" w:ascii="宋体" w:hAnsi="宋体" w:eastAsia="宋体" w:cs="宋体"/>
          <w:b/>
          <w:color w:val="auto"/>
          <w:sz w:val="21"/>
          <w:szCs w:val="21"/>
          <w:highlight w:val="none"/>
        </w:rPr>
        <w:t>考核评分办法</w:t>
      </w:r>
      <w:bookmarkEnd w:id="12"/>
    </w:p>
    <w:p w14:paraId="2ED530DC">
      <w:pPr>
        <w:keepNext w:val="0"/>
        <w:keepLines w:val="0"/>
        <w:pageBreakBefore w:val="0"/>
        <w:widowControl w:val="0"/>
        <w:numPr>
          <w:ilvl w:val="0"/>
          <w:numId w:val="45"/>
        </w:numPr>
        <w:kinsoku/>
        <w:wordWrap/>
        <w:overflowPunct/>
        <w:topLinePunct w:val="0"/>
        <w:autoSpaceDE/>
        <w:autoSpaceDN/>
        <w:bidi w:val="0"/>
        <w:adjustRightInd w:val="0"/>
        <w:snapToGrid w:val="0"/>
        <w:spacing w:line="360" w:lineRule="auto"/>
        <w:ind w:left="425" w:leftChars="0" w:hanging="425" w:firstLineChars="0"/>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考核评分主要通过对中标人作业落实情况以及保洁质量进行考核，根据履约检查以及考核评分结果进行追责。</w:t>
      </w:r>
    </w:p>
    <w:p w14:paraId="0FD02A0D">
      <w:pPr>
        <w:keepNext w:val="0"/>
        <w:keepLines w:val="0"/>
        <w:pageBreakBefore w:val="0"/>
        <w:widowControl w:val="0"/>
        <w:numPr>
          <w:ilvl w:val="0"/>
          <w:numId w:val="45"/>
        </w:numPr>
        <w:kinsoku/>
        <w:wordWrap/>
        <w:overflowPunct/>
        <w:topLinePunct w:val="0"/>
        <w:autoSpaceDE/>
        <w:autoSpaceDN/>
        <w:bidi w:val="0"/>
        <w:adjustRightInd w:val="0"/>
        <w:snapToGrid w:val="0"/>
        <w:spacing w:line="360" w:lineRule="auto"/>
        <w:ind w:left="425" w:leftChars="0" w:hanging="425" w:firstLineChars="0"/>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考核方式</w:t>
      </w:r>
    </w:p>
    <w:p w14:paraId="27421976">
      <w:pPr>
        <w:pStyle w:val="6"/>
        <w:keepNext w:val="0"/>
        <w:keepLines w:val="0"/>
        <w:pageBreakBefore w:val="0"/>
        <w:widowControl w:val="0"/>
        <w:numPr>
          <w:ilvl w:val="0"/>
          <w:numId w:val="46"/>
        </w:numPr>
        <w:kinsoku/>
        <w:wordWrap/>
        <w:overflowPunct/>
        <w:topLinePunct w:val="0"/>
        <w:autoSpaceDE/>
        <w:autoSpaceDN/>
        <w:bidi w:val="0"/>
        <w:adjustRightInd w:val="0"/>
        <w:snapToGrid w:val="0"/>
        <w:spacing w:after="0" w:line="360" w:lineRule="auto"/>
        <w:ind w:left="425" w:leftChars="0" w:hanging="425" w:firstLineChars="0"/>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在履约检查的基础上，对</w:t>
      </w:r>
      <w:r>
        <w:rPr>
          <w:rFonts w:hint="eastAsia" w:ascii="宋体" w:hAnsi="宋体" w:cs="宋体"/>
          <w:color w:val="auto"/>
          <w:kern w:val="2"/>
          <w:sz w:val="21"/>
          <w:szCs w:val="21"/>
          <w:highlight w:val="none"/>
          <w:lang w:val="en-US" w:eastAsia="zh-CN" w:bidi="ar-SA"/>
        </w:rPr>
        <w:t>需求</w:t>
      </w:r>
      <w:r>
        <w:rPr>
          <w:rFonts w:hint="eastAsia" w:ascii="宋体" w:hAnsi="宋体" w:eastAsia="宋体" w:cs="宋体"/>
          <w:color w:val="auto"/>
          <w:kern w:val="2"/>
          <w:sz w:val="21"/>
          <w:szCs w:val="21"/>
          <w:highlight w:val="none"/>
          <w:lang w:val="en-US" w:eastAsia="zh-CN" w:bidi="ar-SA"/>
        </w:rPr>
        <w:t>范围内的区域道路清扫保洁情况进行考核，采取日常检查和月度检查相结合的考核方式。考核按《虎门镇社区环卫清扫保洁考评表》（详见附件1）进行评分，根据考核结果支付月承包费用。检查人员必须严格遵守标准进行实际操作，不能以权谋私，玩忽职守。月度绩效考核分数满分为100分。</w:t>
      </w:r>
    </w:p>
    <w:p w14:paraId="318F8023">
      <w:pPr>
        <w:keepNext w:val="0"/>
        <w:keepLines w:val="0"/>
        <w:pageBreakBefore w:val="0"/>
        <w:widowControl w:val="0"/>
        <w:numPr>
          <w:ilvl w:val="0"/>
          <w:numId w:val="45"/>
        </w:numPr>
        <w:kinsoku/>
        <w:wordWrap/>
        <w:overflowPunct/>
        <w:topLinePunct w:val="0"/>
        <w:autoSpaceDE/>
        <w:autoSpaceDN/>
        <w:bidi w:val="0"/>
        <w:adjustRightInd w:val="0"/>
        <w:snapToGrid w:val="0"/>
        <w:spacing w:line="360" w:lineRule="auto"/>
        <w:ind w:left="425" w:leftChars="0" w:hanging="425" w:firstLineChars="0"/>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考核实施</w:t>
      </w:r>
    </w:p>
    <w:p w14:paraId="4E04BA9F">
      <w:pPr>
        <w:pStyle w:val="6"/>
        <w:keepNext w:val="0"/>
        <w:keepLines w:val="0"/>
        <w:pageBreakBefore w:val="0"/>
        <w:widowControl w:val="0"/>
        <w:numPr>
          <w:ilvl w:val="0"/>
          <w:numId w:val="47"/>
        </w:numPr>
        <w:kinsoku/>
        <w:wordWrap/>
        <w:overflowPunct/>
        <w:topLinePunct w:val="0"/>
        <w:autoSpaceDE/>
        <w:autoSpaceDN/>
        <w:bidi w:val="0"/>
        <w:adjustRightInd w:val="0"/>
        <w:snapToGrid w:val="0"/>
        <w:spacing w:after="0" w:line="360" w:lineRule="auto"/>
        <w:ind w:left="425" w:leftChars="0" w:hanging="425" w:firstLineChars="0"/>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社区</w:t>
      </w:r>
      <w:r>
        <w:rPr>
          <w:rFonts w:hint="eastAsia" w:ascii="宋体" w:hAnsi="宋体" w:eastAsia="宋体" w:cs="宋体"/>
          <w:color w:val="auto"/>
          <w:kern w:val="2"/>
          <w:sz w:val="21"/>
          <w:szCs w:val="21"/>
          <w:highlight w:val="none"/>
          <w:lang w:val="en-US" w:eastAsia="zh-CN" w:bidi="ar-SA"/>
        </w:rPr>
        <w:t>日常检查（占</w:t>
      </w:r>
      <w:r>
        <w:rPr>
          <w:rFonts w:hint="eastAsia" w:ascii="宋体" w:hAnsi="宋体" w:cs="宋体"/>
          <w:color w:val="auto"/>
          <w:kern w:val="2"/>
          <w:sz w:val="21"/>
          <w:szCs w:val="21"/>
          <w:highlight w:val="none"/>
          <w:lang w:val="en-US" w:eastAsia="zh-CN" w:bidi="ar-SA"/>
        </w:rPr>
        <w:t>80</w:t>
      </w:r>
      <w:r>
        <w:rPr>
          <w:rFonts w:hint="eastAsia" w:ascii="宋体" w:hAnsi="宋体" w:eastAsia="宋体" w:cs="宋体"/>
          <w:color w:val="auto"/>
          <w:kern w:val="2"/>
          <w:sz w:val="21"/>
          <w:szCs w:val="21"/>
          <w:highlight w:val="none"/>
          <w:lang w:val="en-US" w:eastAsia="zh-CN" w:bidi="ar-SA"/>
        </w:rPr>
        <w:t>%）：成立日常检查工作小组，每天开展环卫保洁巡查监督，检查发现的问题以拍照形式进行记录，问题图片按照《虎门镇社区环卫清扫保洁考评表》（详见附件</w:t>
      </w:r>
      <w:r>
        <w:rPr>
          <w:rFonts w:hint="eastAsia" w:ascii="宋体" w:hAnsi="宋体" w:cs="宋体"/>
          <w:color w:val="auto"/>
          <w:kern w:val="2"/>
          <w:sz w:val="21"/>
          <w:szCs w:val="21"/>
          <w:highlight w:val="none"/>
          <w:lang w:val="en-US" w:eastAsia="zh-CN" w:bidi="ar-SA"/>
        </w:rPr>
        <w:t>1</w:t>
      </w:r>
      <w:r>
        <w:rPr>
          <w:rFonts w:hint="eastAsia" w:ascii="宋体" w:hAnsi="宋体" w:eastAsia="宋体" w:cs="宋体"/>
          <w:color w:val="auto"/>
          <w:kern w:val="2"/>
          <w:sz w:val="21"/>
          <w:szCs w:val="21"/>
          <w:highlight w:val="none"/>
          <w:lang w:val="en-US" w:eastAsia="zh-CN" w:bidi="ar-SA"/>
        </w:rPr>
        <w:t>）进行扣分，具体工作由</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统一组织安排。</w:t>
      </w:r>
    </w:p>
    <w:p w14:paraId="28192181">
      <w:pPr>
        <w:pStyle w:val="6"/>
        <w:keepNext w:val="0"/>
        <w:keepLines w:val="0"/>
        <w:pageBreakBefore w:val="0"/>
        <w:widowControl w:val="0"/>
        <w:numPr>
          <w:ilvl w:val="0"/>
          <w:numId w:val="47"/>
        </w:numPr>
        <w:kinsoku/>
        <w:wordWrap/>
        <w:overflowPunct/>
        <w:topLinePunct w:val="0"/>
        <w:autoSpaceDE/>
        <w:autoSpaceDN/>
        <w:bidi w:val="0"/>
        <w:adjustRightInd w:val="0"/>
        <w:snapToGrid w:val="0"/>
        <w:spacing w:after="0" w:line="360" w:lineRule="auto"/>
        <w:ind w:left="425" w:leftChars="0" w:hanging="425" w:firstLineChars="0"/>
        <w:textAlignment w:val="auto"/>
        <w:rPr>
          <w:rFonts w:hint="eastAsia" w:ascii="宋体" w:hAnsi="宋体" w:eastAsia="宋体" w:cs="宋体"/>
          <w:color w:val="auto"/>
          <w:kern w:val="2"/>
          <w:sz w:val="21"/>
          <w:szCs w:val="21"/>
          <w:highlight w:val="none"/>
          <w:lang w:val="en-US" w:eastAsia="zh-CN" w:bidi="ar-SA"/>
        </w:rPr>
      </w:pPr>
      <w:bookmarkStart w:id="13" w:name="OLE_LINK2"/>
      <w:bookmarkStart w:id="14" w:name="OLE_LINK1"/>
      <w:r>
        <w:rPr>
          <w:rFonts w:hint="eastAsia" w:ascii="宋体" w:hAnsi="宋体" w:cs="宋体"/>
          <w:color w:val="auto"/>
          <w:kern w:val="2"/>
          <w:sz w:val="21"/>
          <w:szCs w:val="21"/>
          <w:highlight w:val="none"/>
          <w:lang w:val="en-US" w:eastAsia="zh-CN" w:bidi="ar-SA"/>
        </w:rPr>
        <w:t>城管</w:t>
      </w:r>
      <w:bookmarkStart w:id="15" w:name="OLE_LINK18"/>
      <w:r>
        <w:rPr>
          <w:rFonts w:hint="eastAsia" w:ascii="宋体" w:hAnsi="宋体" w:cs="宋体"/>
          <w:color w:val="auto"/>
          <w:kern w:val="2"/>
          <w:sz w:val="21"/>
          <w:szCs w:val="21"/>
          <w:highlight w:val="none"/>
          <w:lang w:val="en-US" w:eastAsia="zh-CN" w:bidi="ar-SA"/>
        </w:rPr>
        <w:t>分局片站</w:t>
      </w:r>
      <w:bookmarkEnd w:id="13"/>
      <w:bookmarkEnd w:id="15"/>
      <w:r>
        <w:rPr>
          <w:rFonts w:hint="eastAsia" w:ascii="宋体" w:hAnsi="宋体" w:eastAsia="宋体" w:cs="宋体"/>
          <w:color w:val="auto"/>
          <w:kern w:val="2"/>
          <w:sz w:val="21"/>
          <w:szCs w:val="21"/>
          <w:highlight w:val="none"/>
          <w:lang w:val="en-US" w:eastAsia="zh-CN" w:bidi="ar-SA"/>
        </w:rPr>
        <w:t>日常检查</w:t>
      </w:r>
      <w:bookmarkEnd w:id="14"/>
      <w:r>
        <w:rPr>
          <w:rFonts w:hint="eastAsia" w:ascii="宋体" w:hAnsi="宋体" w:eastAsia="宋体" w:cs="宋体"/>
          <w:color w:val="auto"/>
          <w:kern w:val="2"/>
          <w:sz w:val="21"/>
          <w:szCs w:val="21"/>
          <w:highlight w:val="none"/>
          <w:lang w:val="en-US" w:eastAsia="zh-CN" w:bidi="ar-SA"/>
        </w:rPr>
        <w:t>（占</w:t>
      </w:r>
      <w:r>
        <w:rPr>
          <w:rFonts w:hint="eastAsia" w:ascii="宋体" w:hAnsi="宋体" w:cs="宋体"/>
          <w:color w:val="auto"/>
          <w:kern w:val="2"/>
          <w:sz w:val="21"/>
          <w:szCs w:val="21"/>
          <w:highlight w:val="none"/>
          <w:lang w:val="en-US" w:eastAsia="zh-CN" w:bidi="ar-SA"/>
        </w:rPr>
        <w:t>20</w:t>
      </w:r>
      <w:r>
        <w:rPr>
          <w:rFonts w:hint="eastAsia" w:ascii="宋体" w:hAnsi="宋体" w:eastAsia="宋体" w:cs="宋体"/>
          <w:color w:val="auto"/>
          <w:kern w:val="2"/>
          <w:sz w:val="21"/>
          <w:szCs w:val="21"/>
          <w:highlight w:val="none"/>
          <w:lang w:val="en-US" w:eastAsia="zh-CN" w:bidi="ar-SA"/>
        </w:rPr>
        <w:t>%）：</w:t>
      </w:r>
      <w:r>
        <w:rPr>
          <w:rFonts w:hint="eastAsia" w:ascii="宋体" w:hAnsi="宋体" w:cs="宋体"/>
          <w:color w:val="auto"/>
          <w:kern w:val="2"/>
          <w:sz w:val="21"/>
          <w:szCs w:val="21"/>
          <w:highlight w:val="none"/>
          <w:lang w:val="en-US" w:eastAsia="zh-CN" w:bidi="ar-SA"/>
        </w:rPr>
        <w:t>城管分局片站</w:t>
      </w:r>
      <w:r>
        <w:rPr>
          <w:rFonts w:hint="eastAsia" w:ascii="宋体" w:hAnsi="宋体" w:eastAsia="宋体" w:cs="宋体"/>
          <w:color w:val="auto"/>
          <w:kern w:val="2"/>
          <w:sz w:val="21"/>
          <w:szCs w:val="21"/>
          <w:highlight w:val="none"/>
          <w:lang w:val="en-US" w:eastAsia="zh-CN" w:bidi="ar-SA"/>
        </w:rPr>
        <w:t>，每天开展环卫保洁巡查监督，检查发现的问题以拍照形式进行记录，问题图片按照《</w:t>
      </w:r>
      <w:bookmarkStart w:id="16" w:name="OLE_LINK17"/>
      <w:r>
        <w:rPr>
          <w:rFonts w:hint="eastAsia" w:ascii="宋体" w:hAnsi="宋体" w:eastAsia="宋体" w:cs="宋体"/>
          <w:color w:val="auto"/>
          <w:kern w:val="2"/>
          <w:sz w:val="21"/>
          <w:szCs w:val="21"/>
          <w:highlight w:val="none"/>
          <w:lang w:val="en-US" w:eastAsia="zh-CN" w:bidi="ar-SA"/>
        </w:rPr>
        <w:t>虎门镇社区环卫清扫保洁考评表</w:t>
      </w:r>
      <w:bookmarkEnd w:id="16"/>
      <w:r>
        <w:rPr>
          <w:rFonts w:hint="eastAsia" w:ascii="宋体" w:hAnsi="宋体" w:eastAsia="宋体" w:cs="宋体"/>
          <w:color w:val="auto"/>
          <w:kern w:val="2"/>
          <w:sz w:val="21"/>
          <w:szCs w:val="21"/>
          <w:highlight w:val="none"/>
          <w:lang w:val="en-US" w:eastAsia="zh-CN" w:bidi="ar-SA"/>
        </w:rPr>
        <w:t>》（详见附件</w:t>
      </w:r>
      <w:r>
        <w:rPr>
          <w:rFonts w:hint="eastAsia" w:ascii="宋体" w:hAnsi="宋体" w:cs="宋体"/>
          <w:color w:val="auto"/>
          <w:kern w:val="2"/>
          <w:sz w:val="21"/>
          <w:szCs w:val="21"/>
          <w:highlight w:val="none"/>
          <w:lang w:val="en-US" w:eastAsia="zh-CN" w:bidi="ar-SA"/>
        </w:rPr>
        <w:t>1</w:t>
      </w:r>
      <w:r>
        <w:rPr>
          <w:rFonts w:hint="eastAsia" w:ascii="宋体" w:hAnsi="宋体" w:eastAsia="宋体" w:cs="宋体"/>
          <w:color w:val="auto"/>
          <w:kern w:val="2"/>
          <w:sz w:val="21"/>
          <w:szCs w:val="21"/>
          <w:highlight w:val="none"/>
          <w:lang w:val="en-US" w:eastAsia="zh-CN" w:bidi="ar-SA"/>
        </w:rPr>
        <w:t>）进行扣分，具体工作由</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统一组织安排。</w:t>
      </w:r>
    </w:p>
    <w:p w14:paraId="3B7F265C">
      <w:pPr>
        <w:pStyle w:val="6"/>
        <w:keepNext w:val="0"/>
        <w:keepLines w:val="0"/>
        <w:pageBreakBefore w:val="0"/>
        <w:widowControl w:val="0"/>
        <w:numPr>
          <w:ilvl w:val="0"/>
          <w:numId w:val="47"/>
        </w:numPr>
        <w:kinsoku/>
        <w:wordWrap/>
        <w:overflowPunct/>
        <w:topLinePunct w:val="0"/>
        <w:autoSpaceDE/>
        <w:autoSpaceDN/>
        <w:bidi w:val="0"/>
        <w:adjustRightInd w:val="0"/>
        <w:snapToGrid w:val="0"/>
        <w:spacing w:after="0" w:line="360" w:lineRule="auto"/>
        <w:ind w:left="425" w:leftChars="0" w:hanging="425" w:firstLineChars="0"/>
        <w:textAlignment w:val="auto"/>
        <w:rPr>
          <w:rFonts w:hint="eastAsia"/>
          <w:lang w:val="en-US" w:eastAsia="zh-CN"/>
        </w:rPr>
      </w:pPr>
      <w:r>
        <w:rPr>
          <w:rFonts w:hint="eastAsia" w:ascii="宋体" w:hAnsi="宋体" w:eastAsia="宋体" w:cs="宋体"/>
          <w:color w:val="auto"/>
          <w:kern w:val="2"/>
          <w:sz w:val="21"/>
          <w:szCs w:val="21"/>
          <w:highlight w:val="none"/>
          <w:lang w:val="en-US" w:eastAsia="zh-CN" w:bidi="ar-SA"/>
        </w:rPr>
        <w:t>月度明检：由</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于每月定期安排人员组织成立月度考评工作小组，对项目服务范围内保洁质量进行检查，检查发现的问题以拍照形式进行记录，问题图片按照《虎门镇社区环卫清扫保洁考评表》（详见附件</w:t>
      </w:r>
      <w:r>
        <w:rPr>
          <w:rFonts w:hint="eastAsia" w:ascii="宋体" w:hAnsi="宋体" w:cs="宋体"/>
          <w:color w:val="auto"/>
          <w:kern w:val="2"/>
          <w:sz w:val="21"/>
          <w:szCs w:val="21"/>
          <w:highlight w:val="none"/>
          <w:lang w:val="en-US" w:eastAsia="zh-CN" w:bidi="ar-SA"/>
        </w:rPr>
        <w:t>1</w:t>
      </w:r>
      <w:r>
        <w:rPr>
          <w:rFonts w:hint="eastAsia" w:ascii="宋体" w:hAnsi="宋体" w:eastAsia="宋体" w:cs="宋体"/>
          <w:color w:val="auto"/>
          <w:kern w:val="2"/>
          <w:sz w:val="21"/>
          <w:szCs w:val="21"/>
          <w:highlight w:val="none"/>
          <w:lang w:val="en-US" w:eastAsia="zh-CN" w:bidi="ar-SA"/>
        </w:rPr>
        <w:t>）进行扣分，具体工作由</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统一组织安排。</w:t>
      </w:r>
    </w:p>
    <w:p w14:paraId="4A9099DA">
      <w:pPr>
        <w:keepNext w:val="0"/>
        <w:keepLines w:val="0"/>
        <w:pageBreakBefore w:val="0"/>
        <w:widowControl w:val="0"/>
        <w:numPr>
          <w:ilvl w:val="0"/>
          <w:numId w:val="45"/>
        </w:numPr>
        <w:kinsoku/>
        <w:wordWrap/>
        <w:overflowPunct/>
        <w:topLinePunct w:val="0"/>
        <w:autoSpaceDE/>
        <w:autoSpaceDN/>
        <w:bidi w:val="0"/>
        <w:adjustRightInd w:val="0"/>
        <w:snapToGrid w:val="0"/>
        <w:spacing w:line="360" w:lineRule="auto"/>
        <w:ind w:left="425" w:leftChars="0" w:hanging="425" w:firstLineChars="0"/>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考核结果运用</w:t>
      </w:r>
    </w:p>
    <w:p w14:paraId="6E037E90">
      <w:pPr>
        <w:pStyle w:val="6"/>
        <w:keepNext w:val="0"/>
        <w:keepLines w:val="0"/>
        <w:pageBreakBefore w:val="0"/>
        <w:widowControl w:val="0"/>
        <w:numPr>
          <w:ilvl w:val="0"/>
          <w:numId w:val="48"/>
        </w:numPr>
        <w:kinsoku/>
        <w:wordWrap/>
        <w:overflowPunct/>
        <w:topLinePunct w:val="0"/>
        <w:autoSpaceDE/>
        <w:autoSpaceDN/>
        <w:bidi w:val="0"/>
        <w:adjustRightInd w:val="0"/>
        <w:snapToGrid w:val="0"/>
        <w:spacing w:after="0" w:line="360" w:lineRule="auto"/>
        <w:ind w:left="425" w:leftChars="0" w:hanging="425" w:firstLineChars="0"/>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对清扫保洁质量实行月度考评（包括</w:t>
      </w:r>
      <w:r>
        <w:rPr>
          <w:rFonts w:hint="eastAsia" w:ascii="宋体" w:hAnsi="宋体" w:cs="宋体"/>
          <w:color w:val="auto"/>
          <w:kern w:val="2"/>
          <w:sz w:val="21"/>
          <w:szCs w:val="21"/>
          <w:highlight w:val="none"/>
          <w:lang w:val="en-US" w:eastAsia="zh-CN" w:bidi="ar-SA"/>
        </w:rPr>
        <w:t>社区</w:t>
      </w:r>
      <w:r>
        <w:rPr>
          <w:rFonts w:hint="eastAsia" w:ascii="宋体" w:hAnsi="宋体" w:eastAsia="宋体" w:cs="宋体"/>
          <w:color w:val="auto"/>
          <w:kern w:val="2"/>
          <w:sz w:val="21"/>
          <w:szCs w:val="21"/>
          <w:highlight w:val="none"/>
          <w:lang w:val="en-US" w:eastAsia="zh-CN" w:bidi="ar-SA"/>
        </w:rPr>
        <w:t>日常检查、</w:t>
      </w:r>
      <w:bookmarkStart w:id="17" w:name="OLE_LINK3"/>
      <w:r>
        <w:rPr>
          <w:rFonts w:hint="eastAsia" w:ascii="宋体" w:hAnsi="宋体" w:cs="宋体"/>
          <w:color w:val="auto"/>
          <w:kern w:val="2"/>
          <w:sz w:val="21"/>
          <w:szCs w:val="21"/>
          <w:highlight w:val="none"/>
          <w:lang w:val="en-US" w:eastAsia="zh-CN" w:bidi="ar-SA"/>
        </w:rPr>
        <w:t>城管分局片站日常检查</w:t>
      </w:r>
      <w:bookmarkEnd w:id="17"/>
      <w:r>
        <w:rPr>
          <w:rFonts w:hint="eastAsia" w:ascii="宋体" w:hAnsi="宋体" w:cs="宋体"/>
          <w:color w:val="auto"/>
          <w:kern w:val="2"/>
          <w:sz w:val="21"/>
          <w:szCs w:val="21"/>
          <w:highlight w:val="none"/>
          <w:lang w:val="en-US" w:eastAsia="zh-CN" w:bidi="ar-SA"/>
        </w:rPr>
        <w:t>、</w:t>
      </w:r>
      <w:r>
        <w:rPr>
          <w:rFonts w:hint="eastAsia" w:ascii="宋体" w:hAnsi="宋体" w:eastAsia="宋体" w:cs="宋体"/>
          <w:color w:val="auto"/>
          <w:kern w:val="2"/>
          <w:sz w:val="21"/>
          <w:szCs w:val="21"/>
          <w:highlight w:val="none"/>
          <w:lang w:val="en-US" w:eastAsia="zh-CN" w:bidi="ar-SA"/>
        </w:rPr>
        <w:t>月度明检），其中，</w:t>
      </w:r>
      <w:r>
        <w:rPr>
          <w:rFonts w:hint="eastAsia" w:ascii="宋体" w:hAnsi="宋体" w:cs="宋体"/>
          <w:color w:val="auto"/>
          <w:kern w:val="2"/>
          <w:sz w:val="21"/>
          <w:szCs w:val="21"/>
          <w:highlight w:val="none"/>
          <w:lang w:val="en-US" w:eastAsia="zh-CN" w:bidi="ar-SA"/>
        </w:rPr>
        <w:t>社区</w:t>
      </w:r>
      <w:r>
        <w:rPr>
          <w:rFonts w:hint="eastAsia" w:ascii="宋体" w:hAnsi="宋体" w:eastAsia="宋体" w:cs="宋体"/>
          <w:color w:val="auto"/>
          <w:kern w:val="2"/>
          <w:sz w:val="21"/>
          <w:szCs w:val="21"/>
          <w:highlight w:val="none"/>
          <w:lang w:val="en-US" w:eastAsia="zh-CN" w:bidi="ar-SA"/>
        </w:rPr>
        <w:t>日常检查占总得分的</w:t>
      </w:r>
      <w:r>
        <w:rPr>
          <w:rFonts w:hint="eastAsia" w:ascii="宋体" w:hAnsi="宋体" w:cs="宋体"/>
          <w:color w:val="auto"/>
          <w:kern w:val="2"/>
          <w:sz w:val="21"/>
          <w:szCs w:val="21"/>
          <w:highlight w:val="none"/>
          <w:lang w:val="en-US" w:eastAsia="zh-CN" w:bidi="ar-SA"/>
        </w:rPr>
        <w:t>80</w:t>
      </w:r>
      <w:r>
        <w:rPr>
          <w:rFonts w:hint="eastAsia" w:ascii="宋体" w:hAnsi="宋体" w:eastAsia="宋体" w:cs="宋体"/>
          <w:color w:val="auto"/>
          <w:kern w:val="2"/>
          <w:sz w:val="21"/>
          <w:szCs w:val="21"/>
          <w:highlight w:val="none"/>
          <w:lang w:val="en-US" w:eastAsia="zh-CN" w:bidi="ar-SA"/>
        </w:rPr>
        <w:t>%（按日常检查得分的平均分计），</w:t>
      </w:r>
      <w:r>
        <w:rPr>
          <w:rFonts w:hint="eastAsia" w:ascii="宋体" w:hAnsi="宋体" w:cs="宋体"/>
          <w:color w:val="auto"/>
          <w:kern w:val="2"/>
          <w:sz w:val="21"/>
          <w:szCs w:val="21"/>
          <w:highlight w:val="none"/>
          <w:lang w:val="en-US" w:eastAsia="zh-CN" w:bidi="ar-SA"/>
        </w:rPr>
        <w:t>城管分局片站日常检查</w:t>
      </w:r>
      <w:r>
        <w:rPr>
          <w:rFonts w:hint="eastAsia" w:ascii="宋体" w:hAnsi="宋体" w:eastAsia="宋体" w:cs="宋体"/>
          <w:color w:val="auto"/>
          <w:kern w:val="2"/>
          <w:sz w:val="21"/>
          <w:szCs w:val="21"/>
          <w:highlight w:val="none"/>
          <w:lang w:val="en-US" w:eastAsia="zh-CN" w:bidi="ar-SA"/>
        </w:rPr>
        <w:t>占总得分的</w:t>
      </w:r>
      <w:r>
        <w:rPr>
          <w:rFonts w:hint="eastAsia" w:ascii="宋体" w:hAnsi="宋体" w:cs="宋体"/>
          <w:color w:val="auto"/>
          <w:kern w:val="2"/>
          <w:sz w:val="21"/>
          <w:szCs w:val="21"/>
          <w:highlight w:val="none"/>
          <w:lang w:val="en-US" w:eastAsia="zh-CN" w:bidi="ar-SA"/>
        </w:rPr>
        <w:t>20</w:t>
      </w:r>
      <w:r>
        <w:rPr>
          <w:rFonts w:hint="eastAsia" w:ascii="宋体" w:hAnsi="宋体" w:eastAsia="宋体" w:cs="宋体"/>
          <w:color w:val="auto"/>
          <w:kern w:val="2"/>
          <w:sz w:val="21"/>
          <w:szCs w:val="21"/>
          <w:highlight w:val="none"/>
          <w:lang w:val="en-US" w:eastAsia="zh-CN" w:bidi="ar-SA"/>
        </w:rPr>
        <w:t>%</w:t>
      </w:r>
      <w:r>
        <w:rPr>
          <w:rFonts w:hint="eastAsia" w:ascii="宋体" w:hAnsi="宋体" w:cs="宋体"/>
          <w:color w:val="auto"/>
          <w:kern w:val="2"/>
          <w:sz w:val="21"/>
          <w:szCs w:val="21"/>
          <w:highlight w:val="none"/>
          <w:lang w:val="en-US" w:eastAsia="zh-CN" w:bidi="ar-SA"/>
        </w:rPr>
        <w:t>和</w:t>
      </w:r>
      <w:r>
        <w:rPr>
          <w:rFonts w:hint="eastAsia" w:ascii="宋体" w:hAnsi="宋体" w:eastAsia="宋体" w:cs="宋体"/>
          <w:color w:val="auto"/>
          <w:kern w:val="2"/>
          <w:sz w:val="21"/>
          <w:szCs w:val="21"/>
          <w:highlight w:val="none"/>
          <w:lang w:val="en-US" w:eastAsia="zh-CN" w:bidi="ar-SA"/>
        </w:rPr>
        <w:t>月度明检。</w:t>
      </w:r>
    </w:p>
    <w:p w14:paraId="2E7718E1">
      <w:pPr>
        <w:pStyle w:val="6"/>
        <w:keepNext w:val="0"/>
        <w:keepLines w:val="0"/>
        <w:pageBreakBefore w:val="0"/>
        <w:widowControl w:val="0"/>
        <w:numPr>
          <w:ilvl w:val="0"/>
          <w:numId w:val="48"/>
        </w:numPr>
        <w:kinsoku/>
        <w:wordWrap/>
        <w:overflowPunct/>
        <w:topLinePunct w:val="0"/>
        <w:autoSpaceDE/>
        <w:autoSpaceDN/>
        <w:bidi w:val="0"/>
        <w:adjustRightInd w:val="0"/>
        <w:snapToGrid w:val="0"/>
        <w:spacing w:after="0" w:line="360" w:lineRule="auto"/>
        <w:ind w:left="425" w:leftChars="0" w:hanging="425" w:firstLineChars="0"/>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考核结果分为“好”“中”“差”三个档次，按照《</w:t>
      </w:r>
      <w:r>
        <w:rPr>
          <w:rFonts w:hint="eastAsia" w:ascii="宋体" w:hAnsi="宋体" w:cs="宋体"/>
          <w:color w:val="auto"/>
          <w:kern w:val="2"/>
          <w:sz w:val="21"/>
          <w:szCs w:val="21"/>
          <w:highlight w:val="none"/>
          <w:lang w:val="en-US" w:eastAsia="zh-CN" w:bidi="ar-SA"/>
        </w:rPr>
        <w:t>虎门镇环卫保洁明检扣减标准表</w:t>
      </w:r>
      <w:r>
        <w:rPr>
          <w:rFonts w:hint="eastAsia" w:ascii="宋体" w:hAnsi="宋体" w:eastAsia="宋体" w:cs="宋体"/>
          <w:color w:val="auto"/>
          <w:kern w:val="2"/>
          <w:sz w:val="21"/>
          <w:szCs w:val="21"/>
          <w:highlight w:val="none"/>
          <w:lang w:val="en-US" w:eastAsia="zh-CN" w:bidi="ar-SA"/>
        </w:rPr>
        <w:t>》（详见附件2）扣减</w:t>
      </w:r>
      <w:r>
        <w:rPr>
          <w:rFonts w:hint="eastAsia" w:ascii="宋体" w:hAnsi="宋体" w:cs="宋体"/>
          <w:color w:val="auto"/>
          <w:kern w:val="2"/>
          <w:sz w:val="21"/>
          <w:szCs w:val="21"/>
          <w:highlight w:val="none"/>
          <w:lang w:val="en-US" w:eastAsia="zh-CN" w:bidi="ar-SA"/>
        </w:rPr>
        <w:t>服务</w:t>
      </w:r>
      <w:r>
        <w:rPr>
          <w:rFonts w:hint="eastAsia" w:ascii="宋体" w:hAnsi="宋体" w:eastAsia="宋体" w:cs="宋体"/>
          <w:color w:val="auto"/>
          <w:kern w:val="2"/>
          <w:sz w:val="21"/>
          <w:szCs w:val="21"/>
          <w:highlight w:val="none"/>
          <w:lang w:val="en-US" w:eastAsia="zh-CN" w:bidi="ar-SA"/>
        </w:rPr>
        <w:t>费用。</w:t>
      </w:r>
    </w:p>
    <w:p w14:paraId="325A092F">
      <w:pPr>
        <w:keepNext w:val="0"/>
        <w:keepLines w:val="0"/>
        <w:pageBreakBefore w:val="0"/>
        <w:tabs>
          <w:tab w:val="left" w:pos="840"/>
        </w:tabs>
        <w:kinsoku/>
        <w:wordWrap/>
        <w:overflowPunct/>
        <w:topLinePunct w:val="0"/>
        <w:autoSpaceDE/>
        <w:autoSpaceDN/>
        <w:bidi w:val="0"/>
        <w:adjustRightInd/>
        <w:snapToGrid w:val="0"/>
        <w:spacing w:line="360" w:lineRule="auto"/>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附件</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lang w:eastAsia="zh-CN"/>
        </w:rPr>
        <w:t>、虎门镇黄村社区环卫清扫保洁考评表</w:t>
      </w:r>
    </w:p>
    <w:tbl>
      <w:tblPr>
        <w:tblStyle w:val="14"/>
        <w:tblW w:w="499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23" w:type="dxa"/>
          <w:bottom w:w="0" w:type="dxa"/>
          <w:right w:w="23" w:type="dxa"/>
        </w:tblCellMar>
      </w:tblPr>
      <w:tblGrid>
        <w:gridCol w:w="918"/>
        <w:gridCol w:w="3114"/>
        <w:gridCol w:w="3408"/>
        <w:gridCol w:w="815"/>
        <w:gridCol w:w="856"/>
      </w:tblGrid>
      <w:tr w14:paraId="63870A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1561" w:hRule="atLeast"/>
          <w:jc w:val="center"/>
        </w:trPr>
        <w:tc>
          <w:tcPr>
            <w:tcW w:w="2213" w:type="pct"/>
            <w:gridSpan w:val="2"/>
            <w:tcBorders>
              <w:top w:val="single" w:color="auto" w:sz="4" w:space="0"/>
              <w:left w:val="single" w:color="000000" w:sz="4" w:space="0"/>
              <w:bottom w:val="single" w:color="000000" w:sz="4" w:space="0"/>
              <w:right w:val="single" w:color="000000" w:sz="4" w:space="0"/>
            </w:tcBorders>
            <w:noWrap/>
            <w:vAlign w:val="center"/>
          </w:tcPr>
          <w:p w14:paraId="1C702914">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现场考核</w:t>
            </w:r>
          </w:p>
        </w:tc>
        <w:tc>
          <w:tcPr>
            <w:tcW w:w="1870" w:type="pct"/>
            <w:tcBorders>
              <w:top w:val="single" w:color="auto" w:sz="4" w:space="0"/>
              <w:left w:val="nil"/>
              <w:bottom w:val="nil"/>
              <w:right w:val="nil"/>
            </w:tcBorders>
            <w:noWrap/>
            <w:vAlign w:val="center"/>
          </w:tcPr>
          <w:p w14:paraId="68A69894">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扣分办法</w:t>
            </w:r>
          </w:p>
        </w:tc>
        <w:tc>
          <w:tcPr>
            <w:tcW w:w="447" w:type="pct"/>
            <w:tcBorders>
              <w:top w:val="single" w:color="000000" w:sz="4" w:space="0"/>
              <w:left w:val="single" w:color="000000" w:sz="4" w:space="0"/>
              <w:bottom w:val="single" w:color="000000" w:sz="4" w:space="0"/>
              <w:right w:val="single" w:color="000000" w:sz="4" w:space="0"/>
            </w:tcBorders>
            <w:noWrap w:val="0"/>
            <w:vAlign w:val="center"/>
          </w:tcPr>
          <w:p w14:paraId="6F6AEC7D">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现场检</w:t>
            </w:r>
            <w:r>
              <w:rPr>
                <w:rStyle w:val="36"/>
                <w:rFonts w:hint="eastAsia" w:ascii="宋体" w:hAnsi="宋体" w:eastAsia="宋体" w:cs="宋体"/>
                <w:color w:val="auto"/>
                <w:sz w:val="21"/>
                <w:szCs w:val="21"/>
                <w:highlight w:val="none"/>
                <w:lang w:val="en-US" w:eastAsia="zh-CN" w:bidi="ar"/>
              </w:rPr>
              <w:t>查扣分</w:t>
            </w:r>
          </w:p>
        </w:tc>
        <w:tc>
          <w:tcPr>
            <w:tcW w:w="468" w:type="pct"/>
            <w:tcBorders>
              <w:top w:val="single" w:color="000000" w:sz="4" w:space="0"/>
              <w:left w:val="single" w:color="000000" w:sz="4" w:space="0"/>
              <w:bottom w:val="single" w:color="000000" w:sz="4" w:space="0"/>
              <w:right w:val="single" w:color="000000" w:sz="4" w:space="0"/>
            </w:tcBorders>
            <w:noWrap w:val="0"/>
            <w:vAlign w:val="center"/>
          </w:tcPr>
          <w:p w14:paraId="2E7089C6">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现场检查扣分路段情况</w:t>
            </w:r>
          </w:p>
        </w:tc>
      </w:tr>
      <w:tr w14:paraId="619C4E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686" w:hRule="atLeast"/>
          <w:jc w:val="center"/>
        </w:trPr>
        <w:tc>
          <w:tcPr>
            <w:tcW w:w="504" w:type="pct"/>
            <w:tcBorders>
              <w:top w:val="single" w:color="000000" w:sz="4" w:space="0"/>
              <w:left w:val="single" w:color="000000" w:sz="4" w:space="0"/>
              <w:bottom w:val="single" w:color="000000" w:sz="4" w:space="0"/>
              <w:right w:val="single" w:color="000000" w:sz="4" w:space="0"/>
            </w:tcBorders>
            <w:noWrap/>
            <w:vAlign w:val="center"/>
          </w:tcPr>
          <w:p w14:paraId="1488759E">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项目</w:t>
            </w:r>
          </w:p>
        </w:tc>
        <w:tc>
          <w:tcPr>
            <w:tcW w:w="1708" w:type="pct"/>
            <w:tcBorders>
              <w:top w:val="nil"/>
              <w:left w:val="nil"/>
              <w:bottom w:val="nil"/>
              <w:right w:val="nil"/>
            </w:tcBorders>
            <w:noWrap/>
            <w:vAlign w:val="center"/>
          </w:tcPr>
          <w:p w14:paraId="09C38A32">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检查方法及评分依据</w:t>
            </w:r>
          </w:p>
        </w:tc>
        <w:tc>
          <w:tcPr>
            <w:tcW w:w="1870" w:type="pct"/>
            <w:tcBorders>
              <w:top w:val="single" w:color="000000" w:sz="4" w:space="0"/>
              <w:left w:val="single" w:color="000000" w:sz="4" w:space="0"/>
              <w:bottom w:val="single" w:color="000000" w:sz="4" w:space="0"/>
              <w:right w:val="single" w:color="000000" w:sz="4" w:space="0"/>
            </w:tcBorders>
            <w:noWrap/>
            <w:vAlign w:val="center"/>
          </w:tcPr>
          <w:p w14:paraId="7BB748B0">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c>
          <w:tcPr>
            <w:tcW w:w="447" w:type="pct"/>
            <w:tcBorders>
              <w:top w:val="single" w:color="000000" w:sz="4" w:space="0"/>
              <w:left w:val="single" w:color="000000" w:sz="4" w:space="0"/>
              <w:bottom w:val="single" w:color="000000" w:sz="4" w:space="0"/>
              <w:right w:val="nil"/>
            </w:tcBorders>
            <w:noWrap/>
            <w:vAlign w:val="center"/>
          </w:tcPr>
          <w:p w14:paraId="29430FE7">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c>
          <w:tcPr>
            <w:tcW w:w="468" w:type="pct"/>
            <w:tcBorders>
              <w:top w:val="single" w:color="000000" w:sz="4" w:space="0"/>
              <w:left w:val="single" w:color="000000" w:sz="4" w:space="0"/>
              <w:bottom w:val="single" w:color="000000" w:sz="4" w:space="0"/>
              <w:right w:val="single" w:color="000000" w:sz="4" w:space="0"/>
            </w:tcBorders>
            <w:noWrap/>
            <w:vAlign w:val="center"/>
          </w:tcPr>
          <w:p w14:paraId="151F8DA4">
            <w:pPr>
              <w:keepNext w:val="0"/>
              <w:keepLines w:val="0"/>
              <w:pageBreakBefore w:val="0"/>
              <w:kinsoku/>
              <w:wordWrap/>
              <w:overflowPunct/>
              <w:topLinePunct w:val="0"/>
              <w:autoSpaceDE/>
              <w:autoSpaceDN/>
              <w:bidi w:val="0"/>
              <w:adjustRightInd/>
              <w:snapToGrid w:val="0"/>
              <w:spacing w:line="440" w:lineRule="exact"/>
              <w:jc w:val="left"/>
              <w:rPr>
                <w:rFonts w:hint="eastAsia" w:ascii="宋体" w:hAnsi="宋体" w:eastAsia="宋体" w:cs="宋体"/>
                <w:i w:val="0"/>
                <w:iCs w:val="0"/>
                <w:color w:val="auto"/>
                <w:sz w:val="21"/>
                <w:szCs w:val="21"/>
                <w:highlight w:val="none"/>
                <w:u w:val="none"/>
              </w:rPr>
            </w:pPr>
          </w:p>
        </w:tc>
      </w:tr>
      <w:tr w14:paraId="2A08DE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2158" w:hRule="atLeast"/>
          <w:jc w:val="center"/>
        </w:trPr>
        <w:tc>
          <w:tcPr>
            <w:tcW w:w="504" w:type="pct"/>
            <w:tcBorders>
              <w:top w:val="single" w:color="000000" w:sz="4" w:space="0"/>
              <w:left w:val="single" w:color="000000" w:sz="4" w:space="0"/>
              <w:bottom w:val="single" w:color="000000" w:sz="4" w:space="0"/>
              <w:right w:val="single" w:color="000000" w:sz="4" w:space="0"/>
            </w:tcBorders>
            <w:noWrap w:val="0"/>
            <w:vAlign w:val="center"/>
          </w:tcPr>
          <w:p w14:paraId="3450A361">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一、人员设备要求15分</w:t>
            </w:r>
          </w:p>
        </w:tc>
        <w:tc>
          <w:tcPr>
            <w:tcW w:w="1708" w:type="pct"/>
            <w:tcBorders>
              <w:top w:val="single" w:color="000000" w:sz="4" w:space="0"/>
              <w:left w:val="single" w:color="000000" w:sz="4" w:space="0"/>
              <w:bottom w:val="single" w:color="000000" w:sz="4" w:space="0"/>
              <w:right w:val="single" w:color="000000" w:sz="4" w:space="0"/>
            </w:tcBorders>
            <w:noWrap w:val="0"/>
            <w:vAlign w:val="center"/>
          </w:tcPr>
          <w:p w14:paraId="54153AD1">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1、参考《设备配置要求及</w:t>
            </w:r>
            <w:r>
              <w:rPr>
                <w:rFonts w:hint="eastAsia" w:ascii="宋体" w:hAnsi="宋体" w:eastAsia="宋体" w:cs="宋体"/>
                <w:b w:val="0"/>
                <w:bCs w:val="0"/>
                <w:color w:val="auto"/>
                <w:sz w:val="21"/>
                <w:szCs w:val="21"/>
                <w:highlight w:val="none"/>
                <w:lang w:val="en-US" w:eastAsia="zh-CN"/>
              </w:rPr>
              <w:t>人员配置要求</w:t>
            </w:r>
            <w:r>
              <w:rPr>
                <w:rFonts w:hint="eastAsia" w:ascii="宋体" w:hAnsi="宋体" w:eastAsia="宋体" w:cs="宋体"/>
                <w:i w:val="0"/>
                <w:iCs w:val="0"/>
                <w:color w:val="auto"/>
                <w:kern w:val="0"/>
                <w:sz w:val="21"/>
                <w:szCs w:val="21"/>
                <w:highlight w:val="none"/>
                <w:u w:val="none"/>
                <w:lang w:val="en-US" w:eastAsia="zh-CN" w:bidi="ar"/>
              </w:rPr>
              <w:t>》社区环卫保洁管理队伍机械设备人员清单及实际作业需要。</w:t>
            </w:r>
          </w:p>
        </w:tc>
        <w:tc>
          <w:tcPr>
            <w:tcW w:w="1870" w:type="pct"/>
            <w:tcBorders>
              <w:top w:val="single" w:color="000000" w:sz="4" w:space="0"/>
              <w:left w:val="single" w:color="000000" w:sz="4" w:space="0"/>
              <w:bottom w:val="single" w:color="000000" w:sz="4" w:space="0"/>
              <w:right w:val="single" w:color="000000" w:sz="4" w:space="0"/>
            </w:tcBorders>
            <w:noWrap w:val="0"/>
            <w:vAlign w:val="center"/>
          </w:tcPr>
          <w:p w14:paraId="53BD178B">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1、每缺1名环卫工人扣1分扣完为止；</w:t>
            </w:r>
          </w:p>
          <w:p w14:paraId="6E944560">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2、每1名环卫监督员工作不到位扣2分，扣完为止；</w:t>
            </w:r>
          </w:p>
          <w:p w14:paraId="6B7D726B">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3、每缺1台洒水车、扫地车、平板车或后置压缩车扣5分扣完为止；</w:t>
            </w:r>
          </w:p>
          <w:p w14:paraId="74F95B66">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4、其他工具扣1～5分。</w:t>
            </w:r>
          </w:p>
        </w:tc>
        <w:tc>
          <w:tcPr>
            <w:tcW w:w="447" w:type="pct"/>
            <w:tcBorders>
              <w:top w:val="single" w:color="000000" w:sz="4" w:space="0"/>
              <w:left w:val="single" w:color="000000" w:sz="4" w:space="0"/>
              <w:bottom w:val="single" w:color="000000" w:sz="4" w:space="0"/>
              <w:right w:val="single" w:color="000000" w:sz="4" w:space="0"/>
            </w:tcBorders>
            <w:noWrap/>
            <w:vAlign w:val="center"/>
          </w:tcPr>
          <w:p w14:paraId="7C7BEF21">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c>
          <w:tcPr>
            <w:tcW w:w="468" w:type="pct"/>
            <w:tcBorders>
              <w:top w:val="single" w:color="000000" w:sz="4" w:space="0"/>
              <w:left w:val="single" w:color="000000" w:sz="4" w:space="0"/>
              <w:bottom w:val="single" w:color="000000" w:sz="4" w:space="0"/>
              <w:right w:val="single" w:color="000000" w:sz="4" w:space="0"/>
            </w:tcBorders>
            <w:noWrap/>
            <w:vAlign w:val="center"/>
          </w:tcPr>
          <w:p w14:paraId="4159C32B">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r>
      <w:tr w14:paraId="33F812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965" w:hRule="atLeast"/>
          <w:jc w:val="center"/>
        </w:trPr>
        <w:tc>
          <w:tcPr>
            <w:tcW w:w="504" w:type="pct"/>
            <w:vMerge w:val="restart"/>
            <w:tcBorders>
              <w:top w:val="single" w:color="000000" w:sz="4" w:space="0"/>
              <w:left w:val="single" w:color="000000" w:sz="4" w:space="0"/>
              <w:bottom w:val="single" w:color="000000" w:sz="4" w:space="0"/>
              <w:right w:val="single" w:color="000000" w:sz="4" w:space="0"/>
            </w:tcBorders>
            <w:noWrap w:val="0"/>
            <w:vAlign w:val="center"/>
          </w:tcPr>
          <w:p w14:paraId="554FAD36">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kern w:val="0"/>
                <w:sz w:val="21"/>
                <w:szCs w:val="21"/>
                <w:highlight w:val="none"/>
                <w:u w:val="none"/>
                <w:lang w:val="en-US" w:eastAsia="zh-CN" w:bidi="ar"/>
              </w:rPr>
            </w:pPr>
          </w:p>
          <w:p w14:paraId="766494B9">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二、路面清扫保洁20分</w:t>
            </w:r>
          </w:p>
        </w:tc>
        <w:tc>
          <w:tcPr>
            <w:tcW w:w="1708" w:type="pct"/>
            <w:tcBorders>
              <w:top w:val="single" w:color="000000" w:sz="4" w:space="0"/>
              <w:left w:val="single" w:color="000000" w:sz="4" w:space="0"/>
              <w:bottom w:val="single" w:color="000000" w:sz="4" w:space="0"/>
              <w:right w:val="single" w:color="000000" w:sz="4" w:space="0"/>
            </w:tcBorders>
            <w:noWrap w:val="0"/>
            <w:vAlign w:val="center"/>
          </w:tcPr>
          <w:p w14:paraId="75A0E494">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1、每日普扫一次，普扫作业在早上7时前完成；</w:t>
            </w:r>
          </w:p>
        </w:tc>
        <w:tc>
          <w:tcPr>
            <w:tcW w:w="1870" w:type="pct"/>
            <w:tcBorders>
              <w:top w:val="single" w:color="000000" w:sz="4" w:space="0"/>
              <w:left w:val="single" w:color="000000" w:sz="4" w:space="0"/>
              <w:bottom w:val="single" w:color="000000" w:sz="4" w:space="0"/>
              <w:right w:val="single" w:color="000000" w:sz="4" w:space="0"/>
            </w:tcBorders>
            <w:noWrap w:val="0"/>
            <w:vAlign w:val="center"/>
          </w:tcPr>
          <w:p w14:paraId="664D8C2F">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1、在规定时间内道路未扫完的，每次扣1分，扣完为止。</w:t>
            </w:r>
          </w:p>
        </w:tc>
        <w:tc>
          <w:tcPr>
            <w:tcW w:w="447" w:type="pct"/>
            <w:tcBorders>
              <w:top w:val="single" w:color="000000" w:sz="4" w:space="0"/>
              <w:left w:val="single" w:color="000000" w:sz="4" w:space="0"/>
              <w:bottom w:val="single" w:color="000000" w:sz="4" w:space="0"/>
              <w:right w:val="single" w:color="000000" w:sz="4" w:space="0"/>
            </w:tcBorders>
            <w:noWrap/>
            <w:vAlign w:val="center"/>
          </w:tcPr>
          <w:p w14:paraId="636E100E">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c>
          <w:tcPr>
            <w:tcW w:w="468" w:type="pct"/>
            <w:tcBorders>
              <w:top w:val="single" w:color="000000" w:sz="4" w:space="0"/>
              <w:left w:val="single" w:color="000000" w:sz="4" w:space="0"/>
              <w:bottom w:val="single" w:color="000000" w:sz="4" w:space="0"/>
              <w:right w:val="single" w:color="000000" w:sz="4" w:space="0"/>
            </w:tcBorders>
            <w:noWrap/>
            <w:vAlign w:val="center"/>
          </w:tcPr>
          <w:p w14:paraId="37161F7B">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r>
      <w:tr w14:paraId="79F90C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941" w:hRule="atLeast"/>
          <w:jc w:val="center"/>
        </w:trPr>
        <w:tc>
          <w:tcPr>
            <w:tcW w:w="504" w:type="pct"/>
            <w:vMerge w:val="continue"/>
            <w:tcBorders>
              <w:top w:val="single" w:color="000000" w:sz="4" w:space="0"/>
              <w:left w:val="single" w:color="000000" w:sz="4" w:space="0"/>
              <w:bottom w:val="single" w:color="000000" w:sz="4" w:space="0"/>
              <w:right w:val="single" w:color="000000" w:sz="4" w:space="0"/>
            </w:tcBorders>
            <w:noWrap w:val="0"/>
            <w:vAlign w:val="center"/>
          </w:tcPr>
          <w:p w14:paraId="295F2348">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c>
          <w:tcPr>
            <w:tcW w:w="1708" w:type="pct"/>
            <w:tcBorders>
              <w:top w:val="single" w:color="000000" w:sz="4" w:space="0"/>
              <w:left w:val="single" w:color="000000" w:sz="4" w:space="0"/>
              <w:bottom w:val="single" w:color="000000" w:sz="4" w:space="0"/>
              <w:right w:val="single" w:color="000000" w:sz="4" w:space="0"/>
            </w:tcBorders>
            <w:noWrap w:val="0"/>
            <w:vAlign w:val="center"/>
          </w:tcPr>
          <w:p w14:paraId="04EE0EF7">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2、保洁时间：三级区域道路从早上7时至晚上19时（12小时）,虎门镇村（社区）中心区域及居住区道路从早上7时至晚上19时（12小时）维持道路清洁。</w:t>
            </w:r>
          </w:p>
        </w:tc>
        <w:tc>
          <w:tcPr>
            <w:tcW w:w="1870" w:type="pct"/>
            <w:tcBorders>
              <w:top w:val="single" w:color="000000" w:sz="4" w:space="0"/>
              <w:left w:val="single" w:color="000000" w:sz="4" w:space="0"/>
              <w:bottom w:val="single" w:color="000000" w:sz="4" w:space="0"/>
              <w:right w:val="single" w:color="000000" w:sz="4" w:space="0"/>
            </w:tcBorders>
            <w:noWrap w:val="0"/>
            <w:vAlign w:val="center"/>
          </w:tcPr>
          <w:p w14:paraId="6B9765D0">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2、达不到要求的，每缺1小时扣1分，扣完为止。</w:t>
            </w:r>
          </w:p>
        </w:tc>
        <w:tc>
          <w:tcPr>
            <w:tcW w:w="447" w:type="pct"/>
            <w:tcBorders>
              <w:top w:val="single" w:color="000000" w:sz="4" w:space="0"/>
              <w:left w:val="single" w:color="000000" w:sz="4" w:space="0"/>
              <w:bottom w:val="single" w:color="000000" w:sz="4" w:space="0"/>
              <w:right w:val="single" w:color="000000" w:sz="4" w:space="0"/>
            </w:tcBorders>
            <w:noWrap/>
            <w:vAlign w:val="center"/>
          </w:tcPr>
          <w:p w14:paraId="0AC3D671">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c>
          <w:tcPr>
            <w:tcW w:w="468" w:type="pct"/>
            <w:tcBorders>
              <w:top w:val="single" w:color="000000" w:sz="4" w:space="0"/>
              <w:left w:val="single" w:color="000000" w:sz="4" w:space="0"/>
              <w:bottom w:val="single" w:color="000000" w:sz="4" w:space="0"/>
              <w:right w:val="single" w:color="000000" w:sz="4" w:space="0"/>
            </w:tcBorders>
            <w:noWrap/>
            <w:vAlign w:val="center"/>
          </w:tcPr>
          <w:p w14:paraId="0B73454C">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r>
      <w:tr w14:paraId="4E832F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1561" w:hRule="atLeast"/>
          <w:jc w:val="center"/>
        </w:trPr>
        <w:tc>
          <w:tcPr>
            <w:tcW w:w="504" w:type="pct"/>
            <w:vMerge w:val="continue"/>
            <w:tcBorders>
              <w:top w:val="single" w:color="000000" w:sz="4" w:space="0"/>
              <w:left w:val="single" w:color="000000" w:sz="4" w:space="0"/>
              <w:bottom w:val="single" w:color="000000" w:sz="4" w:space="0"/>
              <w:right w:val="single" w:color="000000" w:sz="4" w:space="0"/>
            </w:tcBorders>
            <w:noWrap w:val="0"/>
            <w:vAlign w:val="center"/>
          </w:tcPr>
          <w:p w14:paraId="6B612DBC">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c>
          <w:tcPr>
            <w:tcW w:w="1708" w:type="pct"/>
            <w:tcBorders>
              <w:top w:val="single" w:color="000000" w:sz="4" w:space="0"/>
              <w:left w:val="single" w:color="000000" w:sz="4" w:space="0"/>
              <w:bottom w:val="single" w:color="000000" w:sz="4" w:space="0"/>
              <w:right w:val="single" w:color="000000" w:sz="4" w:space="0"/>
            </w:tcBorders>
            <w:noWrap w:val="0"/>
            <w:vAlign w:val="center"/>
          </w:tcPr>
          <w:p w14:paraId="11F8FFF3">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3、农田、鱼塘边、山边卫生保洁要做到无垃圾、无杂物、无渣土、无乱堆乱放、无卫生死角。公共场所周围应整洁，无乱堆杂物、存留垃圾、人畜粪便和污水。</w:t>
            </w:r>
          </w:p>
        </w:tc>
        <w:tc>
          <w:tcPr>
            <w:tcW w:w="1870" w:type="pct"/>
            <w:tcBorders>
              <w:top w:val="single" w:color="000000" w:sz="4" w:space="0"/>
              <w:left w:val="single" w:color="000000" w:sz="4" w:space="0"/>
              <w:bottom w:val="single" w:color="000000" w:sz="4" w:space="0"/>
              <w:right w:val="single" w:color="000000" w:sz="4" w:space="0"/>
            </w:tcBorders>
            <w:noWrap w:val="0"/>
            <w:vAlign w:val="center"/>
          </w:tcPr>
          <w:p w14:paraId="7CAF7E1E">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3、发现未清理的，每处扣0.5分，扣完为止。</w:t>
            </w:r>
          </w:p>
        </w:tc>
        <w:tc>
          <w:tcPr>
            <w:tcW w:w="447" w:type="pct"/>
            <w:tcBorders>
              <w:top w:val="single" w:color="000000" w:sz="4" w:space="0"/>
              <w:left w:val="single" w:color="000000" w:sz="4" w:space="0"/>
              <w:bottom w:val="single" w:color="000000" w:sz="4" w:space="0"/>
              <w:right w:val="single" w:color="000000" w:sz="4" w:space="0"/>
            </w:tcBorders>
            <w:noWrap/>
            <w:vAlign w:val="center"/>
          </w:tcPr>
          <w:p w14:paraId="1AB249B8">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c>
          <w:tcPr>
            <w:tcW w:w="468" w:type="pct"/>
            <w:tcBorders>
              <w:top w:val="single" w:color="000000" w:sz="4" w:space="0"/>
              <w:left w:val="single" w:color="000000" w:sz="4" w:space="0"/>
              <w:bottom w:val="single" w:color="000000" w:sz="4" w:space="0"/>
              <w:right w:val="single" w:color="000000" w:sz="4" w:space="0"/>
            </w:tcBorders>
            <w:noWrap/>
            <w:vAlign w:val="center"/>
          </w:tcPr>
          <w:p w14:paraId="604A1DCD">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r>
      <w:tr w14:paraId="7DC63D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686" w:hRule="atLeast"/>
          <w:jc w:val="center"/>
        </w:trPr>
        <w:tc>
          <w:tcPr>
            <w:tcW w:w="504" w:type="pct"/>
            <w:vMerge w:val="continue"/>
            <w:tcBorders>
              <w:top w:val="single" w:color="000000" w:sz="4" w:space="0"/>
              <w:left w:val="single" w:color="000000" w:sz="4" w:space="0"/>
              <w:bottom w:val="single" w:color="000000" w:sz="4" w:space="0"/>
              <w:right w:val="single" w:color="000000" w:sz="4" w:space="0"/>
            </w:tcBorders>
            <w:noWrap w:val="0"/>
            <w:vAlign w:val="center"/>
          </w:tcPr>
          <w:p w14:paraId="4B7AB676">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c>
          <w:tcPr>
            <w:tcW w:w="1708" w:type="pct"/>
            <w:tcBorders>
              <w:top w:val="single" w:color="000000" w:sz="4" w:space="0"/>
              <w:left w:val="single" w:color="000000" w:sz="4" w:space="0"/>
              <w:bottom w:val="single" w:color="000000" w:sz="4" w:space="0"/>
              <w:right w:val="single" w:color="000000" w:sz="4" w:space="0"/>
            </w:tcBorders>
            <w:noWrap w:val="0"/>
            <w:vAlign w:val="center"/>
          </w:tcPr>
          <w:p w14:paraId="23F2A04A">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4、路面清扫要求达到“九无、四净一通”标准。</w:t>
            </w:r>
          </w:p>
        </w:tc>
        <w:tc>
          <w:tcPr>
            <w:tcW w:w="1870" w:type="pct"/>
            <w:tcBorders>
              <w:top w:val="single" w:color="000000" w:sz="4" w:space="0"/>
              <w:left w:val="single" w:color="000000" w:sz="4" w:space="0"/>
              <w:bottom w:val="single" w:color="000000" w:sz="4" w:space="0"/>
              <w:right w:val="single" w:color="000000" w:sz="4" w:space="0"/>
            </w:tcBorders>
            <w:noWrap w:val="0"/>
            <w:vAlign w:val="center"/>
          </w:tcPr>
          <w:p w14:paraId="24DBACF5">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4、未达到要求的，每项每处扣0.5分，扣完为止。</w:t>
            </w:r>
          </w:p>
        </w:tc>
        <w:tc>
          <w:tcPr>
            <w:tcW w:w="447" w:type="pct"/>
            <w:tcBorders>
              <w:top w:val="single" w:color="000000" w:sz="4" w:space="0"/>
              <w:left w:val="single" w:color="000000" w:sz="4" w:space="0"/>
              <w:bottom w:val="single" w:color="000000" w:sz="4" w:space="0"/>
              <w:right w:val="single" w:color="000000" w:sz="4" w:space="0"/>
            </w:tcBorders>
            <w:noWrap/>
            <w:vAlign w:val="center"/>
          </w:tcPr>
          <w:p w14:paraId="1A4C6C6A">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c>
          <w:tcPr>
            <w:tcW w:w="468" w:type="pct"/>
            <w:tcBorders>
              <w:top w:val="single" w:color="000000" w:sz="4" w:space="0"/>
              <w:left w:val="single" w:color="000000" w:sz="4" w:space="0"/>
              <w:bottom w:val="single" w:color="000000" w:sz="4" w:space="0"/>
              <w:right w:val="single" w:color="000000" w:sz="4" w:space="0"/>
            </w:tcBorders>
            <w:noWrap/>
            <w:vAlign w:val="center"/>
          </w:tcPr>
          <w:p w14:paraId="2777A044">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r>
      <w:tr w14:paraId="1BC5E8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1263" w:hRule="atLeast"/>
          <w:jc w:val="center"/>
        </w:trPr>
        <w:tc>
          <w:tcPr>
            <w:tcW w:w="504" w:type="pct"/>
            <w:vMerge w:val="continue"/>
            <w:tcBorders>
              <w:top w:val="single" w:color="000000" w:sz="4" w:space="0"/>
              <w:left w:val="single" w:color="000000" w:sz="4" w:space="0"/>
              <w:bottom w:val="single" w:color="000000" w:sz="4" w:space="0"/>
              <w:right w:val="single" w:color="000000" w:sz="4" w:space="0"/>
            </w:tcBorders>
            <w:noWrap w:val="0"/>
            <w:vAlign w:val="center"/>
          </w:tcPr>
          <w:p w14:paraId="4906877C">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c>
          <w:tcPr>
            <w:tcW w:w="1708" w:type="pct"/>
            <w:tcBorders>
              <w:top w:val="single" w:color="000000" w:sz="4" w:space="0"/>
              <w:left w:val="single" w:color="000000" w:sz="4" w:space="0"/>
              <w:bottom w:val="single" w:color="000000" w:sz="4" w:space="0"/>
              <w:right w:val="single" w:color="000000" w:sz="4" w:space="0"/>
            </w:tcBorders>
            <w:noWrap w:val="0"/>
            <w:vAlign w:val="center"/>
          </w:tcPr>
          <w:p w14:paraId="099CF646">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5、清扫保洁人员应穿着统一制作的行业工作服，保持衣冠整齐，有明显所属单位标志，夜间作业应佩带反光安全标志。</w:t>
            </w:r>
          </w:p>
        </w:tc>
        <w:tc>
          <w:tcPr>
            <w:tcW w:w="1870" w:type="pct"/>
            <w:tcBorders>
              <w:top w:val="single" w:color="000000" w:sz="4" w:space="0"/>
              <w:left w:val="single" w:color="000000" w:sz="4" w:space="0"/>
              <w:bottom w:val="single" w:color="000000" w:sz="4" w:space="0"/>
              <w:right w:val="single" w:color="000000" w:sz="4" w:space="0"/>
            </w:tcBorders>
            <w:noWrap w:val="0"/>
            <w:vAlign w:val="center"/>
          </w:tcPr>
          <w:p w14:paraId="062CBA1E">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5、发现未着标志服上岗的，每人扣0.2分，扣完为止。</w:t>
            </w:r>
          </w:p>
        </w:tc>
        <w:tc>
          <w:tcPr>
            <w:tcW w:w="447" w:type="pct"/>
            <w:tcBorders>
              <w:top w:val="single" w:color="000000" w:sz="4" w:space="0"/>
              <w:left w:val="single" w:color="000000" w:sz="4" w:space="0"/>
              <w:bottom w:val="single" w:color="000000" w:sz="4" w:space="0"/>
              <w:right w:val="single" w:color="000000" w:sz="4" w:space="0"/>
            </w:tcBorders>
            <w:noWrap/>
            <w:vAlign w:val="center"/>
          </w:tcPr>
          <w:p w14:paraId="73FAB8C2">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c>
          <w:tcPr>
            <w:tcW w:w="468" w:type="pct"/>
            <w:tcBorders>
              <w:top w:val="single" w:color="000000" w:sz="4" w:space="0"/>
              <w:left w:val="single" w:color="000000" w:sz="4" w:space="0"/>
              <w:bottom w:val="single" w:color="000000" w:sz="4" w:space="0"/>
              <w:right w:val="single" w:color="000000" w:sz="4" w:space="0"/>
            </w:tcBorders>
            <w:noWrap/>
            <w:vAlign w:val="center"/>
          </w:tcPr>
          <w:p w14:paraId="6CE0F716">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r>
      <w:tr w14:paraId="77B600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1251" w:hRule="atLeast"/>
          <w:jc w:val="center"/>
        </w:trPr>
        <w:tc>
          <w:tcPr>
            <w:tcW w:w="504" w:type="pct"/>
            <w:vMerge w:val="restart"/>
            <w:tcBorders>
              <w:top w:val="single" w:color="000000" w:sz="4" w:space="0"/>
              <w:left w:val="single" w:color="000000" w:sz="4" w:space="0"/>
              <w:bottom w:val="single" w:color="000000" w:sz="4" w:space="0"/>
              <w:right w:val="single" w:color="000000" w:sz="4" w:space="0"/>
            </w:tcBorders>
            <w:noWrap w:val="0"/>
            <w:vAlign w:val="center"/>
          </w:tcPr>
          <w:p w14:paraId="534BCEA5">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三、路面冲洗20分</w:t>
            </w:r>
          </w:p>
        </w:tc>
        <w:tc>
          <w:tcPr>
            <w:tcW w:w="1708" w:type="pct"/>
            <w:tcBorders>
              <w:top w:val="single" w:color="000000" w:sz="4" w:space="0"/>
              <w:left w:val="single" w:color="000000" w:sz="4" w:space="0"/>
              <w:bottom w:val="single" w:color="000000" w:sz="4" w:space="0"/>
              <w:right w:val="single" w:color="000000" w:sz="4" w:space="0"/>
            </w:tcBorders>
            <w:noWrap w:val="0"/>
            <w:vAlign w:val="center"/>
          </w:tcPr>
          <w:p w14:paraId="0E565AA4">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1、三级区域一般省道、一般县道、乡村道路每日洒水不少于1次，三级区域村（社区）中心区域及居住区巷道视具体情况决定，四级道路视具体情况决定）</w:t>
            </w:r>
          </w:p>
        </w:tc>
        <w:tc>
          <w:tcPr>
            <w:tcW w:w="1870" w:type="pct"/>
            <w:tcBorders>
              <w:top w:val="single" w:color="000000" w:sz="4" w:space="0"/>
              <w:left w:val="single" w:color="000000" w:sz="4" w:space="0"/>
              <w:bottom w:val="single" w:color="000000" w:sz="4" w:space="0"/>
              <w:right w:val="single" w:color="000000" w:sz="4" w:space="0"/>
            </w:tcBorders>
            <w:noWrap w:val="0"/>
            <w:vAlign w:val="center"/>
          </w:tcPr>
          <w:p w14:paraId="07AE3853">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1、未按时喷洒的，每次扣1分，扣完为止。</w:t>
            </w:r>
          </w:p>
        </w:tc>
        <w:tc>
          <w:tcPr>
            <w:tcW w:w="447" w:type="pct"/>
            <w:tcBorders>
              <w:top w:val="single" w:color="000000" w:sz="4" w:space="0"/>
              <w:left w:val="single" w:color="000000" w:sz="4" w:space="0"/>
              <w:bottom w:val="single" w:color="000000" w:sz="4" w:space="0"/>
              <w:right w:val="single" w:color="000000" w:sz="4" w:space="0"/>
            </w:tcBorders>
            <w:noWrap/>
            <w:vAlign w:val="center"/>
          </w:tcPr>
          <w:p w14:paraId="4C9A6B21">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c>
          <w:tcPr>
            <w:tcW w:w="468" w:type="pct"/>
            <w:tcBorders>
              <w:top w:val="single" w:color="000000" w:sz="4" w:space="0"/>
              <w:left w:val="single" w:color="000000" w:sz="4" w:space="0"/>
              <w:bottom w:val="single" w:color="000000" w:sz="4" w:space="0"/>
              <w:right w:val="single" w:color="000000" w:sz="4" w:space="0"/>
            </w:tcBorders>
            <w:noWrap/>
            <w:vAlign w:val="center"/>
          </w:tcPr>
          <w:p w14:paraId="58B546BF">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r>
      <w:tr w14:paraId="62669F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1402" w:hRule="atLeast"/>
          <w:jc w:val="center"/>
        </w:trPr>
        <w:tc>
          <w:tcPr>
            <w:tcW w:w="504" w:type="pct"/>
            <w:vMerge w:val="continue"/>
            <w:tcBorders>
              <w:top w:val="single" w:color="000000" w:sz="4" w:space="0"/>
              <w:left w:val="single" w:color="000000" w:sz="4" w:space="0"/>
              <w:bottom w:val="single" w:color="000000" w:sz="4" w:space="0"/>
              <w:right w:val="single" w:color="000000" w:sz="4" w:space="0"/>
            </w:tcBorders>
            <w:noWrap w:val="0"/>
            <w:vAlign w:val="center"/>
          </w:tcPr>
          <w:p w14:paraId="35D124C7">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c>
          <w:tcPr>
            <w:tcW w:w="1708" w:type="pct"/>
            <w:tcBorders>
              <w:top w:val="single" w:color="000000" w:sz="4" w:space="0"/>
              <w:left w:val="single" w:color="000000" w:sz="4" w:space="0"/>
              <w:bottom w:val="single" w:color="000000" w:sz="4" w:space="0"/>
              <w:right w:val="single" w:color="000000" w:sz="4" w:space="0"/>
            </w:tcBorders>
            <w:noWrap w:val="0"/>
            <w:vAlign w:val="center"/>
          </w:tcPr>
          <w:p w14:paraId="2800D409">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城区车道路面、路牙冲洗作业：每晚冲洗1次车道路面，冲洗后路牙无泥沙、路面应干净且基本见本色，道路冲洗作业时间应视实际情况安排，须在不影响行人、行车、沿街商铺的情况下进行；社区每周冲洗车道道路路面不少于2次，冲洗后路面应干净。道路冲洗作业时间应视实际情况安排，须在不影响行人、行车、沿街商铺的情况下进行。</w:t>
            </w:r>
          </w:p>
        </w:tc>
        <w:tc>
          <w:tcPr>
            <w:tcW w:w="1870" w:type="pct"/>
            <w:tcBorders>
              <w:top w:val="single" w:color="000000" w:sz="4" w:space="0"/>
              <w:left w:val="single" w:color="000000" w:sz="4" w:space="0"/>
              <w:bottom w:val="single" w:color="000000" w:sz="4" w:space="0"/>
              <w:right w:val="single" w:color="000000" w:sz="4" w:space="0"/>
            </w:tcBorders>
            <w:noWrap w:val="0"/>
            <w:vAlign w:val="center"/>
          </w:tcPr>
          <w:p w14:paraId="60100691">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2、未按时按要求冲洗的，每次扣1分，扣完为止。</w:t>
            </w:r>
          </w:p>
        </w:tc>
        <w:tc>
          <w:tcPr>
            <w:tcW w:w="447" w:type="pct"/>
            <w:tcBorders>
              <w:top w:val="single" w:color="000000" w:sz="4" w:space="0"/>
              <w:left w:val="single" w:color="000000" w:sz="4" w:space="0"/>
              <w:bottom w:val="single" w:color="000000" w:sz="4" w:space="0"/>
              <w:right w:val="single" w:color="000000" w:sz="4" w:space="0"/>
            </w:tcBorders>
            <w:noWrap/>
            <w:vAlign w:val="center"/>
          </w:tcPr>
          <w:p w14:paraId="2CB1A65E">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c>
          <w:tcPr>
            <w:tcW w:w="468" w:type="pct"/>
            <w:tcBorders>
              <w:top w:val="single" w:color="000000" w:sz="4" w:space="0"/>
              <w:left w:val="single" w:color="000000" w:sz="4" w:space="0"/>
              <w:bottom w:val="single" w:color="000000" w:sz="4" w:space="0"/>
              <w:right w:val="single" w:color="000000" w:sz="4" w:space="0"/>
            </w:tcBorders>
            <w:noWrap/>
            <w:vAlign w:val="center"/>
          </w:tcPr>
          <w:p w14:paraId="6202D613">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r>
      <w:tr w14:paraId="3C8153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1561" w:hRule="atLeast"/>
          <w:jc w:val="center"/>
        </w:trPr>
        <w:tc>
          <w:tcPr>
            <w:tcW w:w="504" w:type="pct"/>
            <w:vMerge w:val="continue"/>
            <w:tcBorders>
              <w:top w:val="single" w:color="000000" w:sz="4" w:space="0"/>
              <w:left w:val="single" w:color="000000" w:sz="4" w:space="0"/>
              <w:bottom w:val="single" w:color="000000" w:sz="4" w:space="0"/>
              <w:right w:val="single" w:color="000000" w:sz="4" w:space="0"/>
            </w:tcBorders>
            <w:noWrap w:val="0"/>
            <w:vAlign w:val="center"/>
          </w:tcPr>
          <w:p w14:paraId="6E1CEB4E">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c>
          <w:tcPr>
            <w:tcW w:w="1708" w:type="pct"/>
            <w:tcBorders>
              <w:top w:val="single" w:color="000000" w:sz="4" w:space="0"/>
              <w:left w:val="single" w:color="000000" w:sz="4" w:space="0"/>
              <w:bottom w:val="single" w:color="000000" w:sz="4" w:space="0"/>
              <w:right w:val="single" w:color="000000" w:sz="4" w:space="0"/>
            </w:tcBorders>
            <w:noWrap w:val="0"/>
            <w:vAlign w:val="center"/>
          </w:tcPr>
          <w:p w14:paraId="08D6C8F8">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3、路面分隔栏、护栏、人行天桥清洗作业：人行天桥每周不少于2次清洗，每周不少于1次清洗路面分隔栏、护栏，清洗后设施无污迹、积尘，基本见本色。</w:t>
            </w:r>
          </w:p>
        </w:tc>
        <w:tc>
          <w:tcPr>
            <w:tcW w:w="1870" w:type="pct"/>
            <w:tcBorders>
              <w:top w:val="single" w:color="000000" w:sz="4" w:space="0"/>
              <w:left w:val="single" w:color="000000" w:sz="4" w:space="0"/>
              <w:bottom w:val="single" w:color="000000" w:sz="4" w:space="0"/>
              <w:right w:val="single" w:color="000000" w:sz="4" w:space="0"/>
            </w:tcBorders>
            <w:noWrap w:val="0"/>
            <w:vAlign w:val="center"/>
          </w:tcPr>
          <w:p w14:paraId="49370E0C">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3、未按时按要求冲洗的，每次扣1分，扣完为止。</w:t>
            </w:r>
          </w:p>
        </w:tc>
        <w:tc>
          <w:tcPr>
            <w:tcW w:w="447" w:type="pct"/>
            <w:tcBorders>
              <w:top w:val="single" w:color="000000" w:sz="4" w:space="0"/>
              <w:left w:val="single" w:color="000000" w:sz="4" w:space="0"/>
              <w:bottom w:val="single" w:color="000000" w:sz="4" w:space="0"/>
              <w:right w:val="single" w:color="000000" w:sz="4" w:space="0"/>
            </w:tcBorders>
            <w:noWrap/>
            <w:vAlign w:val="center"/>
          </w:tcPr>
          <w:p w14:paraId="5AEAB282">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c>
          <w:tcPr>
            <w:tcW w:w="468" w:type="pct"/>
            <w:tcBorders>
              <w:top w:val="single" w:color="000000" w:sz="4" w:space="0"/>
              <w:left w:val="single" w:color="000000" w:sz="4" w:space="0"/>
              <w:bottom w:val="single" w:color="000000" w:sz="4" w:space="0"/>
              <w:right w:val="single" w:color="000000" w:sz="4" w:space="0"/>
            </w:tcBorders>
            <w:noWrap/>
            <w:vAlign w:val="center"/>
          </w:tcPr>
          <w:p w14:paraId="3BEB645D">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r>
      <w:tr w14:paraId="4FEFAE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1561" w:hRule="atLeast"/>
          <w:jc w:val="center"/>
        </w:trPr>
        <w:tc>
          <w:tcPr>
            <w:tcW w:w="504" w:type="pct"/>
            <w:vMerge w:val="continue"/>
            <w:tcBorders>
              <w:top w:val="single" w:color="000000" w:sz="4" w:space="0"/>
              <w:left w:val="single" w:color="000000" w:sz="4" w:space="0"/>
              <w:bottom w:val="single" w:color="000000" w:sz="4" w:space="0"/>
              <w:right w:val="single" w:color="000000" w:sz="4" w:space="0"/>
            </w:tcBorders>
            <w:noWrap w:val="0"/>
            <w:vAlign w:val="center"/>
          </w:tcPr>
          <w:p w14:paraId="55839418">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c>
          <w:tcPr>
            <w:tcW w:w="1708" w:type="pct"/>
            <w:tcBorders>
              <w:top w:val="single" w:color="000000" w:sz="4" w:space="0"/>
              <w:left w:val="single" w:color="000000" w:sz="4" w:space="0"/>
              <w:bottom w:val="single" w:color="000000" w:sz="4" w:space="0"/>
              <w:right w:val="single" w:color="000000" w:sz="4" w:space="0"/>
            </w:tcBorders>
            <w:noWrap w:val="0"/>
            <w:vAlign w:val="center"/>
          </w:tcPr>
          <w:p w14:paraId="289F7C72">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4、城区路段人行道按要求每周冲洗不小于2次，社区路段人行道每周不少于1次，冲洗后人行道路面干净基本见本色，道路冲洗作业时间应视实际情况安排，须在不影响行人、行车、沿街商铺的情况下进行。</w:t>
            </w:r>
          </w:p>
        </w:tc>
        <w:tc>
          <w:tcPr>
            <w:tcW w:w="1870" w:type="pct"/>
            <w:tcBorders>
              <w:top w:val="single" w:color="000000" w:sz="4" w:space="0"/>
              <w:left w:val="single" w:color="000000" w:sz="4" w:space="0"/>
              <w:bottom w:val="single" w:color="000000" w:sz="4" w:space="0"/>
              <w:right w:val="single" w:color="000000" w:sz="4" w:space="0"/>
            </w:tcBorders>
            <w:noWrap w:val="0"/>
            <w:vAlign w:val="center"/>
          </w:tcPr>
          <w:p w14:paraId="4400164B">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4、未按时按要求冲洗的，每次扣0.5分，扣完为止。</w:t>
            </w:r>
          </w:p>
        </w:tc>
        <w:tc>
          <w:tcPr>
            <w:tcW w:w="447" w:type="pct"/>
            <w:tcBorders>
              <w:top w:val="single" w:color="000000" w:sz="4" w:space="0"/>
              <w:left w:val="single" w:color="000000" w:sz="4" w:space="0"/>
              <w:bottom w:val="single" w:color="000000" w:sz="4" w:space="0"/>
              <w:right w:val="single" w:color="000000" w:sz="4" w:space="0"/>
            </w:tcBorders>
            <w:noWrap/>
            <w:vAlign w:val="center"/>
          </w:tcPr>
          <w:p w14:paraId="1D20A876">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c>
          <w:tcPr>
            <w:tcW w:w="468" w:type="pct"/>
            <w:tcBorders>
              <w:top w:val="single" w:color="000000" w:sz="4" w:space="0"/>
              <w:left w:val="single" w:color="000000" w:sz="4" w:space="0"/>
              <w:bottom w:val="single" w:color="000000" w:sz="4" w:space="0"/>
              <w:right w:val="single" w:color="000000" w:sz="4" w:space="0"/>
            </w:tcBorders>
            <w:noWrap/>
            <w:vAlign w:val="center"/>
          </w:tcPr>
          <w:p w14:paraId="30AC4EAA">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r>
      <w:tr w14:paraId="731424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1363" w:hRule="atLeast"/>
          <w:jc w:val="center"/>
        </w:trPr>
        <w:tc>
          <w:tcPr>
            <w:tcW w:w="504" w:type="pct"/>
            <w:vMerge w:val="continue"/>
            <w:tcBorders>
              <w:top w:val="single" w:color="000000" w:sz="4" w:space="0"/>
              <w:left w:val="single" w:color="000000" w:sz="4" w:space="0"/>
              <w:bottom w:val="single" w:color="000000" w:sz="4" w:space="0"/>
              <w:right w:val="single" w:color="000000" w:sz="4" w:space="0"/>
            </w:tcBorders>
            <w:noWrap w:val="0"/>
            <w:vAlign w:val="center"/>
          </w:tcPr>
          <w:p w14:paraId="1BA4785E">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c>
          <w:tcPr>
            <w:tcW w:w="1708" w:type="pct"/>
            <w:tcBorders>
              <w:top w:val="single" w:color="000000" w:sz="4" w:space="0"/>
              <w:left w:val="single" w:color="000000" w:sz="4" w:space="0"/>
              <w:bottom w:val="single" w:color="000000" w:sz="4" w:space="0"/>
              <w:right w:val="single" w:color="000000" w:sz="4" w:space="0"/>
            </w:tcBorders>
            <w:noWrap w:val="0"/>
            <w:vAlign w:val="center"/>
          </w:tcPr>
          <w:p w14:paraId="09C9F9D2">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5、雨水井、明渠等渠井设施清理作业：正常季节（1-4月、9-12月）：每周至少集中清理1次，雨季（5-8月）：每周至少集中清理2次雨水井、明渠等渠井设施，使可视范围内渠井设施干净、无垃圾杂物、无淤泥。</w:t>
            </w:r>
          </w:p>
        </w:tc>
        <w:tc>
          <w:tcPr>
            <w:tcW w:w="1870" w:type="pct"/>
            <w:tcBorders>
              <w:top w:val="single" w:color="000000" w:sz="4" w:space="0"/>
              <w:left w:val="single" w:color="000000" w:sz="4" w:space="0"/>
              <w:bottom w:val="single" w:color="000000" w:sz="4" w:space="0"/>
              <w:right w:val="single" w:color="000000" w:sz="4" w:space="0"/>
            </w:tcBorders>
            <w:noWrap w:val="0"/>
            <w:vAlign w:val="center"/>
          </w:tcPr>
          <w:p w14:paraId="38F76C24">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5、未按时按要求清理的，每次扣2分，扣完为止。</w:t>
            </w:r>
          </w:p>
        </w:tc>
        <w:tc>
          <w:tcPr>
            <w:tcW w:w="447" w:type="pct"/>
            <w:tcBorders>
              <w:top w:val="single" w:color="000000" w:sz="4" w:space="0"/>
              <w:left w:val="single" w:color="000000" w:sz="4" w:space="0"/>
              <w:bottom w:val="single" w:color="000000" w:sz="4" w:space="0"/>
              <w:right w:val="single" w:color="000000" w:sz="4" w:space="0"/>
            </w:tcBorders>
            <w:noWrap/>
            <w:vAlign w:val="center"/>
          </w:tcPr>
          <w:p w14:paraId="5521D04F">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c>
          <w:tcPr>
            <w:tcW w:w="468" w:type="pct"/>
            <w:tcBorders>
              <w:top w:val="single" w:color="000000" w:sz="4" w:space="0"/>
              <w:left w:val="single" w:color="000000" w:sz="4" w:space="0"/>
              <w:bottom w:val="single" w:color="000000" w:sz="4" w:space="0"/>
              <w:right w:val="single" w:color="000000" w:sz="4" w:space="0"/>
            </w:tcBorders>
            <w:noWrap/>
            <w:vAlign w:val="center"/>
          </w:tcPr>
          <w:p w14:paraId="13963981">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r>
      <w:tr w14:paraId="54881F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686" w:hRule="atLeast"/>
          <w:jc w:val="center"/>
        </w:trPr>
        <w:tc>
          <w:tcPr>
            <w:tcW w:w="504" w:type="pct"/>
            <w:vMerge w:val="restart"/>
            <w:tcBorders>
              <w:top w:val="single" w:color="000000" w:sz="4" w:space="0"/>
              <w:left w:val="single" w:color="000000" w:sz="4" w:space="0"/>
              <w:right w:val="single" w:color="000000" w:sz="4" w:space="0"/>
            </w:tcBorders>
            <w:noWrap w:val="0"/>
            <w:vAlign w:val="center"/>
          </w:tcPr>
          <w:p w14:paraId="401D0205">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四、</w:t>
            </w:r>
          </w:p>
          <w:p w14:paraId="380068A3">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垃圾处理25分</w:t>
            </w:r>
          </w:p>
        </w:tc>
        <w:tc>
          <w:tcPr>
            <w:tcW w:w="1708" w:type="pct"/>
            <w:tcBorders>
              <w:top w:val="single" w:color="000000" w:sz="4" w:space="0"/>
              <w:left w:val="single" w:color="000000" w:sz="4" w:space="0"/>
              <w:bottom w:val="single" w:color="000000" w:sz="4" w:space="0"/>
              <w:right w:val="single" w:color="000000" w:sz="4" w:space="0"/>
            </w:tcBorders>
            <w:noWrap w:val="0"/>
            <w:vAlign w:val="center"/>
          </w:tcPr>
          <w:p w14:paraId="74C5EEE1">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1、路面废弃物达到控制指标或无漏收堆。</w:t>
            </w:r>
          </w:p>
        </w:tc>
        <w:tc>
          <w:tcPr>
            <w:tcW w:w="1870" w:type="pct"/>
            <w:tcBorders>
              <w:top w:val="single" w:color="000000" w:sz="4" w:space="0"/>
              <w:left w:val="single" w:color="000000" w:sz="4" w:space="0"/>
              <w:bottom w:val="single" w:color="000000" w:sz="4" w:space="0"/>
              <w:right w:val="single" w:color="000000" w:sz="4" w:space="0"/>
            </w:tcBorders>
            <w:noWrap w:val="0"/>
            <w:vAlign w:val="center"/>
          </w:tcPr>
          <w:p w14:paraId="58075929">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1、越过指标或有漏收堆的，每处扣0.5分，扣完为止。</w:t>
            </w:r>
          </w:p>
        </w:tc>
        <w:tc>
          <w:tcPr>
            <w:tcW w:w="447" w:type="pct"/>
            <w:tcBorders>
              <w:top w:val="single" w:color="000000" w:sz="4" w:space="0"/>
              <w:left w:val="single" w:color="000000" w:sz="4" w:space="0"/>
              <w:bottom w:val="single" w:color="000000" w:sz="4" w:space="0"/>
              <w:right w:val="single" w:color="000000" w:sz="4" w:space="0"/>
            </w:tcBorders>
            <w:noWrap/>
            <w:vAlign w:val="center"/>
          </w:tcPr>
          <w:p w14:paraId="164D4C71">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c>
          <w:tcPr>
            <w:tcW w:w="468" w:type="pct"/>
            <w:tcBorders>
              <w:top w:val="single" w:color="000000" w:sz="4" w:space="0"/>
              <w:left w:val="single" w:color="000000" w:sz="4" w:space="0"/>
              <w:bottom w:val="single" w:color="000000" w:sz="4" w:space="0"/>
              <w:right w:val="single" w:color="000000" w:sz="4" w:space="0"/>
            </w:tcBorders>
            <w:noWrap/>
            <w:vAlign w:val="center"/>
          </w:tcPr>
          <w:p w14:paraId="324AA496">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r>
      <w:tr w14:paraId="038387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686" w:hRule="atLeast"/>
          <w:jc w:val="center"/>
        </w:trPr>
        <w:tc>
          <w:tcPr>
            <w:tcW w:w="504" w:type="pct"/>
            <w:vMerge w:val="continue"/>
            <w:tcBorders>
              <w:left w:val="single" w:color="000000" w:sz="4" w:space="0"/>
              <w:right w:val="single" w:color="000000" w:sz="4" w:space="0"/>
            </w:tcBorders>
            <w:noWrap w:val="0"/>
            <w:vAlign w:val="center"/>
          </w:tcPr>
          <w:p w14:paraId="0F5C5780">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c>
          <w:tcPr>
            <w:tcW w:w="1708" w:type="pct"/>
            <w:tcBorders>
              <w:top w:val="single" w:color="000000" w:sz="4" w:space="0"/>
              <w:left w:val="single" w:color="000000" w:sz="4" w:space="0"/>
              <w:bottom w:val="single" w:color="000000" w:sz="4" w:space="0"/>
              <w:right w:val="single" w:color="000000" w:sz="4" w:space="0"/>
            </w:tcBorders>
            <w:noWrap w:val="0"/>
            <w:vAlign w:val="center"/>
          </w:tcPr>
          <w:p w14:paraId="1BCD9609">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2、垃圾收集专用手推车无乱停乱放。</w:t>
            </w:r>
          </w:p>
        </w:tc>
        <w:tc>
          <w:tcPr>
            <w:tcW w:w="1870" w:type="pct"/>
            <w:tcBorders>
              <w:top w:val="single" w:color="000000" w:sz="4" w:space="0"/>
              <w:left w:val="single" w:color="000000" w:sz="4" w:space="0"/>
              <w:bottom w:val="single" w:color="000000" w:sz="4" w:space="0"/>
              <w:right w:val="single" w:color="000000" w:sz="4" w:space="0"/>
            </w:tcBorders>
            <w:noWrap w:val="0"/>
            <w:vAlign w:val="center"/>
          </w:tcPr>
          <w:p w14:paraId="669A6559">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2、乱停乱放的，每辆每次扣0.5分，扣完为止。</w:t>
            </w:r>
          </w:p>
        </w:tc>
        <w:tc>
          <w:tcPr>
            <w:tcW w:w="447" w:type="pct"/>
            <w:tcBorders>
              <w:top w:val="single" w:color="000000" w:sz="4" w:space="0"/>
              <w:left w:val="single" w:color="000000" w:sz="4" w:space="0"/>
              <w:bottom w:val="single" w:color="000000" w:sz="4" w:space="0"/>
              <w:right w:val="single" w:color="000000" w:sz="4" w:space="0"/>
            </w:tcBorders>
            <w:noWrap/>
            <w:vAlign w:val="center"/>
          </w:tcPr>
          <w:p w14:paraId="799C4557">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c>
          <w:tcPr>
            <w:tcW w:w="468" w:type="pct"/>
            <w:tcBorders>
              <w:top w:val="single" w:color="000000" w:sz="4" w:space="0"/>
              <w:left w:val="single" w:color="000000" w:sz="4" w:space="0"/>
              <w:bottom w:val="single" w:color="000000" w:sz="4" w:space="0"/>
              <w:right w:val="single" w:color="000000" w:sz="4" w:space="0"/>
            </w:tcBorders>
            <w:noWrap/>
            <w:vAlign w:val="center"/>
          </w:tcPr>
          <w:p w14:paraId="466AE95E">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r>
      <w:tr w14:paraId="331508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686" w:hRule="atLeast"/>
          <w:jc w:val="center"/>
        </w:trPr>
        <w:tc>
          <w:tcPr>
            <w:tcW w:w="504" w:type="pct"/>
            <w:vMerge w:val="continue"/>
            <w:tcBorders>
              <w:left w:val="single" w:color="000000" w:sz="4" w:space="0"/>
              <w:right w:val="single" w:color="000000" w:sz="4" w:space="0"/>
            </w:tcBorders>
            <w:noWrap w:val="0"/>
            <w:vAlign w:val="center"/>
          </w:tcPr>
          <w:p w14:paraId="3990E117">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c>
          <w:tcPr>
            <w:tcW w:w="1708" w:type="pct"/>
            <w:tcBorders>
              <w:top w:val="single" w:color="000000" w:sz="4" w:space="0"/>
              <w:left w:val="single" w:color="000000" w:sz="4" w:space="0"/>
              <w:bottom w:val="single" w:color="000000" w:sz="4" w:space="0"/>
              <w:right w:val="single" w:color="000000" w:sz="4" w:space="0"/>
            </w:tcBorders>
            <w:noWrap w:val="0"/>
            <w:vAlign w:val="center"/>
          </w:tcPr>
          <w:p w14:paraId="6DD7DB2A">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3、垃圾车运输要求有密封设备和封盖严密。</w:t>
            </w:r>
          </w:p>
        </w:tc>
        <w:tc>
          <w:tcPr>
            <w:tcW w:w="1870" w:type="pct"/>
            <w:tcBorders>
              <w:top w:val="single" w:color="000000" w:sz="4" w:space="0"/>
              <w:left w:val="single" w:color="000000" w:sz="4" w:space="0"/>
              <w:bottom w:val="single" w:color="000000" w:sz="4" w:space="0"/>
              <w:right w:val="single" w:color="000000" w:sz="4" w:space="0"/>
            </w:tcBorders>
            <w:noWrap w:val="0"/>
            <w:vAlign w:val="center"/>
          </w:tcPr>
          <w:p w14:paraId="29CE0B9A">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3、无密封设备和封盖不严的，每辆每次扣0.5分，扣完为止。</w:t>
            </w:r>
          </w:p>
        </w:tc>
        <w:tc>
          <w:tcPr>
            <w:tcW w:w="447" w:type="pct"/>
            <w:tcBorders>
              <w:top w:val="single" w:color="000000" w:sz="4" w:space="0"/>
              <w:left w:val="single" w:color="000000" w:sz="4" w:space="0"/>
              <w:bottom w:val="single" w:color="000000" w:sz="4" w:space="0"/>
              <w:right w:val="single" w:color="000000" w:sz="4" w:space="0"/>
            </w:tcBorders>
            <w:noWrap/>
            <w:vAlign w:val="center"/>
          </w:tcPr>
          <w:p w14:paraId="38EADB25">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c>
          <w:tcPr>
            <w:tcW w:w="468" w:type="pct"/>
            <w:tcBorders>
              <w:top w:val="single" w:color="000000" w:sz="4" w:space="0"/>
              <w:left w:val="single" w:color="000000" w:sz="4" w:space="0"/>
              <w:bottom w:val="single" w:color="000000" w:sz="4" w:space="0"/>
              <w:right w:val="single" w:color="000000" w:sz="4" w:space="0"/>
            </w:tcBorders>
            <w:noWrap/>
            <w:vAlign w:val="center"/>
          </w:tcPr>
          <w:p w14:paraId="15953288">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r>
      <w:tr w14:paraId="7669B9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2280" w:hRule="atLeast"/>
          <w:jc w:val="center"/>
        </w:trPr>
        <w:tc>
          <w:tcPr>
            <w:tcW w:w="504" w:type="pct"/>
            <w:vMerge w:val="continue"/>
            <w:tcBorders>
              <w:left w:val="single" w:color="000000" w:sz="4" w:space="0"/>
              <w:right w:val="single" w:color="000000" w:sz="4" w:space="0"/>
            </w:tcBorders>
            <w:noWrap w:val="0"/>
            <w:vAlign w:val="center"/>
          </w:tcPr>
          <w:p w14:paraId="29FFC39F">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c>
          <w:tcPr>
            <w:tcW w:w="1708" w:type="pct"/>
            <w:tcBorders>
              <w:top w:val="single" w:color="000000" w:sz="4" w:space="0"/>
              <w:left w:val="single" w:color="000000" w:sz="4" w:space="0"/>
              <w:bottom w:val="single" w:color="000000" w:sz="4" w:space="0"/>
              <w:right w:val="single" w:color="000000" w:sz="4" w:space="0"/>
            </w:tcBorders>
            <w:noWrap w:val="0"/>
            <w:vAlign w:val="center"/>
          </w:tcPr>
          <w:p w14:paraId="0D7D737B">
            <w:pPr>
              <w:keepNext w:val="0"/>
              <w:keepLines w:val="0"/>
              <w:pageBreakBefore w:val="0"/>
              <w:widowControl/>
              <w:suppressLineNumbers w:val="0"/>
              <w:kinsoku/>
              <w:wordWrap/>
              <w:overflowPunct/>
              <w:topLinePunct w:val="0"/>
              <w:autoSpaceDE/>
              <w:autoSpaceDN/>
              <w:bidi w:val="0"/>
              <w:adjustRightInd/>
              <w:snapToGrid w:val="0"/>
              <w:spacing w:afterAutospacing="0"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道路绿地：即道路及广场范围用于绿化的用地。道路绿地分为道路绿化带(包括分车绿化带、行道树绿化带、路侧绿化带)、渠化岛绿地(包括中心岛绿地、导向岛绿地、立交绿岛)、广场绿地和停车场绿地等内应无积存垃圾和人畜粪便。</w:t>
            </w:r>
          </w:p>
        </w:tc>
        <w:tc>
          <w:tcPr>
            <w:tcW w:w="1870" w:type="pct"/>
            <w:tcBorders>
              <w:top w:val="single" w:color="000000" w:sz="4" w:space="0"/>
              <w:left w:val="single" w:color="000000" w:sz="4" w:space="0"/>
              <w:bottom w:val="single" w:color="000000" w:sz="4" w:space="0"/>
              <w:right w:val="single" w:color="000000" w:sz="4" w:space="0"/>
            </w:tcBorders>
            <w:noWrap w:val="0"/>
            <w:vAlign w:val="center"/>
          </w:tcPr>
          <w:p w14:paraId="7AF9598A">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4、发现绿化带有积存垃圾和人畜粪便每处扣0.5分，扣完为止。</w:t>
            </w:r>
          </w:p>
        </w:tc>
        <w:tc>
          <w:tcPr>
            <w:tcW w:w="447" w:type="pct"/>
            <w:tcBorders>
              <w:top w:val="single" w:color="000000" w:sz="4" w:space="0"/>
              <w:left w:val="single" w:color="000000" w:sz="4" w:space="0"/>
              <w:bottom w:val="single" w:color="000000" w:sz="4" w:space="0"/>
              <w:right w:val="single" w:color="000000" w:sz="4" w:space="0"/>
            </w:tcBorders>
            <w:noWrap/>
            <w:vAlign w:val="center"/>
          </w:tcPr>
          <w:p w14:paraId="58CA0886">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c>
          <w:tcPr>
            <w:tcW w:w="468" w:type="pct"/>
            <w:tcBorders>
              <w:top w:val="single" w:color="000000" w:sz="4" w:space="0"/>
              <w:left w:val="single" w:color="000000" w:sz="4" w:space="0"/>
              <w:bottom w:val="single" w:color="000000" w:sz="4" w:space="0"/>
              <w:right w:val="single" w:color="000000" w:sz="4" w:space="0"/>
            </w:tcBorders>
            <w:noWrap/>
            <w:vAlign w:val="center"/>
          </w:tcPr>
          <w:p w14:paraId="4DA23640">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r>
      <w:tr w14:paraId="4275FA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1251" w:hRule="atLeast"/>
          <w:jc w:val="center"/>
        </w:trPr>
        <w:tc>
          <w:tcPr>
            <w:tcW w:w="504" w:type="pct"/>
            <w:vMerge w:val="continue"/>
            <w:tcBorders>
              <w:left w:val="single" w:color="000000" w:sz="4" w:space="0"/>
              <w:right w:val="single" w:color="000000" w:sz="4" w:space="0"/>
            </w:tcBorders>
            <w:noWrap w:val="0"/>
            <w:vAlign w:val="center"/>
          </w:tcPr>
          <w:p w14:paraId="4CBB3C48">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c>
          <w:tcPr>
            <w:tcW w:w="1708" w:type="pct"/>
            <w:tcBorders>
              <w:top w:val="single" w:color="000000" w:sz="4" w:space="0"/>
              <w:left w:val="single" w:color="000000" w:sz="4" w:space="0"/>
              <w:bottom w:val="single" w:color="000000" w:sz="4" w:space="0"/>
              <w:right w:val="single" w:color="000000" w:sz="4" w:space="0"/>
            </w:tcBorders>
            <w:noWrap w:val="0"/>
            <w:vAlign w:val="center"/>
          </w:tcPr>
          <w:p w14:paraId="115A13B0">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5、杂草清除作业：每月至少集中清理1次人行道及路面杂草，使可视范围内的道路路面始终保持干净、整洁。</w:t>
            </w:r>
          </w:p>
        </w:tc>
        <w:tc>
          <w:tcPr>
            <w:tcW w:w="1870" w:type="pct"/>
            <w:tcBorders>
              <w:top w:val="single" w:color="000000" w:sz="4" w:space="0"/>
              <w:left w:val="single" w:color="000000" w:sz="4" w:space="0"/>
              <w:bottom w:val="single" w:color="000000" w:sz="4" w:space="0"/>
              <w:right w:val="single" w:color="000000" w:sz="4" w:space="0"/>
            </w:tcBorders>
            <w:noWrap w:val="0"/>
            <w:vAlign w:val="center"/>
          </w:tcPr>
          <w:p w14:paraId="134D619F">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5、发现没有清理人行道路面杂草的，每次扣0.5分，扣完为止。</w:t>
            </w:r>
          </w:p>
        </w:tc>
        <w:tc>
          <w:tcPr>
            <w:tcW w:w="447" w:type="pct"/>
            <w:tcBorders>
              <w:top w:val="single" w:color="000000" w:sz="4" w:space="0"/>
              <w:left w:val="single" w:color="000000" w:sz="4" w:space="0"/>
              <w:bottom w:val="single" w:color="000000" w:sz="4" w:space="0"/>
              <w:right w:val="single" w:color="000000" w:sz="4" w:space="0"/>
            </w:tcBorders>
            <w:noWrap/>
            <w:vAlign w:val="center"/>
          </w:tcPr>
          <w:p w14:paraId="259692BC">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c>
          <w:tcPr>
            <w:tcW w:w="468" w:type="pct"/>
            <w:tcBorders>
              <w:top w:val="single" w:color="000000" w:sz="4" w:space="0"/>
              <w:left w:val="single" w:color="000000" w:sz="4" w:space="0"/>
              <w:bottom w:val="single" w:color="000000" w:sz="4" w:space="0"/>
              <w:right w:val="single" w:color="000000" w:sz="4" w:space="0"/>
            </w:tcBorders>
            <w:noWrap/>
            <w:vAlign w:val="center"/>
          </w:tcPr>
          <w:p w14:paraId="6FF6BA0F">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r>
      <w:tr w14:paraId="6B25E7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941" w:hRule="atLeast"/>
          <w:jc w:val="center"/>
        </w:trPr>
        <w:tc>
          <w:tcPr>
            <w:tcW w:w="504" w:type="pct"/>
            <w:vMerge w:val="continue"/>
            <w:tcBorders>
              <w:left w:val="single" w:color="000000" w:sz="4" w:space="0"/>
              <w:right w:val="single" w:color="000000" w:sz="4" w:space="0"/>
            </w:tcBorders>
            <w:noWrap w:val="0"/>
            <w:vAlign w:val="center"/>
          </w:tcPr>
          <w:p w14:paraId="0A737BD4">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c>
          <w:tcPr>
            <w:tcW w:w="1708" w:type="pct"/>
            <w:tcBorders>
              <w:top w:val="single" w:color="000000" w:sz="4" w:space="0"/>
              <w:left w:val="single" w:color="000000" w:sz="4" w:space="0"/>
              <w:bottom w:val="single" w:color="000000" w:sz="4" w:space="0"/>
              <w:right w:val="single" w:color="000000" w:sz="4" w:space="0"/>
            </w:tcBorders>
            <w:noWrap w:val="0"/>
            <w:vAlign w:val="center"/>
          </w:tcPr>
          <w:p w14:paraId="1FA483E4">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6、垃圾收集间内外环境质量要求要整洁、蚊蝇密度不超标和垃圾容器周边干净。</w:t>
            </w:r>
          </w:p>
        </w:tc>
        <w:tc>
          <w:tcPr>
            <w:tcW w:w="1870" w:type="pct"/>
            <w:tcBorders>
              <w:top w:val="single" w:color="000000" w:sz="4" w:space="0"/>
              <w:left w:val="single" w:color="000000" w:sz="4" w:space="0"/>
              <w:bottom w:val="single" w:color="000000" w:sz="4" w:space="0"/>
              <w:right w:val="single" w:color="000000" w:sz="4" w:space="0"/>
            </w:tcBorders>
            <w:noWrap w:val="0"/>
            <w:vAlign w:val="center"/>
          </w:tcPr>
          <w:p w14:paraId="0D94F4EE">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6、未达到要求的，每处扣0.5分，扣完为止。</w:t>
            </w:r>
          </w:p>
        </w:tc>
        <w:tc>
          <w:tcPr>
            <w:tcW w:w="447" w:type="pct"/>
            <w:tcBorders>
              <w:top w:val="single" w:color="000000" w:sz="4" w:space="0"/>
              <w:left w:val="single" w:color="000000" w:sz="4" w:space="0"/>
              <w:bottom w:val="single" w:color="000000" w:sz="4" w:space="0"/>
              <w:right w:val="single" w:color="000000" w:sz="4" w:space="0"/>
            </w:tcBorders>
            <w:noWrap/>
            <w:vAlign w:val="center"/>
          </w:tcPr>
          <w:p w14:paraId="1572FE2C">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c>
          <w:tcPr>
            <w:tcW w:w="468" w:type="pct"/>
            <w:tcBorders>
              <w:top w:val="single" w:color="000000" w:sz="4" w:space="0"/>
              <w:left w:val="single" w:color="000000" w:sz="4" w:space="0"/>
              <w:bottom w:val="single" w:color="000000" w:sz="4" w:space="0"/>
              <w:right w:val="single" w:color="000000" w:sz="4" w:space="0"/>
            </w:tcBorders>
            <w:noWrap/>
            <w:vAlign w:val="center"/>
          </w:tcPr>
          <w:p w14:paraId="1F67641F">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r>
      <w:tr w14:paraId="0AB9FF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686" w:hRule="atLeast"/>
          <w:jc w:val="center"/>
        </w:trPr>
        <w:tc>
          <w:tcPr>
            <w:tcW w:w="504" w:type="pct"/>
            <w:vMerge w:val="continue"/>
            <w:tcBorders>
              <w:left w:val="single" w:color="000000" w:sz="4" w:space="0"/>
              <w:right w:val="single" w:color="000000" w:sz="4" w:space="0"/>
            </w:tcBorders>
            <w:noWrap w:val="0"/>
            <w:vAlign w:val="center"/>
          </w:tcPr>
          <w:p w14:paraId="6F8A75C1">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c>
          <w:tcPr>
            <w:tcW w:w="1708" w:type="pct"/>
            <w:tcBorders>
              <w:top w:val="single" w:color="000000" w:sz="4" w:space="0"/>
              <w:left w:val="single" w:color="000000" w:sz="4" w:space="0"/>
              <w:bottom w:val="single" w:color="000000" w:sz="4" w:space="0"/>
              <w:right w:val="single" w:color="000000" w:sz="4" w:space="0"/>
            </w:tcBorders>
            <w:noWrap/>
            <w:vAlign w:val="center"/>
          </w:tcPr>
          <w:p w14:paraId="1E583FDE">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7、要按指定地点倾倒垃圾。</w:t>
            </w:r>
          </w:p>
        </w:tc>
        <w:tc>
          <w:tcPr>
            <w:tcW w:w="1870" w:type="pct"/>
            <w:tcBorders>
              <w:top w:val="single" w:color="000000" w:sz="4" w:space="0"/>
              <w:left w:val="single" w:color="000000" w:sz="4" w:space="0"/>
              <w:bottom w:val="single" w:color="000000" w:sz="4" w:space="0"/>
              <w:right w:val="single" w:color="000000" w:sz="4" w:space="0"/>
            </w:tcBorders>
            <w:noWrap w:val="0"/>
            <w:vAlign w:val="center"/>
          </w:tcPr>
          <w:p w14:paraId="46DFF72E">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7、未按要求的扣0.5分，并处以罚款；</w:t>
            </w:r>
          </w:p>
        </w:tc>
        <w:tc>
          <w:tcPr>
            <w:tcW w:w="447" w:type="pct"/>
            <w:tcBorders>
              <w:top w:val="single" w:color="000000" w:sz="4" w:space="0"/>
              <w:left w:val="single" w:color="000000" w:sz="4" w:space="0"/>
              <w:bottom w:val="single" w:color="000000" w:sz="4" w:space="0"/>
              <w:right w:val="single" w:color="000000" w:sz="4" w:space="0"/>
            </w:tcBorders>
            <w:noWrap/>
            <w:vAlign w:val="center"/>
          </w:tcPr>
          <w:p w14:paraId="10C0911A">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c>
          <w:tcPr>
            <w:tcW w:w="468" w:type="pct"/>
            <w:tcBorders>
              <w:top w:val="single" w:color="000000" w:sz="4" w:space="0"/>
              <w:left w:val="single" w:color="000000" w:sz="4" w:space="0"/>
              <w:bottom w:val="single" w:color="000000" w:sz="4" w:space="0"/>
              <w:right w:val="single" w:color="000000" w:sz="4" w:space="0"/>
            </w:tcBorders>
            <w:noWrap/>
            <w:vAlign w:val="center"/>
          </w:tcPr>
          <w:p w14:paraId="7B719469">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r>
      <w:tr w14:paraId="70C25B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686" w:hRule="atLeast"/>
          <w:jc w:val="center"/>
        </w:trPr>
        <w:tc>
          <w:tcPr>
            <w:tcW w:w="504" w:type="pct"/>
            <w:vMerge w:val="continue"/>
            <w:tcBorders>
              <w:left w:val="single" w:color="000000" w:sz="4" w:space="0"/>
              <w:right w:val="single" w:color="000000" w:sz="4" w:space="0"/>
            </w:tcBorders>
            <w:noWrap w:val="0"/>
            <w:vAlign w:val="center"/>
          </w:tcPr>
          <w:p w14:paraId="2AA4C298">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c>
          <w:tcPr>
            <w:tcW w:w="1708" w:type="pct"/>
            <w:tcBorders>
              <w:top w:val="single" w:color="000000" w:sz="4" w:space="0"/>
              <w:left w:val="single" w:color="000000" w:sz="4" w:space="0"/>
              <w:bottom w:val="single" w:color="000000" w:sz="4" w:space="0"/>
              <w:right w:val="single" w:color="000000" w:sz="4" w:space="0"/>
            </w:tcBorders>
            <w:noWrap/>
            <w:vAlign w:val="center"/>
          </w:tcPr>
          <w:p w14:paraId="7BC71D24">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8、道路内未发现垃圾死角。</w:t>
            </w:r>
          </w:p>
        </w:tc>
        <w:tc>
          <w:tcPr>
            <w:tcW w:w="1870" w:type="pct"/>
            <w:tcBorders>
              <w:top w:val="single" w:color="000000" w:sz="4" w:space="0"/>
              <w:left w:val="single" w:color="000000" w:sz="4" w:space="0"/>
              <w:bottom w:val="single" w:color="000000" w:sz="4" w:space="0"/>
              <w:right w:val="single" w:color="000000" w:sz="4" w:space="0"/>
            </w:tcBorders>
            <w:noWrap w:val="0"/>
            <w:vAlign w:val="center"/>
          </w:tcPr>
          <w:p w14:paraId="123E0C5F">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8、发现垃圾死角的，每处扣2分，扣完为止。</w:t>
            </w:r>
          </w:p>
        </w:tc>
        <w:tc>
          <w:tcPr>
            <w:tcW w:w="447" w:type="pct"/>
            <w:tcBorders>
              <w:top w:val="single" w:color="000000" w:sz="4" w:space="0"/>
              <w:left w:val="single" w:color="000000" w:sz="4" w:space="0"/>
              <w:bottom w:val="single" w:color="000000" w:sz="4" w:space="0"/>
              <w:right w:val="single" w:color="000000" w:sz="4" w:space="0"/>
            </w:tcBorders>
            <w:noWrap/>
            <w:vAlign w:val="center"/>
          </w:tcPr>
          <w:p w14:paraId="0FEF2C02">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c>
          <w:tcPr>
            <w:tcW w:w="468" w:type="pct"/>
            <w:tcBorders>
              <w:top w:val="single" w:color="000000" w:sz="4" w:space="0"/>
              <w:left w:val="single" w:color="000000" w:sz="4" w:space="0"/>
              <w:bottom w:val="single" w:color="000000" w:sz="4" w:space="0"/>
              <w:right w:val="single" w:color="000000" w:sz="4" w:space="0"/>
            </w:tcBorders>
            <w:noWrap/>
            <w:vAlign w:val="center"/>
          </w:tcPr>
          <w:p w14:paraId="1BA1B81F">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r>
      <w:tr w14:paraId="045C59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1561" w:hRule="atLeast"/>
          <w:jc w:val="center"/>
        </w:trPr>
        <w:tc>
          <w:tcPr>
            <w:tcW w:w="504" w:type="pct"/>
            <w:vMerge w:val="continue"/>
            <w:tcBorders>
              <w:left w:val="single" w:color="000000" w:sz="4" w:space="0"/>
              <w:right w:val="single" w:color="000000" w:sz="4" w:space="0"/>
            </w:tcBorders>
            <w:noWrap w:val="0"/>
            <w:vAlign w:val="center"/>
          </w:tcPr>
          <w:p w14:paraId="2140EECC">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c>
          <w:tcPr>
            <w:tcW w:w="1708" w:type="pct"/>
            <w:tcBorders>
              <w:top w:val="single" w:color="000000" w:sz="4" w:space="0"/>
              <w:left w:val="single" w:color="000000" w:sz="4" w:space="0"/>
              <w:bottom w:val="single" w:color="000000" w:sz="4" w:space="0"/>
              <w:right w:val="single" w:color="000000" w:sz="4" w:space="0"/>
            </w:tcBorders>
            <w:noWrap w:val="0"/>
            <w:vAlign w:val="center"/>
          </w:tcPr>
          <w:p w14:paraId="5E4A9E46">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9、上门收集垃圾：商铺每日2次，分上、下午两个时段上门收集垃圾；居民住宅区每日3次分早、中、晚三个时段上门收集垃圾。工作人员上门收集垃圾应摇铃提示。</w:t>
            </w:r>
          </w:p>
        </w:tc>
        <w:tc>
          <w:tcPr>
            <w:tcW w:w="1870" w:type="pct"/>
            <w:tcBorders>
              <w:top w:val="single" w:color="000000" w:sz="4" w:space="0"/>
              <w:left w:val="single" w:color="000000" w:sz="4" w:space="0"/>
              <w:bottom w:val="single" w:color="000000" w:sz="4" w:space="0"/>
              <w:right w:val="single" w:color="000000" w:sz="4" w:space="0"/>
            </w:tcBorders>
            <w:noWrap w:val="0"/>
            <w:vAlign w:val="center"/>
          </w:tcPr>
          <w:p w14:paraId="3141B0D4">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9、未落实上门收垃圾工作，按每条路或每个社区扣1分，扣完为止。</w:t>
            </w:r>
          </w:p>
        </w:tc>
        <w:tc>
          <w:tcPr>
            <w:tcW w:w="447" w:type="pct"/>
            <w:tcBorders>
              <w:top w:val="single" w:color="000000" w:sz="4" w:space="0"/>
              <w:left w:val="single" w:color="000000" w:sz="4" w:space="0"/>
              <w:bottom w:val="single" w:color="000000" w:sz="4" w:space="0"/>
              <w:right w:val="single" w:color="000000" w:sz="4" w:space="0"/>
            </w:tcBorders>
            <w:noWrap/>
            <w:vAlign w:val="center"/>
          </w:tcPr>
          <w:p w14:paraId="3F907DE1">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c>
          <w:tcPr>
            <w:tcW w:w="468" w:type="pct"/>
            <w:tcBorders>
              <w:top w:val="single" w:color="000000" w:sz="4" w:space="0"/>
              <w:left w:val="single" w:color="000000" w:sz="4" w:space="0"/>
              <w:bottom w:val="single" w:color="000000" w:sz="4" w:space="0"/>
              <w:right w:val="single" w:color="000000" w:sz="4" w:space="0"/>
            </w:tcBorders>
            <w:noWrap/>
            <w:vAlign w:val="center"/>
          </w:tcPr>
          <w:p w14:paraId="27A88478">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r>
      <w:tr w14:paraId="1B1080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1561" w:hRule="atLeast"/>
          <w:jc w:val="center"/>
        </w:trPr>
        <w:tc>
          <w:tcPr>
            <w:tcW w:w="504" w:type="pct"/>
            <w:vMerge w:val="continue"/>
            <w:tcBorders>
              <w:left w:val="single" w:color="000000" w:sz="4" w:space="0"/>
              <w:bottom w:val="single" w:color="000000" w:sz="4" w:space="0"/>
              <w:right w:val="single" w:color="000000" w:sz="4" w:space="0"/>
            </w:tcBorders>
            <w:noWrap w:val="0"/>
            <w:vAlign w:val="center"/>
          </w:tcPr>
          <w:p w14:paraId="1E7D4A6C">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c>
          <w:tcPr>
            <w:tcW w:w="1708" w:type="pct"/>
            <w:tcBorders>
              <w:top w:val="single" w:color="000000" w:sz="4" w:space="0"/>
              <w:left w:val="single" w:color="000000" w:sz="4" w:space="0"/>
              <w:bottom w:val="single" w:color="000000" w:sz="4" w:space="0"/>
              <w:right w:val="single" w:color="000000" w:sz="4" w:space="0"/>
            </w:tcBorders>
            <w:noWrap w:val="0"/>
            <w:vAlign w:val="center"/>
          </w:tcPr>
          <w:p w14:paraId="6C44E3B1">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10、工业垃圾及大件垃圾的清处理工作：及时将社区路面丢弃的大件垃圾、工业垃圾收集到社区临时收集点，连同收集的其他大件垃圾、工业垃圾定期清运处置。</w:t>
            </w:r>
          </w:p>
        </w:tc>
        <w:tc>
          <w:tcPr>
            <w:tcW w:w="1870" w:type="pct"/>
            <w:tcBorders>
              <w:top w:val="single" w:color="000000" w:sz="4" w:space="0"/>
              <w:left w:val="single" w:color="000000" w:sz="4" w:space="0"/>
              <w:bottom w:val="single" w:color="000000" w:sz="4" w:space="0"/>
              <w:right w:val="single" w:color="000000" w:sz="4" w:space="0"/>
            </w:tcBorders>
            <w:noWrap w:val="0"/>
            <w:vAlign w:val="center"/>
          </w:tcPr>
          <w:p w14:paraId="4B1963C6">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10、未及时收集的，每发现1处扣0.2分：未按要求及时清理社区临时收集点的，每发现1处扣1分，扣完为止。</w:t>
            </w:r>
          </w:p>
        </w:tc>
        <w:tc>
          <w:tcPr>
            <w:tcW w:w="447" w:type="pct"/>
            <w:tcBorders>
              <w:top w:val="single" w:color="000000" w:sz="4" w:space="0"/>
              <w:left w:val="single" w:color="000000" w:sz="4" w:space="0"/>
              <w:bottom w:val="single" w:color="000000" w:sz="4" w:space="0"/>
              <w:right w:val="single" w:color="000000" w:sz="4" w:space="0"/>
            </w:tcBorders>
            <w:noWrap/>
            <w:vAlign w:val="center"/>
          </w:tcPr>
          <w:p w14:paraId="27BDA2BE">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c>
          <w:tcPr>
            <w:tcW w:w="468" w:type="pct"/>
            <w:tcBorders>
              <w:top w:val="single" w:color="000000" w:sz="4" w:space="0"/>
              <w:left w:val="single" w:color="000000" w:sz="4" w:space="0"/>
              <w:bottom w:val="single" w:color="000000" w:sz="4" w:space="0"/>
              <w:right w:val="single" w:color="000000" w:sz="4" w:space="0"/>
            </w:tcBorders>
            <w:noWrap/>
            <w:vAlign w:val="center"/>
          </w:tcPr>
          <w:p w14:paraId="6D76FCF7">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r>
      <w:tr w14:paraId="49785B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1402" w:hRule="atLeast"/>
          <w:jc w:val="center"/>
        </w:trPr>
        <w:tc>
          <w:tcPr>
            <w:tcW w:w="504" w:type="pct"/>
            <w:vMerge w:val="restart"/>
            <w:tcBorders>
              <w:top w:val="single" w:color="000000" w:sz="4" w:space="0"/>
              <w:left w:val="single" w:color="000000" w:sz="4" w:space="0"/>
              <w:bottom w:val="single" w:color="000000" w:sz="4" w:space="0"/>
              <w:right w:val="single" w:color="000000" w:sz="4" w:space="0"/>
            </w:tcBorders>
            <w:noWrap w:val="0"/>
            <w:vAlign w:val="center"/>
          </w:tcPr>
          <w:p w14:paraId="4369CB40">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五、果皮箱、垃圾桶5分</w:t>
            </w:r>
          </w:p>
        </w:tc>
        <w:tc>
          <w:tcPr>
            <w:tcW w:w="1708" w:type="pct"/>
            <w:tcBorders>
              <w:top w:val="single" w:color="000000" w:sz="4" w:space="0"/>
              <w:left w:val="single" w:color="000000" w:sz="4" w:space="0"/>
              <w:bottom w:val="single" w:color="000000" w:sz="4" w:space="0"/>
              <w:right w:val="single" w:color="000000" w:sz="4" w:space="0"/>
            </w:tcBorders>
            <w:noWrap w:val="0"/>
            <w:vAlign w:val="center"/>
          </w:tcPr>
          <w:p w14:paraId="40D0088E">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1、果皮箱、垃圾桶清掏作业：每日清掏果皮箱、垃圾桶，保证可视范围内果皮箱、垃圾桶无溢满，清除果皮箱、垃圾桶表面污渍和“牛皮癣”。</w:t>
            </w:r>
          </w:p>
        </w:tc>
        <w:tc>
          <w:tcPr>
            <w:tcW w:w="1870" w:type="pct"/>
            <w:tcBorders>
              <w:top w:val="single" w:color="000000" w:sz="4" w:space="0"/>
              <w:left w:val="single" w:color="000000" w:sz="4" w:space="0"/>
              <w:bottom w:val="single" w:color="000000" w:sz="4" w:space="0"/>
              <w:right w:val="single" w:color="000000" w:sz="4" w:space="0"/>
            </w:tcBorders>
            <w:noWrap w:val="0"/>
            <w:vAlign w:val="center"/>
          </w:tcPr>
          <w:p w14:paraId="2DF0FBAB">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1、造成漫溢、脏乱的，每处扣0.5分，扣完为止；</w:t>
            </w:r>
          </w:p>
        </w:tc>
        <w:tc>
          <w:tcPr>
            <w:tcW w:w="447" w:type="pct"/>
            <w:tcBorders>
              <w:top w:val="single" w:color="000000" w:sz="4" w:space="0"/>
              <w:left w:val="single" w:color="000000" w:sz="4" w:space="0"/>
              <w:bottom w:val="single" w:color="000000" w:sz="4" w:space="0"/>
              <w:right w:val="single" w:color="000000" w:sz="4" w:space="0"/>
            </w:tcBorders>
            <w:noWrap/>
            <w:vAlign w:val="center"/>
          </w:tcPr>
          <w:p w14:paraId="6D33B75C">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c>
          <w:tcPr>
            <w:tcW w:w="468" w:type="pct"/>
            <w:tcBorders>
              <w:top w:val="single" w:color="000000" w:sz="4" w:space="0"/>
              <w:left w:val="single" w:color="000000" w:sz="4" w:space="0"/>
              <w:bottom w:val="single" w:color="000000" w:sz="4" w:space="0"/>
              <w:right w:val="single" w:color="000000" w:sz="4" w:space="0"/>
            </w:tcBorders>
            <w:noWrap/>
            <w:vAlign w:val="center"/>
          </w:tcPr>
          <w:p w14:paraId="1077AD4C">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r>
      <w:tr w14:paraId="42B139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1561" w:hRule="atLeast"/>
          <w:jc w:val="center"/>
        </w:trPr>
        <w:tc>
          <w:tcPr>
            <w:tcW w:w="504" w:type="pct"/>
            <w:vMerge w:val="continue"/>
            <w:tcBorders>
              <w:top w:val="single" w:color="000000" w:sz="4" w:space="0"/>
              <w:left w:val="single" w:color="000000" w:sz="4" w:space="0"/>
              <w:bottom w:val="single" w:color="000000" w:sz="4" w:space="0"/>
              <w:right w:val="single" w:color="000000" w:sz="4" w:space="0"/>
            </w:tcBorders>
            <w:noWrap w:val="0"/>
            <w:vAlign w:val="center"/>
          </w:tcPr>
          <w:p w14:paraId="4B969437">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c>
          <w:tcPr>
            <w:tcW w:w="1708" w:type="pct"/>
            <w:tcBorders>
              <w:top w:val="single" w:color="000000" w:sz="4" w:space="0"/>
              <w:left w:val="single" w:color="000000" w:sz="4" w:space="0"/>
              <w:bottom w:val="single" w:color="000000" w:sz="4" w:space="0"/>
              <w:right w:val="single" w:color="000000" w:sz="4" w:space="0"/>
            </w:tcBorders>
            <w:noWrap w:val="0"/>
            <w:vAlign w:val="center"/>
          </w:tcPr>
          <w:p w14:paraId="41EE13F3">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2、果皮箱、垃圾桶清洗作业：每周1次清洗果皮箱、垃圾桶表面和内胆，并对箱体周围地面进行清洗和拖抹；果皮箱、垃圾桶完好率应不低于98%。</w:t>
            </w:r>
          </w:p>
        </w:tc>
        <w:tc>
          <w:tcPr>
            <w:tcW w:w="1870" w:type="pct"/>
            <w:tcBorders>
              <w:top w:val="single" w:color="000000" w:sz="4" w:space="0"/>
              <w:left w:val="single" w:color="000000" w:sz="4" w:space="0"/>
              <w:bottom w:val="single" w:color="000000" w:sz="4" w:space="0"/>
              <w:right w:val="single" w:color="000000" w:sz="4" w:space="0"/>
            </w:tcBorders>
            <w:noWrap w:val="0"/>
            <w:vAlign w:val="center"/>
          </w:tcPr>
          <w:p w14:paraId="13CB75AD">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2、发现未清洗和拖抹的，每个果皮箱、垃圾桶扣0.5分，扣完为止。</w:t>
            </w:r>
          </w:p>
        </w:tc>
        <w:tc>
          <w:tcPr>
            <w:tcW w:w="447" w:type="pct"/>
            <w:tcBorders>
              <w:top w:val="single" w:color="000000" w:sz="4" w:space="0"/>
              <w:left w:val="single" w:color="000000" w:sz="4" w:space="0"/>
              <w:bottom w:val="single" w:color="000000" w:sz="4" w:space="0"/>
              <w:right w:val="single" w:color="000000" w:sz="4" w:space="0"/>
            </w:tcBorders>
            <w:noWrap/>
            <w:vAlign w:val="center"/>
          </w:tcPr>
          <w:p w14:paraId="1701AEFA">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c>
          <w:tcPr>
            <w:tcW w:w="468" w:type="pct"/>
            <w:tcBorders>
              <w:top w:val="single" w:color="000000" w:sz="4" w:space="0"/>
              <w:left w:val="single" w:color="000000" w:sz="4" w:space="0"/>
              <w:bottom w:val="single" w:color="000000" w:sz="4" w:space="0"/>
              <w:right w:val="single" w:color="000000" w:sz="4" w:space="0"/>
            </w:tcBorders>
            <w:noWrap/>
            <w:vAlign w:val="center"/>
          </w:tcPr>
          <w:p w14:paraId="19D2877D">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r>
      <w:tr w14:paraId="65E9D0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1561" w:hRule="atLeast"/>
          <w:jc w:val="center"/>
        </w:trPr>
        <w:tc>
          <w:tcPr>
            <w:tcW w:w="504" w:type="pct"/>
            <w:tcBorders>
              <w:top w:val="single" w:color="000000" w:sz="4" w:space="0"/>
              <w:left w:val="single" w:color="000000" w:sz="4" w:space="0"/>
              <w:bottom w:val="single" w:color="000000" w:sz="4" w:space="0"/>
              <w:right w:val="single" w:color="000000" w:sz="4" w:space="0"/>
            </w:tcBorders>
            <w:noWrap w:val="0"/>
            <w:vAlign w:val="center"/>
          </w:tcPr>
          <w:p w14:paraId="3971E9D2">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lang w:val="en-US" w:eastAsia="zh-CN"/>
              </w:rPr>
              <w:t>六、公厕管养5分</w:t>
            </w:r>
          </w:p>
        </w:tc>
        <w:tc>
          <w:tcPr>
            <w:tcW w:w="1708" w:type="pct"/>
            <w:tcBorders>
              <w:top w:val="single" w:color="000000" w:sz="4" w:space="0"/>
              <w:left w:val="single" w:color="000000" w:sz="4" w:space="0"/>
              <w:bottom w:val="single" w:color="000000" w:sz="4" w:space="0"/>
              <w:right w:val="single" w:color="000000" w:sz="4" w:space="0"/>
            </w:tcBorders>
            <w:noWrap w:val="0"/>
            <w:vAlign w:val="center"/>
          </w:tcPr>
          <w:p w14:paraId="466AEC58">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“四净三无两通一明”（地面净、墙壁净、厕位净、周边净，无溢流、无蚊蝇、无臭味，水通、电通、灯明）</w:t>
            </w:r>
          </w:p>
        </w:tc>
        <w:tc>
          <w:tcPr>
            <w:tcW w:w="1870" w:type="pct"/>
            <w:tcBorders>
              <w:top w:val="single" w:color="000000" w:sz="4" w:space="0"/>
              <w:left w:val="single" w:color="000000" w:sz="4" w:space="0"/>
              <w:bottom w:val="single" w:color="000000" w:sz="4" w:space="0"/>
              <w:right w:val="single" w:color="000000" w:sz="4" w:space="0"/>
            </w:tcBorders>
            <w:noWrap w:val="0"/>
            <w:vAlign w:val="center"/>
          </w:tcPr>
          <w:p w14:paraId="56F24159">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未按要求的每处扣0.5分，扣完为止。</w:t>
            </w:r>
          </w:p>
        </w:tc>
        <w:tc>
          <w:tcPr>
            <w:tcW w:w="447" w:type="pct"/>
            <w:tcBorders>
              <w:top w:val="single" w:color="000000" w:sz="4" w:space="0"/>
              <w:left w:val="single" w:color="000000" w:sz="4" w:space="0"/>
              <w:bottom w:val="single" w:color="000000" w:sz="4" w:space="0"/>
              <w:right w:val="single" w:color="000000" w:sz="4" w:space="0"/>
            </w:tcBorders>
            <w:noWrap/>
            <w:vAlign w:val="center"/>
          </w:tcPr>
          <w:p w14:paraId="37B61847">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c>
          <w:tcPr>
            <w:tcW w:w="468" w:type="pct"/>
            <w:tcBorders>
              <w:top w:val="single" w:color="000000" w:sz="4" w:space="0"/>
              <w:left w:val="single" w:color="000000" w:sz="4" w:space="0"/>
              <w:bottom w:val="single" w:color="000000" w:sz="4" w:space="0"/>
              <w:right w:val="single" w:color="000000" w:sz="4" w:space="0"/>
            </w:tcBorders>
            <w:noWrap/>
            <w:vAlign w:val="center"/>
          </w:tcPr>
          <w:p w14:paraId="6A249049">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r>
      <w:tr w14:paraId="3B08E4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2492" w:hRule="atLeast"/>
          <w:jc w:val="center"/>
        </w:trPr>
        <w:tc>
          <w:tcPr>
            <w:tcW w:w="504" w:type="pct"/>
            <w:vMerge w:val="restart"/>
            <w:tcBorders>
              <w:top w:val="single" w:color="000000" w:sz="4" w:space="0"/>
              <w:left w:val="single" w:color="000000" w:sz="4" w:space="0"/>
              <w:bottom w:val="single" w:color="000000" w:sz="4" w:space="0"/>
              <w:right w:val="single" w:color="000000" w:sz="4" w:space="0"/>
            </w:tcBorders>
            <w:noWrap w:val="0"/>
            <w:vAlign w:val="center"/>
          </w:tcPr>
          <w:p w14:paraId="45255E5A">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六、其它10分</w:t>
            </w:r>
          </w:p>
        </w:tc>
        <w:tc>
          <w:tcPr>
            <w:tcW w:w="1708" w:type="pct"/>
            <w:tcBorders>
              <w:top w:val="single" w:color="000000" w:sz="4" w:space="0"/>
              <w:left w:val="single" w:color="000000" w:sz="4" w:space="0"/>
              <w:bottom w:val="single" w:color="000000" w:sz="4" w:space="0"/>
              <w:right w:val="single" w:color="000000" w:sz="4" w:space="0"/>
            </w:tcBorders>
            <w:noWrap w:val="0"/>
            <w:vAlign w:val="center"/>
          </w:tcPr>
          <w:p w14:paraId="38564C5D">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牛皮癣”清理工作：道路设施包括交通标志、公共汽车上落站、电箱、果皮箱、电话亭、花池、树木、高压电塔(杆)以及两旁的第一排建筑立面，每日8:00点前完成清理，使道路两侧可视范围内的建筑物和构筑物沿街立面表面干净、整洁，无悬挂“牛皮癣”。</w:t>
            </w:r>
          </w:p>
        </w:tc>
        <w:tc>
          <w:tcPr>
            <w:tcW w:w="1870" w:type="pct"/>
            <w:tcBorders>
              <w:top w:val="single" w:color="000000" w:sz="4" w:space="0"/>
              <w:left w:val="single" w:color="000000" w:sz="4" w:space="0"/>
              <w:bottom w:val="single" w:color="000000" w:sz="4" w:space="0"/>
              <w:right w:val="single" w:color="000000" w:sz="4" w:space="0"/>
            </w:tcBorders>
            <w:noWrap w:val="0"/>
            <w:vAlign w:val="center"/>
          </w:tcPr>
          <w:p w14:paraId="2190EE6E">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1、发现乱张贴、涂乌的，每处扣0.5分，扣完为止。</w:t>
            </w:r>
          </w:p>
        </w:tc>
        <w:tc>
          <w:tcPr>
            <w:tcW w:w="447" w:type="pct"/>
            <w:tcBorders>
              <w:top w:val="single" w:color="000000" w:sz="4" w:space="0"/>
              <w:left w:val="single" w:color="000000" w:sz="4" w:space="0"/>
              <w:bottom w:val="single" w:color="000000" w:sz="4" w:space="0"/>
              <w:right w:val="single" w:color="000000" w:sz="4" w:space="0"/>
            </w:tcBorders>
            <w:noWrap/>
            <w:vAlign w:val="center"/>
          </w:tcPr>
          <w:p w14:paraId="49D41349">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c>
          <w:tcPr>
            <w:tcW w:w="468" w:type="pct"/>
            <w:tcBorders>
              <w:top w:val="single" w:color="000000" w:sz="4" w:space="0"/>
              <w:left w:val="single" w:color="000000" w:sz="4" w:space="0"/>
              <w:bottom w:val="single" w:color="000000" w:sz="4" w:space="0"/>
              <w:right w:val="single" w:color="000000" w:sz="4" w:space="0"/>
            </w:tcBorders>
            <w:noWrap/>
            <w:vAlign w:val="center"/>
          </w:tcPr>
          <w:p w14:paraId="2A718FAA">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r>
      <w:tr w14:paraId="043EC6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1025" w:hRule="atLeast"/>
          <w:jc w:val="center"/>
        </w:trPr>
        <w:tc>
          <w:tcPr>
            <w:tcW w:w="504" w:type="pct"/>
            <w:vMerge w:val="continue"/>
            <w:tcBorders>
              <w:top w:val="single" w:color="000000" w:sz="4" w:space="0"/>
              <w:left w:val="single" w:color="000000" w:sz="4" w:space="0"/>
              <w:bottom w:val="single" w:color="000000" w:sz="4" w:space="0"/>
              <w:right w:val="single" w:color="000000" w:sz="4" w:space="0"/>
            </w:tcBorders>
            <w:noWrap w:val="0"/>
            <w:vAlign w:val="center"/>
          </w:tcPr>
          <w:p w14:paraId="51623729">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c>
          <w:tcPr>
            <w:tcW w:w="1708" w:type="pct"/>
            <w:tcBorders>
              <w:top w:val="single" w:color="000000" w:sz="4" w:space="0"/>
              <w:left w:val="single" w:color="000000" w:sz="4" w:space="0"/>
              <w:bottom w:val="single" w:color="000000" w:sz="4" w:space="0"/>
              <w:right w:val="single" w:color="000000" w:sz="4" w:space="0"/>
            </w:tcBorders>
            <w:noWrap w:val="0"/>
            <w:vAlign w:val="center"/>
          </w:tcPr>
          <w:p w14:paraId="53AE9CA9">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2、全民清洁活动或突击性的卫生清洁任务，能按时、按标准、按要求完成所分配工作。</w:t>
            </w:r>
          </w:p>
        </w:tc>
        <w:tc>
          <w:tcPr>
            <w:tcW w:w="1870" w:type="pct"/>
            <w:tcBorders>
              <w:top w:val="single" w:color="000000" w:sz="4" w:space="0"/>
              <w:left w:val="single" w:color="000000" w:sz="4" w:space="0"/>
              <w:bottom w:val="single" w:color="000000" w:sz="4" w:space="0"/>
              <w:right w:val="single" w:color="000000" w:sz="4" w:space="0"/>
            </w:tcBorders>
            <w:noWrap w:val="0"/>
            <w:vAlign w:val="center"/>
          </w:tcPr>
          <w:p w14:paraId="0B4DD8E5">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2、未按时按要求完成的，扣0.5分，扣完为止。</w:t>
            </w:r>
          </w:p>
        </w:tc>
        <w:tc>
          <w:tcPr>
            <w:tcW w:w="447" w:type="pct"/>
            <w:tcBorders>
              <w:top w:val="single" w:color="000000" w:sz="4" w:space="0"/>
              <w:left w:val="single" w:color="000000" w:sz="4" w:space="0"/>
              <w:bottom w:val="single" w:color="000000" w:sz="4" w:space="0"/>
              <w:right w:val="single" w:color="000000" w:sz="4" w:space="0"/>
            </w:tcBorders>
            <w:noWrap/>
            <w:vAlign w:val="center"/>
          </w:tcPr>
          <w:p w14:paraId="79E54337">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c>
          <w:tcPr>
            <w:tcW w:w="468" w:type="pct"/>
            <w:tcBorders>
              <w:top w:val="single" w:color="000000" w:sz="4" w:space="0"/>
              <w:left w:val="single" w:color="000000" w:sz="4" w:space="0"/>
              <w:bottom w:val="single" w:color="000000" w:sz="4" w:space="0"/>
              <w:right w:val="single" w:color="000000" w:sz="4" w:space="0"/>
            </w:tcBorders>
            <w:noWrap/>
            <w:vAlign w:val="center"/>
          </w:tcPr>
          <w:p w14:paraId="6B89EABF">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r>
      <w:tr w14:paraId="4ACC32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686" w:hRule="atLeast"/>
          <w:jc w:val="center"/>
        </w:trPr>
        <w:tc>
          <w:tcPr>
            <w:tcW w:w="504" w:type="pct"/>
            <w:vMerge w:val="continue"/>
            <w:tcBorders>
              <w:top w:val="single" w:color="000000" w:sz="4" w:space="0"/>
              <w:left w:val="single" w:color="000000" w:sz="4" w:space="0"/>
              <w:bottom w:val="single" w:color="000000" w:sz="4" w:space="0"/>
              <w:right w:val="single" w:color="000000" w:sz="4" w:space="0"/>
            </w:tcBorders>
            <w:noWrap w:val="0"/>
            <w:vAlign w:val="center"/>
          </w:tcPr>
          <w:p w14:paraId="39D2C971">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c>
          <w:tcPr>
            <w:tcW w:w="1708" w:type="pct"/>
            <w:tcBorders>
              <w:top w:val="single" w:color="000000" w:sz="4" w:space="0"/>
              <w:left w:val="single" w:color="000000" w:sz="4" w:space="0"/>
              <w:bottom w:val="single" w:color="000000" w:sz="4" w:space="0"/>
              <w:right w:val="single" w:color="000000" w:sz="4" w:space="0"/>
            </w:tcBorders>
            <w:noWrap w:val="0"/>
            <w:vAlign w:val="center"/>
          </w:tcPr>
          <w:p w14:paraId="48AC15EE">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3、工作到位，没被市、镇领导批评。</w:t>
            </w:r>
          </w:p>
        </w:tc>
        <w:tc>
          <w:tcPr>
            <w:tcW w:w="1870" w:type="pct"/>
            <w:tcBorders>
              <w:top w:val="single" w:color="000000" w:sz="4" w:space="0"/>
              <w:left w:val="single" w:color="000000" w:sz="4" w:space="0"/>
              <w:bottom w:val="single" w:color="000000" w:sz="4" w:space="0"/>
              <w:right w:val="single" w:color="000000" w:sz="4" w:space="0"/>
            </w:tcBorders>
            <w:noWrap w:val="0"/>
            <w:vAlign w:val="center"/>
          </w:tcPr>
          <w:p w14:paraId="36B4ABE0">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3、被批评，情况属实的，扣5分。</w:t>
            </w:r>
          </w:p>
        </w:tc>
        <w:tc>
          <w:tcPr>
            <w:tcW w:w="447" w:type="pct"/>
            <w:tcBorders>
              <w:top w:val="single" w:color="000000" w:sz="4" w:space="0"/>
              <w:left w:val="single" w:color="000000" w:sz="4" w:space="0"/>
              <w:bottom w:val="single" w:color="000000" w:sz="4" w:space="0"/>
              <w:right w:val="single" w:color="000000" w:sz="4" w:space="0"/>
            </w:tcBorders>
            <w:noWrap/>
            <w:vAlign w:val="center"/>
          </w:tcPr>
          <w:p w14:paraId="675CECF7">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c>
          <w:tcPr>
            <w:tcW w:w="468" w:type="pct"/>
            <w:tcBorders>
              <w:top w:val="single" w:color="000000" w:sz="4" w:space="0"/>
              <w:left w:val="single" w:color="000000" w:sz="4" w:space="0"/>
              <w:bottom w:val="single" w:color="000000" w:sz="4" w:space="0"/>
              <w:right w:val="single" w:color="000000" w:sz="4" w:space="0"/>
            </w:tcBorders>
            <w:noWrap/>
            <w:vAlign w:val="center"/>
          </w:tcPr>
          <w:p w14:paraId="1BB31558">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r>
      <w:tr w14:paraId="00D243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686" w:hRule="atLeast"/>
          <w:jc w:val="center"/>
        </w:trPr>
        <w:tc>
          <w:tcPr>
            <w:tcW w:w="504" w:type="pct"/>
            <w:vMerge w:val="continue"/>
            <w:tcBorders>
              <w:top w:val="single" w:color="000000" w:sz="4" w:space="0"/>
              <w:left w:val="single" w:color="000000" w:sz="4" w:space="0"/>
              <w:bottom w:val="single" w:color="000000" w:sz="4" w:space="0"/>
              <w:right w:val="single" w:color="000000" w:sz="4" w:space="0"/>
            </w:tcBorders>
            <w:noWrap w:val="0"/>
            <w:vAlign w:val="center"/>
          </w:tcPr>
          <w:p w14:paraId="777BE571">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c>
          <w:tcPr>
            <w:tcW w:w="1708" w:type="pct"/>
            <w:tcBorders>
              <w:top w:val="single" w:color="000000" w:sz="4" w:space="0"/>
              <w:left w:val="single" w:color="000000" w:sz="4" w:space="0"/>
              <w:bottom w:val="single" w:color="000000" w:sz="4" w:space="0"/>
              <w:right w:val="single" w:color="000000" w:sz="4" w:space="0"/>
            </w:tcBorders>
            <w:noWrap/>
            <w:vAlign w:val="center"/>
          </w:tcPr>
          <w:p w14:paraId="19C45C87">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4、工作到位，没被市民投诉。</w:t>
            </w:r>
          </w:p>
        </w:tc>
        <w:tc>
          <w:tcPr>
            <w:tcW w:w="1870" w:type="pct"/>
            <w:tcBorders>
              <w:top w:val="single" w:color="000000" w:sz="4" w:space="0"/>
              <w:left w:val="single" w:color="000000" w:sz="4" w:space="0"/>
              <w:bottom w:val="single" w:color="000000" w:sz="4" w:space="0"/>
              <w:right w:val="single" w:color="000000" w:sz="4" w:space="0"/>
            </w:tcBorders>
            <w:noWrap w:val="0"/>
            <w:vAlign w:val="center"/>
          </w:tcPr>
          <w:p w14:paraId="4F5B232C">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4、被投诉，情况属实的，扣0.5分。</w:t>
            </w:r>
          </w:p>
        </w:tc>
        <w:tc>
          <w:tcPr>
            <w:tcW w:w="447" w:type="pct"/>
            <w:tcBorders>
              <w:top w:val="single" w:color="000000" w:sz="4" w:space="0"/>
              <w:left w:val="single" w:color="000000" w:sz="4" w:space="0"/>
              <w:bottom w:val="single" w:color="000000" w:sz="4" w:space="0"/>
              <w:right w:val="single" w:color="000000" w:sz="4" w:space="0"/>
            </w:tcBorders>
            <w:noWrap/>
            <w:vAlign w:val="center"/>
          </w:tcPr>
          <w:p w14:paraId="02311A77">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c>
          <w:tcPr>
            <w:tcW w:w="468" w:type="pct"/>
            <w:tcBorders>
              <w:top w:val="single" w:color="000000" w:sz="4" w:space="0"/>
              <w:left w:val="single" w:color="000000" w:sz="4" w:space="0"/>
              <w:bottom w:val="single" w:color="000000" w:sz="4" w:space="0"/>
              <w:right w:val="single" w:color="000000" w:sz="4" w:space="0"/>
            </w:tcBorders>
            <w:noWrap/>
            <w:vAlign w:val="center"/>
          </w:tcPr>
          <w:p w14:paraId="47EF96FF">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r>
      <w:tr w14:paraId="022D42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686" w:hRule="atLeast"/>
          <w:jc w:val="center"/>
        </w:trPr>
        <w:tc>
          <w:tcPr>
            <w:tcW w:w="504" w:type="pct"/>
            <w:vMerge w:val="continue"/>
            <w:tcBorders>
              <w:top w:val="single" w:color="000000" w:sz="4" w:space="0"/>
              <w:left w:val="single" w:color="000000" w:sz="4" w:space="0"/>
              <w:bottom w:val="single" w:color="000000" w:sz="4" w:space="0"/>
              <w:right w:val="single" w:color="000000" w:sz="4" w:space="0"/>
            </w:tcBorders>
            <w:noWrap w:val="0"/>
            <w:vAlign w:val="center"/>
          </w:tcPr>
          <w:p w14:paraId="6FB29008">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c>
          <w:tcPr>
            <w:tcW w:w="1708" w:type="pct"/>
            <w:tcBorders>
              <w:top w:val="single" w:color="000000" w:sz="4" w:space="0"/>
              <w:left w:val="single" w:color="000000" w:sz="4" w:space="0"/>
              <w:bottom w:val="single" w:color="000000" w:sz="4" w:space="0"/>
              <w:right w:val="single" w:color="000000" w:sz="4" w:space="0"/>
            </w:tcBorders>
            <w:noWrap/>
            <w:vAlign w:val="center"/>
          </w:tcPr>
          <w:p w14:paraId="1C058789">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5、达到环卫管理其它项目标准。</w:t>
            </w:r>
          </w:p>
        </w:tc>
        <w:tc>
          <w:tcPr>
            <w:tcW w:w="1870" w:type="pct"/>
            <w:tcBorders>
              <w:top w:val="single" w:color="000000" w:sz="4" w:space="0"/>
              <w:left w:val="single" w:color="000000" w:sz="4" w:space="0"/>
              <w:bottom w:val="single" w:color="000000" w:sz="4" w:space="0"/>
              <w:right w:val="single" w:color="000000" w:sz="4" w:space="0"/>
            </w:tcBorders>
            <w:noWrap w:val="0"/>
            <w:vAlign w:val="center"/>
          </w:tcPr>
          <w:p w14:paraId="577CACD3">
            <w:pPr>
              <w:keepNext w:val="0"/>
              <w:keepLines w:val="0"/>
              <w:pageBreakBefore w:val="0"/>
              <w:widowControl/>
              <w:suppressLineNumbers w:val="0"/>
              <w:kinsoku/>
              <w:wordWrap/>
              <w:overflowPunct/>
              <w:topLinePunct w:val="0"/>
              <w:autoSpaceDE/>
              <w:autoSpaceDN/>
              <w:bidi w:val="0"/>
              <w:adjustRightInd/>
              <w:snapToGrid w:val="0"/>
              <w:spacing w:line="44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5、达不到标准的，每项扣0.5分。</w:t>
            </w:r>
          </w:p>
        </w:tc>
        <w:tc>
          <w:tcPr>
            <w:tcW w:w="447" w:type="pct"/>
            <w:tcBorders>
              <w:top w:val="single" w:color="000000" w:sz="4" w:space="0"/>
              <w:left w:val="single" w:color="000000" w:sz="4" w:space="0"/>
              <w:bottom w:val="single" w:color="000000" w:sz="4" w:space="0"/>
              <w:right w:val="single" w:color="000000" w:sz="4" w:space="0"/>
            </w:tcBorders>
            <w:noWrap/>
            <w:vAlign w:val="center"/>
          </w:tcPr>
          <w:p w14:paraId="6A95A1AD">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c>
          <w:tcPr>
            <w:tcW w:w="468" w:type="pct"/>
            <w:tcBorders>
              <w:top w:val="single" w:color="000000" w:sz="4" w:space="0"/>
              <w:left w:val="single" w:color="000000" w:sz="4" w:space="0"/>
              <w:bottom w:val="single" w:color="000000" w:sz="4" w:space="0"/>
              <w:right w:val="single" w:color="000000" w:sz="4" w:space="0"/>
            </w:tcBorders>
            <w:noWrap/>
            <w:vAlign w:val="center"/>
          </w:tcPr>
          <w:p w14:paraId="646755FE">
            <w:pPr>
              <w:keepNext w:val="0"/>
              <w:keepLines w:val="0"/>
              <w:pageBreakBefore w:val="0"/>
              <w:kinsoku/>
              <w:wordWrap/>
              <w:overflowPunct/>
              <w:topLinePunct w:val="0"/>
              <w:autoSpaceDE/>
              <w:autoSpaceDN/>
              <w:bidi w:val="0"/>
              <w:adjustRightInd/>
              <w:snapToGrid w:val="0"/>
              <w:spacing w:line="440" w:lineRule="exact"/>
              <w:rPr>
                <w:rFonts w:hint="eastAsia" w:ascii="宋体" w:hAnsi="宋体" w:eastAsia="宋体" w:cs="宋体"/>
                <w:i w:val="0"/>
                <w:iCs w:val="0"/>
                <w:color w:val="auto"/>
                <w:sz w:val="21"/>
                <w:szCs w:val="21"/>
                <w:highlight w:val="none"/>
                <w:u w:val="none"/>
              </w:rPr>
            </w:pPr>
          </w:p>
        </w:tc>
      </w:tr>
      <w:tr w14:paraId="34711F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686"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ign w:val="center"/>
          </w:tcPr>
          <w:p w14:paraId="3DDF702F">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合计检查扣分</w:t>
            </w:r>
          </w:p>
        </w:tc>
      </w:tr>
      <w:tr w14:paraId="6E3920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686"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ign w:val="center"/>
          </w:tcPr>
          <w:p w14:paraId="4AB283EC">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合计实得分(</w:t>
            </w:r>
            <w:r>
              <w:rPr>
                <w:rFonts w:hint="eastAsia" w:ascii="宋体" w:hAnsi="宋体" w:eastAsia="宋体" w:cs="宋体"/>
                <w:i w:val="0"/>
                <w:iCs w:val="0"/>
                <w:color w:val="auto"/>
                <w:kern w:val="0"/>
                <w:sz w:val="21"/>
                <w:szCs w:val="21"/>
                <w:highlight w:val="none"/>
                <w:u w:val="single"/>
                <w:lang w:val="en-US" w:eastAsia="zh-CN" w:bidi="ar"/>
              </w:rPr>
              <w:t xml:space="preserve">       </w:t>
            </w:r>
            <w:r>
              <w:rPr>
                <w:rFonts w:hint="eastAsia" w:ascii="宋体" w:hAnsi="宋体" w:eastAsia="宋体" w:cs="宋体"/>
                <w:i w:val="0"/>
                <w:iCs w:val="0"/>
                <w:color w:val="auto"/>
                <w:kern w:val="0"/>
                <w:sz w:val="21"/>
                <w:szCs w:val="21"/>
                <w:highlight w:val="none"/>
                <w:u w:val="none"/>
                <w:lang w:val="en-US" w:eastAsia="zh-CN" w:bidi="ar"/>
              </w:rPr>
              <w:t>)=总分(100)-合计检查扣分(</w:t>
            </w:r>
            <w:r>
              <w:rPr>
                <w:rFonts w:hint="eastAsia" w:ascii="宋体" w:hAnsi="宋体" w:eastAsia="宋体" w:cs="宋体"/>
                <w:i w:val="0"/>
                <w:iCs w:val="0"/>
                <w:color w:val="auto"/>
                <w:kern w:val="0"/>
                <w:sz w:val="21"/>
                <w:szCs w:val="21"/>
                <w:highlight w:val="none"/>
                <w:u w:val="single"/>
                <w:lang w:val="en-US" w:eastAsia="zh-CN" w:bidi="ar"/>
              </w:rPr>
              <w:t xml:space="preserve">          </w:t>
            </w:r>
            <w:r>
              <w:rPr>
                <w:rFonts w:hint="eastAsia" w:ascii="宋体" w:hAnsi="宋体" w:eastAsia="宋体" w:cs="宋体"/>
                <w:i w:val="0"/>
                <w:iCs w:val="0"/>
                <w:color w:val="auto"/>
                <w:kern w:val="0"/>
                <w:sz w:val="21"/>
                <w:szCs w:val="21"/>
                <w:highlight w:val="none"/>
                <w:u w:val="none"/>
                <w:lang w:val="en-US" w:eastAsia="zh-CN" w:bidi="ar"/>
              </w:rPr>
              <w:t>)</w:t>
            </w:r>
          </w:p>
        </w:tc>
      </w:tr>
      <w:tr w14:paraId="65F1D9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696"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ign w:val="center"/>
          </w:tcPr>
          <w:p w14:paraId="4A123AAC">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评分员：</w:t>
            </w:r>
            <w:r>
              <w:rPr>
                <w:rFonts w:hint="eastAsia" w:ascii="宋体" w:hAnsi="宋体" w:eastAsia="宋体" w:cs="宋体"/>
                <w:i w:val="0"/>
                <w:iCs w:val="0"/>
                <w:color w:val="auto"/>
                <w:kern w:val="0"/>
                <w:sz w:val="21"/>
                <w:szCs w:val="21"/>
                <w:highlight w:val="none"/>
                <w:u w:val="single"/>
                <w:lang w:val="en-US" w:eastAsia="zh-CN" w:bidi="ar"/>
              </w:rPr>
              <w:t xml:space="preserve">                    </w:t>
            </w:r>
            <w:r>
              <w:rPr>
                <w:rFonts w:hint="eastAsia" w:ascii="宋体" w:hAnsi="宋体" w:eastAsia="宋体" w:cs="宋体"/>
                <w:i w:val="0"/>
                <w:iCs w:val="0"/>
                <w:color w:val="auto"/>
                <w:kern w:val="0"/>
                <w:sz w:val="21"/>
                <w:szCs w:val="21"/>
                <w:highlight w:val="none"/>
                <w:u w:val="none"/>
                <w:lang w:val="en-US" w:eastAsia="zh-CN" w:bidi="ar"/>
              </w:rPr>
              <w:t>初审：</w:t>
            </w:r>
            <w:r>
              <w:rPr>
                <w:rFonts w:hint="eastAsia" w:ascii="宋体" w:hAnsi="宋体" w:eastAsia="宋体" w:cs="宋体"/>
                <w:i w:val="0"/>
                <w:iCs w:val="0"/>
                <w:color w:val="auto"/>
                <w:kern w:val="0"/>
                <w:sz w:val="21"/>
                <w:szCs w:val="21"/>
                <w:highlight w:val="none"/>
                <w:u w:val="single"/>
                <w:lang w:val="en-US" w:eastAsia="zh-CN" w:bidi="ar"/>
              </w:rPr>
              <w:t xml:space="preserve">                </w:t>
            </w:r>
            <w:r>
              <w:rPr>
                <w:rFonts w:hint="eastAsia" w:ascii="宋体" w:hAnsi="宋体" w:eastAsia="宋体" w:cs="宋体"/>
                <w:i w:val="0"/>
                <w:iCs w:val="0"/>
                <w:color w:val="auto"/>
                <w:kern w:val="0"/>
                <w:sz w:val="21"/>
                <w:szCs w:val="21"/>
                <w:highlight w:val="none"/>
                <w:u w:val="none"/>
                <w:lang w:val="en-US" w:eastAsia="zh-CN" w:bidi="ar"/>
              </w:rPr>
              <w:t>审核：</w:t>
            </w:r>
            <w:r>
              <w:rPr>
                <w:rFonts w:hint="eastAsia" w:ascii="宋体" w:hAnsi="宋体" w:eastAsia="宋体" w:cs="宋体"/>
                <w:i w:val="0"/>
                <w:iCs w:val="0"/>
                <w:color w:val="auto"/>
                <w:kern w:val="0"/>
                <w:sz w:val="21"/>
                <w:szCs w:val="21"/>
                <w:highlight w:val="none"/>
                <w:u w:val="single"/>
                <w:lang w:val="en-US" w:eastAsia="zh-CN" w:bidi="ar"/>
              </w:rPr>
              <w:t xml:space="preserve">          </w:t>
            </w:r>
          </w:p>
        </w:tc>
      </w:tr>
    </w:tbl>
    <w:p w14:paraId="1A29BAEC">
      <w:pPr>
        <w:keepNext w:val="0"/>
        <w:keepLines w:val="0"/>
        <w:pageBreakBefore w:val="0"/>
        <w:widowControl w:val="0"/>
        <w:kinsoku/>
        <w:wordWrap/>
        <w:overflowPunct/>
        <w:topLinePunct w:val="0"/>
        <w:autoSpaceDE/>
        <w:autoSpaceDN/>
        <w:bidi w:val="0"/>
        <w:adjustRightInd/>
        <w:snapToGrid w:val="0"/>
        <w:spacing w:before="437" w:beforeLines="100" w:line="360" w:lineRule="auto"/>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附件2：《虎门镇环卫保洁明检扣减标准表》</w:t>
      </w:r>
    </w:p>
    <w:tbl>
      <w:tblPr>
        <w:tblStyle w:val="14"/>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
      <w:tblGrid>
        <w:gridCol w:w="686"/>
        <w:gridCol w:w="4817"/>
        <w:gridCol w:w="2184"/>
        <w:gridCol w:w="1439"/>
      </w:tblGrid>
      <w:tr w14:paraId="152DBB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375" w:type="pct"/>
            <w:tcBorders>
              <w:top w:val="single" w:color="000000" w:sz="4" w:space="0"/>
              <w:left w:val="single" w:color="000000" w:sz="4" w:space="0"/>
              <w:bottom w:val="single" w:color="000000" w:sz="4" w:space="0"/>
              <w:right w:val="single" w:color="000000" w:sz="4" w:space="0"/>
            </w:tcBorders>
            <w:noWrap/>
            <w:vAlign w:val="center"/>
          </w:tcPr>
          <w:p w14:paraId="09156227">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档次</w:t>
            </w:r>
          </w:p>
        </w:tc>
        <w:tc>
          <w:tcPr>
            <w:tcW w:w="2639" w:type="pct"/>
            <w:tcBorders>
              <w:top w:val="single" w:color="000000" w:sz="4" w:space="0"/>
              <w:left w:val="single" w:color="000000" w:sz="4" w:space="0"/>
              <w:bottom w:val="single" w:color="000000" w:sz="4" w:space="0"/>
              <w:right w:val="single" w:color="000000" w:sz="4" w:space="0"/>
            </w:tcBorders>
            <w:noWrap/>
            <w:vAlign w:val="center"/>
          </w:tcPr>
          <w:p w14:paraId="19EF2F90">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扣减规则</w:t>
            </w:r>
          </w:p>
        </w:tc>
        <w:tc>
          <w:tcPr>
            <w:tcW w:w="1984" w:type="pct"/>
            <w:gridSpan w:val="2"/>
            <w:tcBorders>
              <w:top w:val="single" w:color="000000" w:sz="4" w:space="0"/>
              <w:left w:val="single" w:color="000000" w:sz="4" w:space="0"/>
              <w:bottom w:val="single" w:color="000000" w:sz="4" w:space="0"/>
              <w:right w:val="single" w:color="000000" w:sz="4" w:space="0"/>
            </w:tcBorders>
            <w:noWrap/>
            <w:vAlign w:val="center"/>
          </w:tcPr>
          <w:p w14:paraId="146A736A">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承包款支付比例</w:t>
            </w:r>
          </w:p>
        </w:tc>
      </w:tr>
      <w:tr w14:paraId="4331CF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375" w:type="pct"/>
            <w:tcBorders>
              <w:top w:val="single" w:color="000000" w:sz="4" w:space="0"/>
              <w:left w:val="single" w:color="000000" w:sz="4" w:space="0"/>
              <w:bottom w:val="single" w:color="000000" w:sz="4" w:space="0"/>
              <w:right w:val="single" w:color="000000" w:sz="4" w:space="0"/>
            </w:tcBorders>
            <w:noWrap/>
            <w:vAlign w:val="center"/>
          </w:tcPr>
          <w:p w14:paraId="7132289E">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好</w:t>
            </w:r>
          </w:p>
        </w:tc>
        <w:tc>
          <w:tcPr>
            <w:tcW w:w="2639" w:type="pct"/>
            <w:tcBorders>
              <w:top w:val="single" w:color="000000" w:sz="4" w:space="0"/>
              <w:left w:val="single" w:color="000000" w:sz="4" w:space="0"/>
              <w:bottom w:val="single" w:color="000000" w:sz="4" w:space="0"/>
              <w:right w:val="single" w:color="000000" w:sz="4" w:space="0"/>
            </w:tcBorders>
            <w:noWrap/>
            <w:vAlign w:val="center"/>
          </w:tcPr>
          <w:p w14:paraId="2F673555">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第一区间：100≥分数≥88，不扣减；</w:t>
            </w:r>
          </w:p>
        </w:tc>
        <w:tc>
          <w:tcPr>
            <w:tcW w:w="1196" w:type="pct"/>
            <w:tcBorders>
              <w:top w:val="single" w:color="000000" w:sz="4" w:space="0"/>
              <w:left w:val="single" w:color="000000" w:sz="4" w:space="0"/>
              <w:bottom w:val="single" w:color="000000" w:sz="4" w:space="0"/>
              <w:right w:val="single" w:color="000000" w:sz="4" w:space="0"/>
            </w:tcBorders>
            <w:noWrap/>
            <w:vAlign w:val="center"/>
          </w:tcPr>
          <w:p w14:paraId="3A87138C">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88（含）~100（含）</w:t>
            </w:r>
          </w:p>
        </w:tc>
        <w:tc>
          <w:tcPr>
            <w:tcW w:w="788" w:type="pct"/>
            <w:tcBorders>
              <w:top w:val="single" w:color="000000" w:sz="4" w:space="0"/>
              <w:left w:val="single" w:color="000000" w:sz="4" w:space="0"/>
              <w:bottom w:val="single" w:color="000000" w:sz="4" w:space="0"/>
              <w:right w:val="single" w:color="000000" w:sz="4" w:space="0"/>
            </w:tcBorders>
            <w:noWrap/>
            <w:vAlign w:val="center"/>
          </w:tcPr>
          <w:p w14:paraId="6CD52563">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100%</w:t>
            </w:r>
          </w:p>
        </w:tc>
      </w:tr>
      <w:tr w14:paraId="736D71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375" w:type="pct"/>
            <w:vMerge w:val="restart"/>
            <w:tcBorders>
              <w:top w:val="single" w:color="000000" w:sz="4" w:space="0"/>
              <w:left w:val="single" w:color="000000" w:sz="4" w:space="0"/>
              <w:right w:val="single" w:color="000000" w:sz="4" w:space="0"/>
            </w:tcBorders>
            <w:noWrap/>
            <w:vAlign w:val="center"/>
          </w:tcPr>
          <w:p w14:paraId="29C0722D">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中</w:t>
            </w:r>
          </w:p>
        </w:tc>
        <w:tc>
          <w:tcPr>
            <w:tcW w:w="2639" w:type="pct"/>
            <w:vMerge w:val="restart"/>
            <w:tcBorders>
              <w:top w:val="single" w:color="000000" w:sz="4" w:space="0"/>
              <w:left w:val="single" w:color="000000" w:sz="4" w:space="0"/>
              <w:right w:val="single" w:color="000000" w:sz="4" w:space="0"/>
            </w:tcBorders>
            <w:noWrap/>
            <w:vAlign w:val="center"/>
          </w:tcPr>
          <w:p w14:paraId="2690627E">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第二区间：80≥分数＞88，每扣1分按1%累计扣除；</w:t>
            </w:r>
          </w:p>
        </w:tc>
        <w:tc>
          <w:tcPr>
            <w:tcW w:w="1196" w:type="pct"/>
            <w:tcBorders>
              <w:top w:val="single" w:color="000000" w:sz="4" w:space="0"/>
              <w:left w:val="single" w:color="000000" w:sz="4" w:space="0"/>
              <w:bottom w:val="single" w:color="000000" w:sz="4" w:space="0"/>
              <w:right w:val="single" w:color="000000" w:sz="4" w:space="0"/>
            </w:tcBorders>
            <w:noWrap/>
            <w:vAlign w:val="center"/>
          </w:tcPr>
          <w:p w14:paraId="6FF964D5">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87</w:t>
            </w:r>
          </w:p>
        </w:tc>
        <w:tc>
          <w:tcPr>
            <w:tcW w:w="788" w:type="pct"/>
            <w:tcBorders>
              <w:top w:val="single" w:color="000000" w:sz="4" w:space="0"/>
              <w:left w:val="single" w:color="000000" w:sz="4" w:space="0"/>
              <w:bottom w:val="single" w:color="000000" w:sz="4" w:space="0"/>
              <w:right w:val="single" w:color="000000" w:sz="4" w:space="0"/>
            </w:tcBorders>
            <w:noWrap/>
            <w:vAlign w:val="center"/>
          </w:tcPr>
          <w:p w14:paraId="55D8D715">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99%</w:t>
            </w:r>
          </w:p>
        </w:tc>
      </w:tr>
      <w:tr w14:paraId="04290C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375" w:type="pct"/>
            <w:vMerge w:val="continue"/>
            <w:tcBorders>
              <w:left w:val="single" w:color="000000" w:sz="4" w:space="0"/>
              <w:right w:val="single" w:color="000000" w:sz="4" w:space="0"/>
            </w:tcBorders>
            <w:noWrap/>
            <w:vAlign w:val="center"/>
          </w:tcPr>
          <w:p w14:paraId="37187C56">
            <w:pPr>
              <w:keepNext w:val="0"/>
              <w:keepLines w:val="0"/>
              <w:pageBreakBefore w:val="0"/>
              <w:kinsoku/>
              <w:wordWrap/>
              <w:overflowPunct/>
              <w:topLinePunct w:val="0"/>
              <w:autoSpaceDE/>
              <w:autoSpaceDN/>
              <w:bidi w:val="0"/>
              <w:adjustRightInd/>
              <w:snapToGrid w:val="0"/>
              <w:spacing w:line="440" w:lineRule="exact"/>
              <w:jc w:val="center"/>
              <w:rPr>
                <w:rFonts w:hint="eastAsia" w:ascii="宋体" w:hAnsi="宋体" w:eastAsia="宋体" w:cs="宋体"/>
                <w:color w:val="auto"/>
                <w:kern w:val="2"/>
                <w:sz w:val="21"/>
                <w:szCs w:val="21"/>
                <w:highlight w:val="none"/>
                <w:lang w:val="en-US" w:eastAsia="zh-CN" w:bidi="ar-SA"/>
              </w:rPr>
            </w:pPr>
          </w:p>
        </w:tc>
        <w:tc>
          <w:tcPr>
            <w:tcW w:w="2639" w:type="pct"/>
            <w:vMerge w:val="continue"/>
            <w:tcBorders>
              <w:left w:val="single" w:color="000000" w:sz="4" w:space="0"/>
              <w:right w:val="single" w:color="000000" w:sz="4" w:space="0"/>
            </w:tcBorders>
            <w:noWrap/>
            <w:vAlign w:val="center"/>
          </w:tcPr>
          <w:p w14:paraId="14634FC9">
            <w:pPr>
              <w:keepNext w:val="0"/>
              <w:keepLines w:val="0"/>
              <w:pageBreakBefore w:val="0"/>
              <w:kinsoku/>
              <w:wordWrap/>
              <w:overflowPunct/>
              <w:topLinePunct w:val="0"/>
              <w:autoSpaceDE/>
              <w:autoSpaceDN/>
              <w:bidi w:val="0"/>
              <w:adjustRightInd/>
              <w:snapToGrid w:val="0"/>
              <w:spacing w:line="440" w:lineRule="exact"/>
              <w:jc w:val="center"/>
              <w:rPr>
                <w:rFonts w:hint="eastAsia" w:ascii="宋体" w:hAnsi="宋体" w:eastAsia="宋体" w:cs="宋体"/>
                <w:color w:val="auto"/>
                <w:kern w:val="2"/>
                <w:sz w:val="21"/>
                <w:szCs w:val="21"/>
                <w:highlight w:val="none"/>
                <w:lang w:val="en-US" w:eastAsia="zh-CN" w:bidi="ar-SA"/>
              </w:rPr>
            </w:pPr>
          </w:p>
        </w:tc>
        <w:tc>
          <w:tcPr>
            <w:tcW w:w="1196" w:type="pct"/>
            <w:tcBorders>
              <w:top w:val="single" w:color="000000" w:sz="4" w:space="0"/>
              <w:left w:val="single" w:color="000000" w:sz="4" w:space="0"/>
              <w:bottom w:val="single" w:color="000000" w:sz="4" w:space="0"/>
              <w:right w:val="single" w:color="000000" w:sz="4" w:space="0"/>
            </w:tcBorders>
            <w:noWrap/>
            <w:vAlign w:val="center"/>
          </w:tcPr>
          <w:p w14:paraId="57A98151">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86</w:t>
            </w:r>
          </w:p>
        </w:tc>
        <w:tc>
          <w:tcPr>
            <w:tcW w:w="788" w:type="pct"/>
            <w:tcBorders>
              <w:top w:val="single" w:color="000000" w:sz="4" w:space="0"/>
              <w:left w:val="single" w:color="000000" w:sz="4" w:space="0"/>
              <w:bottom w:val="single" w:color="000000" w:sz="4" w:space="0"/>
              <w:right w:val="single" w:color="000000" w:sz="4" w:space="0"/>
            </w:tcBorders>
            <w:noWrap/>
            <w:vAlign w:val="center"/>
          </w:tcPr>
          <w:p w14:paraId="6F4FA1DA">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98%</w:t>
            </w:r>
          </w:p>
        </w:tc>
      </w:tr>
      <w:tr w14:paraId="68692E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375" w:type="pct"/>
            <w:vMerge w:val="continue"/>
            <w:tcBorders>
              <w:left w:val="single" w:color="000000" w:sz="4" w:space="0"/>
              <w:right w:val="single" w:color="000000" w:sz="4" w:space="0"/>
            </w:tcBorders>
            <w:noWrap/>
            <w:vAlign w:val="center"/>
          </w:tcPr>
          <w:p w14:paraId="09C7737D">
            <w:pPr>
              <w:keepNext w:val="0"/>
              <w:keepLines w:val="0"/>
              <w:pageBreakBefore w:val="0"/>
              <w:kinsoku/>
              <w:wordWrap/>
              <w:overflowPunct/>
              <w:topLinePunct w:val="0"/>
              <w:autoSpaceDE/>
              <w:autoSpaceDN/>
              <w:bidi w:val="0"/>
              <w:adjustRightInd/>
              <w:snapToGrid w:val="0"/>
              <w:spacing w:line="440" w:lineRule="exact"/>
              <w:jc w:val="center"/>
              <w:rPr>
                <w:rFonts w:hint="eastAsia" w:ascii="宋体" w:hAnsi="宋体" w:eastAsia="宋体" w:cs="宋体"/>
                <w:color w:val="auto"/>
                <w:kern w:val="2"/>
                <w:sz w:val="21"/>
                <w:szCs w:val="21"/>
                <w:highlight w:val="none"/>
                <w:lang w:val="en-US" w:eastAsia="zh-CN" w:bidi="ar-SA"/>
              </w:rPr>
            </w:pPr>
          </w:p>
        </w:tc>
        <w:tc>
          <w:tcPr>
            <w:tcW w:w="2639" w:type="pct"/>
            <w:vMerge w:val="continue"/>
            <w:tcBorders>
              <w:left w:val="single" w:color="000000" w:sz="4" w:space="0"/>
              <w:right w:val="single" w:color="000000" w:sz="4" w:space="0"/>
            </w:tcBorders>
            <w:noWrap/>
            <w:vAlign w:val="center"/>
          </w:tcPr>
          <w:p w14:paraId="1A620298">
            <w:pPr>
              <w:keepNext w:val="0"/>
              <w:keepLines w:val="0"/>
              <w:pageBreakBefore w:val="0"/>
              <w:kinsoku/>
              <w:wordWrap/>
              <w:overflowPunct/>
              <w:topLinePunct w:val="0"/>
              <w:autoSpaceDE/>
              <w:autoSpaceDN/>
              <w:bidi w:val="0"/>
              <w:adjustRightInd/>
              <w:snapToGrid w:val="0"/>
              <w:spacing w:line="440" w:lineRule="exact"/>
              <w:jc w:val="center"/>
              <w:rPr>
                <w:rFonts w:hint="eastAsia" w:ascii="宋体" w:hAnsi="宋体" w:eastAsia="宋体" w:cs="宋体"/>
                <w:color w:val="auto"/>
                <w:kern w:val="2"/>
                <w:sz w:val="21"/>
                <w:szCs w:val="21"/>
                <w:highlight w:val="none"/>
                <w:lang w:val="en-US" w:eastAsia="zh-CN" w:bidi="ar-SA"/>
              </w:rPr>
            </w:pPr>
          </w:p>
        </w:tc>
        <w:tc>
          <w:tcPr>
            <w:tcW w:w="1196" w:type="pct"/>
            <w:tcBorders>
              <w:top w:val="single" w:color="000000" w:sz="4" w:space="0"/>
              <w:left w:val="single" w:color="000000" w:sz="4" w:space="0"/>
              <w:bottom w:val="single" w:color="000000" w:sz="4" w:space="0"/>
              <w:right w:val="single" w:color="000000" w:sz="4" w:space="0"/>
            </w:tcBorders>
            <w:noWrap/>
            <w:vAlign w:val="center"/>
          </w:tcPr>
          <w:p w14:paraId="16DA7CC5">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85</w:t>
            </w:r>
          </w:p>
        </w:tc>
        <w:tc>
          <w:tcPr>
            <w:tcW w:w="788" w:type="pct"/>
            <w:tcBorders>
              <w:top w:val="single" w:color="000000" w:sz="4" w:space="0"/>
              <w:left w:val="single" w:color="000000" w:sz="4" w:space="0"/>
              <w:bottom w:val="single" w:color="000000" w:sz="4" w:space="0"/>
              <w:right w:val="single" w:color="000000" w:sz="4" w:space="0"/>
            </w:tcBorders>
            <w:noWrap/>
            <w:vAlign w:val="center"/>
          </w:tcPr>
          <w:p w14:paraId="45E650B1">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97%</w:t>
            </w:r>
          </w:p>
        </w:tc>
      </w:tr>
      <w:tr w14:paraId="357197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375" w:type="pct"/>
            <w:vMerge w:val="continue"/>
            <w:tcBorders>
              <w:left w:val="single" w:color="000000" w:sz="4" w:space="0"/>
              <w:right w:val="single" w:color="000000" w:sz="4" w:space="0"/>
            </w:tcBorders>
            <w:noWrap/>
            <w:vAlign w:val="center"/>
          </w:tcPr>
          <w:p w14:paraId="78BF3F41">
            <w:pPr>
              <w:keepNext w:val="0"/>
              <w:keepLines w:val="0"/>
              <w:pageBreakBefore w:val="0"/>
              <w:kinsoku/>
              <w:wordWrap/>
              <w:overflowPunct/>
              <w:topLinePunct w:val="0"/>
              <w:autoSpaceDE/>
              <w:autoSpaceDN/>
              <w:bidi w:val="0"/>
              <w:adjustRightInd/>
              <w:snapToGrid w:val="0"/>
              <w:spacing w:line="440" w:lineRule="exact"/>
              <w:jc w:val="center"/>
              <w:rPr>
                <w:rFonts w:hint="eastAsia" w:ascii="宋体" w:hAnsi="宋体" w:eastAsia="宋体" w:cs="宋体"/>
                <w:color w:val="auto"/>
                <w:kern w:val="2"/>
                <w:sz w:val="21"/>
                <w:szCs w:val="21"/>
                <w:highlight w:val="none"/>
                <w:lang w:val="en-US" w:eastAsia="zh-CN" w:bidi="ar-SA"/>
              </w:rPr>
            </w:pPr>
          </w:p>
        </w:tc>
        <w:tc>
          <w:tcPr>
            <w:tcW w:w="2639" w:type="pct"/>
            <w:vMerge w:val="continue"/>
            <w:tcBorders>
              <w:left w:val="single" w:color="000000" w:sz="4" w:space="0"/>
              <w:right w:val="single" w:color="000000" w:sz="4" w:space="0"/>
            </w:tcBorders>
            <w:noWrap/>
            <w:vAlign w:val="center"/>
          </w:tcPr>
          <w:p w14:paraId="1630B198">
            <w:pPr>
              <w:keepNext w:val="0"/>
              <w:keepLines w:val="0"/>
              <w:pageBreakBefore w:val="0"/>
              <w:kinsoku/>
              <w:wordWrap/>
              <w:overflowPunct/>
              <w:topLinePunct w:val="0"/>
              <w:autoSpaceDE/>
              <w:autoSpaceDN/>
              <w:bidi w:val="0"/>
              <w:adjustRightInd/>
              <w:snapToGrid w:val="0"/>
              <w:spacing w:line="440" w:lineRule="exact"/>
              <w:jc w:val="center"/>
              <w:rPr>
                <w:rFonts w:hint="eastAsia" w:ascii="宋体" w:hAnsi="宋体" w:eastAsia="宋体" w:cs="宋体"/>
                <w:color w:val="auto"/>
                <w:kern w:val="2"/>
                <w:sz w:val="21"/>
                <w:szCs w:val="21"/>
                <w:highlight w:val="none"/>
                <w:lang w:val="en-US" w:eastAsia="zh-CN" w:bidi="ar-SA"/>
              </w:rPr>
            </w:pPr>
          </w:p>
        </w:tc>
        <w:tc>
          <w:tcPr>
            <w:tcW w:w="1196" w:type="pct"/>
            <w:tcBorders>
              <w:top w:val="single" w:color="000000" w:sz="4" w:space="0"/>
              <w:left w:val="single" w:color="000000" w:sz="4" w:space="0"/>
              <w:bottom w:val="single" w:color="000000" w:sz="4" w:space="0"/>
              <w:right w:val="single" w:color="000000" w:sz="4" w:space="0"/>
            </w:tcBorders>
            <w:noWrap/>
            <w:vAlign w:val="center"/>
          </w:tcPr>
          <w:p w14:paraId="541FB14E">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84</w:t>
            </w:r>
          </w:p>
        </w:tc>
        <w:tc>
          <w:tcPr>
            <w:tcW w:w="788" w:type="pct"/>
            <w:tcBorders>
              <w:top w:val="single" w:color="000000" w:sz="4" w:space="0"/>
              <w:left w:val="single" w:color="000000" w:sz="4" w:space="0"/>
              <w:bottom w:val="single" w:color="000000" w:sz="4" w:space="0"/>
              <w:right w:val="single" w:color="000000" w:sz="4" w:space="0"/>
            </w:tcBorders>
            <w:noWrap/>
            <w:vAlign w:val="center"/>
          </w:tcPr>
          <w:p w14:paraId="657444DB">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96%</w:t>
            </w:r>
          </w:p>
        </w:tc>
      </w:tr>
      <w:tr w14:paraId="12DAA6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375" w:type="pct"/>
            <w:vMerge w:val="continue"/>
            <w:tcBorders>
              <w:left w:val="single" w:color="000000" w:sz="4" w:space="0"/>
              <w:right w:val="single" w:color="000000" w:sz="4" w:space="0"/>
            </w:tcBorders>
            <w:noWrap/>
            <w:vAlign w:val="center"/>
          </w:tcPr>
          <w:p w14:paraId="27F5EB7C">
            <w:pPr>
              <w:keepNext w:val="0"/>
              <w:keepLines w:val="0"/>
              <w:pageBreakBefore w:val="0"/>
              <w:kinsoku/>
              <w:wordWrap/>
              <w:overflowPunct/>
              <w:topLinePunct w:val="0"/>
              <w:autoSpaceDE/>
              <w:autoSpaceDN/>
              <w:bidi w:val="0"/>
              <w:adjustRightInd/>
              <w:snapToGrid w:val="0"/>
              <w:spacing w:line="440" w:lineRule="exact"/>
              <w:jc w:val="center"/>
              <w:rPr>
                <w:rFonts w:hint="eastAsia" w:ascii="宋体" w:hAnsi="宋体" w:eastAsia="宋体" w:cs="宋体"/>
                <w:color w:val="auto"/>
                <w:kern w:val="2"/>
                <w:sz w:val="21"/>
                <w:szCs w:val="21"/>
                <w:highlight w:val="none"/>
                <w:lang w:val="en-US" w:eastAsia="zh-CN" w:bidi="ar-SA"/>
              </w:rPr>
            </w:pPr>
          </w:p>
        </w:tc>
        <w:tc>
          <w:tcPr>
            <w:tcW w:w="2639" w:type="pct"/>
            <w:vMerge w:val="continue"/>
            <w:tcBorders>
              <w:left w:val="single" w:color="000000" w:sz="4" w:space="0"/>
              <w:right w:val="single" w:color="000000" w:sz="4" w:space="0"/>
            </w:tcBorders>
            <w:noWrap/>
            <w:vAlign w:val="center"/>
          </w:tcPr>
          <w:p w14:paraId="7BD86FAC">
            <w:pPr>
              <w:keepNext w:val="0"/>
              <w:keepLines w:val="0"/>
              <w:pageBreakBefore w:val="0"/>
              <w:kinsoku/>
              <w:wordWrap/>
              <w:overflowPunct/>
              <w:topLinePunct w:val="0"/>
              <w:autoSpaceDE/>
              <w:autoSpaceDN/>
              <w:bidi w:val="0"/>
              <w:adjustRightInd/>
              <w:snapToGrid w:val="0"/>
              <w:spacing w:line="440" w:lineRule="exact"/>
              <w:jc w:val="center"/>
              <w:rPr>
                <w:rFonts w:hint="eastAsia" w:ascii="宋体" w:hAnsi="宋体" w:eastAsia="宋体" w:cs="宋体"/>
                <w:color w:val="auto"/>
                <w:kern w:val="2"/>
                <w:sz w:val="21"/>
                <w:szCs w:val="21"/>
                <w:highlight w:val="none"/>
                <w:lang w:val="en-US" w:eastAsia="zh-CN" w:bidi="ar-SA"/>
              </w:rPr>
            </w:pPr>
          </w:p>
        </w:tc>
        <w:tc>
          <w:tcPr>
            <w:tcW w:w="1196" w:type="pct"/>
            <w:tcBorders>
              <w:top w:val="single" w:color="000000" w:sz="4" w:space="0"/>
              <w:left w:val="single" w:color="000000" w:sz="4" w:space="0"/>
              <w:bottom w:val="single" w:color="000000" w:sz="4" w:space="0"/>
              <w:right w:val="single" w:color="000000" w:sz="4" w:space="0"/>
            </w:tcBorders>
            <w:noWrap/>
            <w:vAlign w:val="center"/>
          </w:tcPr>
          <w:p w14:paraId="10FF8DB6">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83</w:t>
            </w:r>
          </w:p>
        </w:tc>
        <w:tc>
          <w:tcPr>
            <w:tcW w:w="788" w:type="pct"/>
            <w:tcBorders>
              <w:top w:val="single" w:color="000000" w:sz="4" w:space="0"/>
              <w:left w:val="single" w:color="000000" w:sz="4" w:space="0"/>
              <w:bottom w:val="single" w:color="000000" w:sz="4" w:space="0"/>
              <w:right w:val="single" w:color="000000" w:sz="4" w:space="0"/>
            </w:tcBorders>
            <w:noWrap/>
            <w:vAlign w:val="center"/>
          </w:tcPr>
          <w:p w14:paraId="23AA1875">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95%</w:t>
            </w:r>
          </w:p>
        </w:tc>
      </w:tr>
      <w:tr w14:paraId="4734A2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375" w:type="pct"/>
            <w:vMerge w:val="continue"/>
            <w:tcBorders>
              <w:left w:val="single" w:color="000000" w:sz="4" w:space="0"/>
              <w:right w:val="single" w:color="000000" w:sz="4" w:space="0"/>
            </w:tcBorders>
            <w:noWrap/>
            <w:vAlign w:val="center"/>
          </w:tcPr>
          <w:p w14:paraId="162D74C8">
            <w:pPr>
              <w:keepNext w:val="0"/>
              <w:keepLines w:val="0"/>
              <w:pageBreakBefore w:val="0"/>
              <w:kinsoku/>
              <w:wordWrap/>
              <w:overflowPunct/>
              <w:topLinePunct w:val="0"/>
              <w:autoSpaceDE/>
              <w:autoSpaceDN/>
              <w:bidi w:val="0"/>
              <w:adjustRightInd/>
              <w:snapToGrid w:val="0"/>
              <w:spacing w:line="440" w:lineRule="exact"/>
              <w:jc w:val="center"/>
              <w:rPr>
                <w:rFonts w:hint="eastAsia" w:ascii="宋体" w:hAnsi="宋体" w:eastAsia="宋体" w:cs="宋体"/>
                <w:color w:val="auto"/>
                <w:kern w:val="2"/>
                <w:sz w:val="21"/>
                <w:szCs w:val="21"/>
                <w:highlight w:val="none"/>
                <w:lang w:val="en-US" w:eastAsia="zh-CN" w:bidi="ar-SA"/>
              </w:rPr>
            </w:pPr>
          </w:p>
        </w:tc>
        <w:tc>
          <w:tcPr>
            <w:tcW w:w="2639" w:type="pct"/>
            <w:vMerge w:val="continue"/>
            <w:tcBorders>
              <w:left w:val="single" w:color="000000" w:sz="4" w:space="0"/>
              <w:right w:val="single" w:color="000000" w:sz="4" w:space="0"/>
            </w:tcBorders>
            <w:noWrap/>
            <w:vAlign w:val="center"/>
          </w:tcPr>
          <w:p w14:paraId="170D3984">
            <w:pPr>
              <w:keepNext w:val="0"/>
              <w:keepLines w:val="0"/>
              <w:pageBreakBefore w:val="0"/>
              <w:kinsoku/>
              <w:wordWrap/>
              <w:overflowPunct/>
              <w:topLinePunct w:val="0"/>
              <w:autoSpaceDE/>
              <w:autoSpaceDN/>
              <w:bidi w:val="0"/>
              <w:adjustRightInd/>
              <w:snapToGrid w:val="0"/>
              <w:spacing w:line="440" w:lineRule="exact"/>
              <w:jc w:val="center"/>
              <w:rPr>
                <w:rFonts w:hint="eastAsia" w:ascii="宋体" w:hAnsi="宋体" w:eastAsia="宋体" w:cs="宋体"/>
                <w:color w:val="auto"/>
                <w:kern w:val="2"/>
                <w:sz w:val="21"/>
                <w:szCs w:val="21"/>
                <w:highlight w:val="none"/>
                <w:lang w:val="en-US" w:eastAsia="zh-CN" w:bidi="ar-SA"/>
              </w:rPr>
            </w:pPr>
          </w:p>
        </w:tc>
        <w:tc>
          <w:tcPr>
            <w:tcW w:w="1196" w:type="pct"/>
            <w:tcBorders>
              <w:top w:val="single" w:color="000000" w:sz="4" w:space="0"/>
              <w:left w:val="single" w:color="000000" w:sz="4" w:space="0"/>
              <w:bottom w:val="single" w:color="000000" w:sz="4" w:space="0"/>
              <w:right w:val="single" w:color="000000" w:sz="4" w:space="0"/>
            </w:tcBorders>
            <w:noWrap/>
            <w:vAlign w:val="center"/>
          </w:tcPr>
          <w:p w14:paraId="2D038B32">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82</w:t>
            </w:r>
          </w:p>
        </w:tc>
        <w:tc>
          <w:tcPr>
            <w:tcW w:w="788" w:type="pct"/>
            <w:tcBorders>
              <w:top w:val="single" w:color="000000" w:sz="4" w:space="0"/>
              <w:left w:val="single" w:color="000000" w:sz="4" w:space="0"/>
              <w:bottom w:val="single" w:color="000000" w:sz="4" w:space="0"/>
              <w:right w:val="single" w:color="000000" w:sz="4" w:space="0"/>
            </w:tcBorders>
            <w:noWrap/>
            <w:vAlign w:val="center"/>
          </w:tcPr>
          <w:p w14:paraId="1438FD31">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94%</w:t>
            </w:r>
          </w:p>
        </w:tc>
      </w:tr>
      <w:tr w14:paraId="04DC82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375" w:type="pct"/>
            <w:vMerge w:val="continue"/>
            <w:tcBorders>
              <w:left w:val="single" w:color="000000" w:sz="4" w:space="0"/>
              <w:right w:val="single" w:color="000000" w:sz="4" w:space="0"/>
            </w:tcBorders>
            <w:noWrap/>
            <w:vAlign w:val="center"/>
          </w:tcPr>
          <w:p w14:paraId="1E36BC87">
            <w:pPr>
              <w:keepNext w:val="0"/>
              <w:keepLines w:val="0"/>
              <w:pageBreakBefore w:val="0"/>
              <w:kinsoku/>
              <w:wordWrap/>
              <w:overflowPunct/>
              <w:topLinePunct w:val="0"/>
              <w:autoSpaceDE/>
              <w:autoSpaceDN/>
              <w:bidi w:val="0"/>
              <w:adjustRightInd/>
              <w:snapToGrid w:val="0"/>
              <w:spacing w:line="440" w:lineRule="exact"/>
              <w:jc w:val="center"/>
              <w:rPr>
                <w:rFonts w:hint="eastAsia" w:ascii="宋体" w:hAnsi="宋体" w:eastAsia="宋体" w:cs="宋体"/>
                <w:color w:val="auto"/>
                <w:kern w:val="2"/>
                <w:sz w:val="21"/>
                <w:szCs w:val="21"/>
                <w:highlight w:val="none"/>
                <w:lang w:val="en-US" w:eastAsia="zh-CN" w:bidi="ar-SA"/>
              </w:rPr>
            </w:pPr>
          </w:p>
        </w:tc>
        <w:tc>
          <w:tcPr>
            <w:tcW w:w="2639" w:type="pct"/>
            <w:vMerge w:val="continue"/>
            <w:tcBorders>
              <w:left w:val="single" w:color="000000" w:sz="4" w:space="0"/>
              <w:right w:val="single" w:color="000000" w:sz="4" w:space="0"/>
            </w:tcBorders>
            <w:noWrap/>
            <w:vAlign w:val="center"/>
          </w:tcPr>
          <w:p w14:paraId="3C56362E">
            <w:pPr>
              <w:keepNext w:val="0"/>
              <w:keepLines w:val="0"/>
              <w:pageBreakBefore w:val="0"/>
              <w:kinsoku/>
              <w:wordWrap/>
              <w:overflowPunct/>
              <w:topLinePunct w:val="0"/>
              <w:autoSpaceDE/>
              <w:autoSpaceDN/>
              <w:bidi w:val="0"/>
              <w:adjustRightInd/>
              <w:snapToGrid w:val="0"/>
              <w:spacing w:line="440" w:lineRule="exact"/>
              <w:jc w:val="center"/>
              <w:rPr>
                <w:rFonts w:hint="eastAsia" w:ascii="宋体" w:hAnsi="宋体" w:eastAsia="宋体" w:cs="宋体"/>
                <w:color w:val="auto"/>
                <w:kern w:val="2"/>
                <w:sz w:val="21"/>
                <w:szCs w:val="21"/>
                <w:highlight w:val="none"/>
                <w:lang w:val="en-US" w:eastAsia="zh-CN" w:bidi="ar-SA"/>
              </w:rPr>
            </w:pPr>
          </w:p>
        </w:tc>
        <w:tc>
          <w:tcPr>
            <w:tcW w:w="1196" w:type="pct"/>
            <w:tcBorders>
              <w:top w:val="single" w:color="000000" w:sz="4" w:space="0"/>
              <w:left w:val="single" w:color="000000" w:sz="4" w:space="0"/>
              <w:bottom w:val="single" w:color="000000" w:sz="4" w:space="0"/>
              <w:right w:val="single" w:color="000000" w:sz="4" w:space="0"/>
            </w:tcBorders>
            <w:noWrap/>
            <w:vAlign w:val="center"/>
          </w:tcPr>
          <w:p w14:paraId="614CD803">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81</w:t>
            </w:r>
          </w:p>
        </w:tc>
        <w:tc>
          <w:tcPr>
            <w:tcW w:w="788" w:type="pct"/>
            <w:tcBorders>
              <w:top w:val="single" w:color="000000" w:sz="4" w:space="0"/>
              <w:left w:val="single" w:color="000000" w:sz="4" w:space="0"/>
              <w:bottom w:val="single" w:color="000000" w:sz="4" w:space="0"/>
              <w:right w:val="single" w:color="000000" w:sz="4" w:space="0"/>
            </w:tcBorders>
            <w:noWrap/>
            <w:vAlign w:val="center"/>
          </w:tcPr>
          <w:p w14:paraId="1A9EF5B2">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93%</w:t>
            </w:r>
          </w:p>
        </w:tc>
      </w:tr>
      <w:tr w14:paraId="39AED0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484" w:hRule="atLeast"/>
          <w:jc w:val="center"/>
        </w:trPr>
        <w:tc>
          <w:tcPr>
            <w:tcW w:w="375" w:type="pct"/>
            <w:vMerge w:val="continue"/>
            <w:tcBorders>
              <w:left w:val="single" w:color="000000" w:sz="4" w:space="0"/>
              <w:right w:val="single" w:color="000000" w:sz="4" w:space="0"/>
            </w:tcBorders>
            <w:noWrap/>
            <w:vAlign w:val="center"/>
          </w:tcPr>
          <w:p w14:paraId="31970AFC">
            <w:pPr>
              <w:keepNext w:val="0"/>
              <w:keepLines w:val="0"/>
              <w:pageBreakBefore w:val="0"/>
              <w:kinsoku/>
              <w:wordWrap/>
              <w:overflowPunct/>
              <w:topLinePunct w:val="0"/>
              <w:autoSpaceDE/>
              <w:autoSpaceDN/>
              <w:bidi w:val="0"/>
              <w:adjustRightInd/>
              <w:snapToGrid w:val="0"/>
              <w:spacing w:line="440" w:lineRule="exact"/>
              <w:jc w:val="center"/>
              <w:rPr>
                <w:rFonts w:hint="eastAsia" w:ascii="宋体" w:hAnsi="宋体" w:eastAsia="宋体" w:cs="宋体"/>
                <w:color w:val="auto"/>
                <w:kern w:val="2"/>
                <w:sz w:val="21"/>
                <w:szCs w:val="21"/>
                <w:highlight w:val="none"/>
                <w:lang w:val="en-US" w:eastAsia="zh-CN" w:bidi="ar-SA"/>
              </w:rPr>
            </w:pPr>
          </w:p>
        </w:tc>
        <w:tc>
          <w:tcPr>
            <w:tcW w:w="2639" w:type="pct"/>
            <w:vMerge w:val="continue"/>
            <w:tcBorders>
              <w:left w:val="single" w:color="000000" w:sz="4" w:space="0"/>
              <w:right w:val="single" w:color="000000" w:sz="4" w:space="0"/>
            </w:tcBorders>
            <w:noWrap/>
            <w:vAlign w:val="center"/>
          </w:tcPr>
          <w:p w14:paraId="4EA7359F">
            <w:pPr>
              <w:keepNext w:val="0"/>
              <w:keepLines w:val="0"/>
              <w:pageBreakBefore w:val="0"/>
              <w:kinsoku/>
              <w:wordWrap/>
              <w:overflowPunct/>
              <w:topLinePunct w:val="0"/>
              <w:autoSpaceDE/>
              <w:autoSpaceDN/>
              <w:bidi w:val="0"/>
              <w:adjustRightInd/>
              <w:snapToGrid w:val="0"/>
              <w:spacing w:line="440" w:lineRule="exact"/>
              <w:jc w:val="center"/>
              <w:rPr>
                <w:rFonts w:hint="eastAsia" w:ascii="宋体" w:hAnsi="宋体" w:eastAsia="宋体" w:cs="宋体"/>
                <w:color w:val="auto"/>
                <w:kern w:val="2"/>
                <w:sz w:val="21"/>
                <w:szCs w:val="21"/>
                <w:highlight w:val="none"/>
                <w:lang w:val="en-US" w:eastAsia="zh-CN" w:bidi="ar-SA"/>
              </w:rPr>
            </w:pPr>
          </w:p>
        </w:tc>
        <w:tc>
          <w:tcPr>
            <w:tcW w:w="1196" w:type="pct"/>
            <w:tcBorders>
              <w:top w:val="single" w:color="000000" w:sz="4" w:space="0"/>
              <w:left w:val="single" w:color="000000" w:sz="4" w:space="0"/>
              <w:right w:val="single" w:color="000000" w:sz="4" w:space="0"/>
            </w:tcBorders>
            <w:noWrap/>
            <w:vAlign w:val="center"/>
          </w:tcPr>
          <w:p w14:paraId="09BF458D">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80</w:t>
            </w:r>
          </w:p>
        </w:tc>
        <w:tc>
          <w:tcPr>
            <w:tcW w:w="788" w:type="pct"/>
            <w:tcBorders>
              <w:top w:val="single" w:color="000000" w:sz="4" w:space="0"/>
              <w:left w:val="single" w:color="000000" w:sz="4" w:space="0"/>
              <w:bottom w:val="single" w:color="000000" w:sz="4" w:space="0"/>
              <w:right w:val="single" w:color="000000" w:sz="4" w:space="0"/>
            </w:tcBorders>
            <w:noWrap/>
            <w:vAlign w:val="center"/>
          </w:tcPr>
          <w:p w14:paraId="3272BC6F">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92%</w:t>
            </w:r>
          </w:p>
        </w:tc>
      </w:tr>
      <w:tr w14:paraId="540E22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375" w:type="pct"/>
            <w:vMerge w:val="continue"/>
            <w:tcBorders>
              <w:left w:val="single" w:color="000000" w:sz="4" w:space="0"/>
              <w:right w:val="single" w:color="000000" w:sz="4" w:space="0"/>
            </w:tcBorders>
            <w:noWrap/>
            <w:vAlign w:val="center"/>
          </w:tcPr>
          <w:p w14:paraId="43D8421A">
            <w:pPr>
              <w:keepNext w:val="0"/>
              <w:keepLines w:val="0"/>
              <w:pageBreakBefore w:val="0"/>
              <w:kinsoku/>
              <w:wordWrap/>
              <w:overflowPunct/>
              <w:topLinePunct w:val="0"/>
              <w:autoSpaceDE/>
              <w:autoSpaceDN/>
              <w:bidi w:val="0"/>
              <w:adjustRightInd/>
              <w:snapToGrid w:val="0"/>
              <w:spacing w:line="440" w:lineRule="exact"/>
              <w:jc w:val="center"/>
              <w:rPr>
                <w:rFonts w:hint="eastAsia" w:ascii="宋体" w:hAnsi="宋体" w:eastAsia="宋体" w:cs="宋体"/>
                <w:color w:val="auto"/>
                <w:kern w:val="2"/>
                <w:sz w:val="21"/>
                <w:szCs w:val="21"/>
                <w:highlight w:val="none"/>
                <w:lang w:val="en-US" w:eastAsia="zh-CN" w:bidi="ar-SA"/>
              </w:rPr>
            </w:pPr>
          </w:p>
        </w:tc>
        <w:tc>
          <w:tcPr>
            <w:tcW w:w="2639" w:type="pct"/>
            <w:vMerge w:val="restart"/>
            <w:tcBorders>
              <w:top w:val="single" w:color="000000" w:sz="4" w:space="0"/>
              <w:left w:val="single" w:color="000000" w:sz="4" w:space="0"/>
              <w:right w:val="single" w:color="000000" w:sz="4" w:space="0"/>
            </w:tcBorders>
            <w:noWrap/>
            <w:vAlign w:val="center"/>
          </w:tcPr>
          <w:p w14:paraId="1240B706">
            <w:pPr>
              <w:keepNext w:val="0"/>
              <w:keepLines w:val="0"/>
              <w:pageBreakBefore w:val="0"/>
              <w:kinsoku/>
              <w:wordWrap/>
              <w:overflowPunct/>
              <w:topLinePunct w:val="0"/>
              <w:autoSpaceDE/>
              <w:autoSpaceDN/>
              <w:bidi w:val="0"/>
              <w:adjustRightInd/>
              <w:snapToGrid w:val="0"/>
              <w:spacing w:line="440" w:lineRule="exact"/>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第三区间：70≥分数＞80，第二区间正常扣除8%，超出第二区间的每扣1分按1.2%累计扣除；</w:t>
            </w:r>
          </w:p>
          <w:p w14:paraId="06AD2871">
            <w:pPr>
              <w:keepNext w:val="0"/>
              <w:keepLines w:val="0"/>
              <w:pageBreakBefore w:val="0"/>
              <w:kinsoku/>
              <w:wordWrap/>
              <w:overflowPunct/>
              <w:topLinePunct w:val="0"/>
              <w:autoSpaceDE/>
              <w:autoSpaceDN/>
              <w:bidi w:val="0"/>
              <w:adjustRightInd/>
              <w:snapToGrid w:val="0"/>
              <w:spacing w:line="440" w:lineRule="exact"/>
              <w:jc w:val="center"/>
              <w:rPr>
                <w:rFonts w:hint="eastAsia" w:ascii="宋体" w:hAnsi="宋体" w:eastAsia="宋体" w:cs="宋体"/>
                <w:color w:val="auto"/>
                <w:kern w:val="2"/>
                <w:sz w:val="21"/>
                <w:szCs w:val="21"/>
                <w:highlight w:val="none"/>
                <w:lang w:val="en-US" w:eastAsia="zh-CN" w:bidi="ar-SA"/>
              </w:rPr>
            </w:pPr>
          </w:p>
        </w:tc>
        <w:tc>
          <w:tcPr>
            <w:tcW w:w="1196" w:type="pct"/>
            <w:tcBorders>
              <w:top w:val="single" w:color="000000" w:sz="4" w:space="0"/>
              <w:left w:val="single" w:color="000000" w:sz="4" w:space="0"/>
              <w:bottom w:val="single" w:color="000000" w:sz="4" w:space="0"/>
              <w:right w:val="single" w:color="000000" w:sz="4" w:space="0"/>
            </w:tcBorders>
            <w:noWrap/>
            <w:vAlign w:val="center"/>
          </w:tcPr>
          <w:p w14:paraId="5C34514C">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79</w:t>
            </w:r>
          </w:p>
        </w:tc>
        <w:tc>
          <w:tcPr>
            <w:tcW w:w="788" w:type="pct"/>
            <w:tcBorders>
              <w:top w:val="single" w:color="000000" w:sz="4" w:space="0"/>
              <w:left w:val="single" w:color="000000" w:sz="4" w:space="0"/>
              <w:bottom w:val="single" w:color="000000" w:sz="4" w:space="0"/>
              <w:right w:val="single" w:color="000000" w:sz="4" w:space="0"/>
            </w:tcBorders>
            <w:noWrap/>
            <w:vAlign w:val="center"/>
          </w:tcPr>
          <w:p w14:paraId="392EC796">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90.8%</w:t>
            </w:r>
          </w:p>
        </w:tc>
      </w:tr>
      <w:tr w14:paraId="0FF0C0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375" w:type="pct"/>
            <w:vMerge w:val="continue"/>
            <w:tcBorders>
              <w:left w:val="single" w:color="000000" w:sz="4" w:space="0"/>
              <w:right w:val="single" w:color="000000" w:sz="4" w:space="0"/>
            </w:tcBorders>
            <w:noWrap/>
            <w:vAlign w:val="center"/>
          </w:tcPr>
          <w:p w14:paraId="29B1763C">
            <w:pPr>
              <w:keepNext w:val="0"/>
              <w:keepLines w:val="0"/>
              <w:pageBreakBefore w:val="0"/>
              <w:kinsoku/>
              <w:wordWrap/>
              <w:overflowPunct/>
              <w:topLinePunct w:val="0"/>
              <w:autoSpaceDE/>
              <w:autoSpaceDN/>
              <w:bidi w:val="0"/>
              <w:adjustRightInd/>
              <w:snapToGrid w:val="0"/>
              <w:spacing w:line="440" w:lineRule="exact"/>
              <w:jc w:val="center"/>
              <w:rPr>
                <w:rFonts w:hint="eastAsia" w:ascii="宋体" w:hAnsi="宋体" w:eastAsia="宋体" w:cs="宋体"/>
                <w:color w:val="auto"/>
                <w:kern w:val="2"/>
                <w:sz w:val="21"/>
                <w:szCs w:val="21"/>
                <w:highlight w:val="none"/>
                <w:lang w:val="en-US" w:eastAsia="zh-CN" w:bidi="ar-SA"/>
              </w:rPr>
            </w:pPr>
          </w:p>
        </w:tc>
        <w:tc>
          <w:tcPr>
            <w:tcW w:w="2639" w:type="pct"/>
            <w:vMerge w:val="continue"/>
            <w:tcBorders>
              <w:left w:val="single" w:color="000000" w:sz="4" w:space="0"/>
              <w:right w:val="single" w:color="000000" w:sz="4" w:space="0"/>
            </w:tcBorders>
            <w:noWrap/>
            <w:vAlign w:val="center"/>
          </w:tcPr>
          <w:p w14:paraId="49E6EF54">
            <w:pPr>
              <w:keepNext w:val="0"/>
              <w:keepLines w:val="0"/>
              <w:pageBreakBefore w:val="0"/>
              <w:kinsoku/>
              <w:wordWrap/>
              <w:overflowPunct/>
              <w:topLinePunct w:val="0"/>
              <w:autoSpaceDE/>
              <w:autoSpaceDN/>
              <w:bidi w:val="0"/>
              <w:adjustRightInd/>
              <w:snapToGrid w:val="0"/>
              <w:spacing w:line="440" w:lineRule="exact"/>
              <w:jc w:val="center"/>
              <w:rPr>
                <w:rFonts w:hint="eastAsia" w:ascii="宋体" w:hAnsi="宋体" w:eastAsia="宋体" w:cs="宋体"/>
                <w:color w:val="auto"/>
                <w:kern w:val="2"/>
                <w:sz w:val="21"/>
                <w:szCs w:val="21"/>
                <w:highlight w:val="none"/>
                <w:lang w:val="en-US" w:eastAsia="zh-CN" w:bidi="ar-SA"/>
              </w:rPr>
            </w:pPr>
          </w:p>
        </w:tc>
        <w:tc>
          <w:tcPr>
            <w:tcW w:w="1196" w:type="pct"/>
            <w:tcBorders>
              <w:top w:val="single" w:color="000000" w:sz="4" w:space="0"/>
              <w:left w:val="single" w:color="000000" w:sz="4" w:space="0"/>
              <w:bottom w:val="single" w:color="000000" w:sz="4" w:space="0"/>
              <w:right w:val="single" w:color="000000" w:sz="4" w:space="0"/>
            </w:tcBorders>
            <w:noWrap/>
            <w:vAlign w:val="center"/>
          </w:tcPr>
          <w:p w14:paraId="4A146988">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78</w:t>
            </w:r>
          </w:p>
        </w:tc>
        <w:tc>
          <w:tcPr>
            <w:tcW w:w="788" w:type="pct"/>
            <w:tcBorders>
              <w:top w:val="single" w:color="000000" w:sz="4" w:space="0"/>
              <w:left w:val="single" w:color="000000" w:sz="4" w:space="0"/>
              <w:bottom w:val="single" w:color="000000" w:sz="4" w:space="0"/>
              <w:right w:val="single" w:color="000000" w:sz="4" w:space="0"/>
            </w:tcBorders>
            <w:noWrap/>
            <w:vAlign w:val="center"/>
          </w:tcPr>
          <w:p w14:paraId="72B3AEC6">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89.6%</w:t>
            </w:r>
          </w:p>
        </w:tc>
      </w:tr>
      <w:tr w14:paraId="7EFE80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375" w:type="pct"/>
            <w:vMerge w:val="continue"/>
            <w:tcBorders>
              <w:left w:val="single" w:color="000000" w:sz="4" w:space="0"/>
              <w:right w:val="single" w:color="000000" w:sz="4" w:space="0"/>
            </w:tcBorders>
            <w:noWrap/>
            <w:vAlign w:val="center"/>
          </w:tcPr>
          <w:p w14:paraId="00DBBFBB">
            <w:pPr>
              <w:keepNext w:val="0"/>
              <w:keepLines w:val="0"/>
              <w:pageBreakBefore w:val="0"/>
              <w:kinsoku/>
              <w:wordWrap/>
              <w:overflowPunct/>
              <w:topLinePunct w:val="0"/>
              <w:autoSpaceDE/>
              <w:autoSpaceDN/>
              <w:bidi w:val="0"/>
              <w:adjustRightInd/>
              <w:snapToGrid w:val="0"/>
              <w:spacing w:line="440" w:lineRule="exact"/>
              <w:jc w:val="center"/>
              <w:rPr>
                <w:rFonts w:hint="eastAsia" w:ascii="宋体" w:hAnsi="宋体" w:eastAsia="宋体" w:cs="宋体"/>
                <w:color w:val="auto"/>
                <w:kern w:val="2"/>
                <w:sz w:val="21"/>
                <w:szCs w:val="21"/>
                <w:highlight w:val="none"/>
                <w:lang w:val="en-US" w:eastAsia="zh-CN" w:bidi="ar-SA"/>
              </w:rPr>
            </w:pPr>
          </w:p>
        </w:tc>
        <w:tc>
          <w:tcPr>
            <w:tcW w:w="2639" w:type="pct"/>
            <w:vMerge w:val="continue"/>
            <w:tcBorders>
              <w:left w:val="single" w:color="000000" w:sz="4" w:space="0"/>
              <w:right w:val="single" w:color="000000" w:sz="4" w:space="0"/>
            </w:tcBorders>
            <w:noWrap/>
            <w:vAlign w:val="center"/>
          </w:tcPr>
          <w:p w14:paraId="22957DEB">
            <w:pPr>
              <w:keepNext w:val="0"/>
              <w:keepLines w:val="0"/>
              <w:pageBreakBefore w:val="0"/>
              <w:kinsoku/>
              <w:wordWrap/>
              <w:overflowPunct/>
              <w:topLinePunct w:val="0"/>
              <w:autoSpaceDE/>
              <w:autoSpaceDN/>
              <w:bidi w:val="0"/>
              <w:adjustRightInd/>
              <w:snapToGrid w:val="0"/>
              <w:spacing w:line="440" w:lineRule="exact"/>
              <w:jc w:val="center"/>
              <w:rPr>
                <w:rFonts w:hint="eastAsia" w:ascii="宋体" w:hAnsi="宋体" w:eastAsia="宋体" w:cs="宋体"/>
                <w:color w:val="auto"/>
                <w:kern w:val="2"/>
                <w:sz w:val="21"/>
                <w:szCs w:val="21"/>
                <w:highlight w:val="none"/>
                <w:lang w:val="en-US" w:eastAsia="zh-CN" w:bidi="ar-SA"/>
              </w:rPr>
            </w:pPr>
          </w:p>
        </w:tc>
        <w:tc>
          <w:tcPr>
            <w:tcW w:w="1196" w:type="pct"/>
            <w:tcBorders>
              <w:top w:val="single" w:color="000000" w:sz="4" w:space="0"/>
              <w:left w:val="single" w:color="000000" w:sz="4" w:space="0"/>
              <w:bottom w:val="single" w:color="000000" w:sz="4" w:space="0"/>
              <w:right w:val="single" w:color="000000" w:sz="4" w:space="0"/>
            </w:tcBorders>
            <w:noWrap/>
            <w:vAlign w:val="center"/>
          </w:tcPr>
          <w:p w14:paraId="3FEB64CA">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77</w:t>
            </w:r>
          </w:p>
        </w:tc>
        <w:tc>
          <w:tcPr>
            <w:tcW w:w="788" w:type="pct"/>
            <w:tcBorders>
              <w:top w:val="single" w:color="000000" w:sz="4" w:space="0"/>
              <w:left w:val="single" w:color="000000" w:sz="4" w:space="0"/>
              <w:bottom w:val="single" w:color="000000" w:sz="4" w:space="0"/>
              <w:right w:val="single" w:color="000000" w:sz="4" w:space="0"/>
            </w:tcBorders>
            <w:noWrap/>
            <w:vAlign w:val="center"/>
          </w:tcPr>
          <w:p w14:paraId="24510989">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88.4%</w:t>
            </w:r>
          </w:p>
        </w:tc>
      </w:tr>
      <w:tr w14:paraId="2A9EE2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375" w:type="pct"/>
            <w:vMerge w:val="continue"/>
            <w:tcBorders>
              <w:left w:val="single" w:color="000000" w:sz="4" w:space="0"/>
              <w:right w:val="single" w:color="000000" w:sz="4" w:space="0"/>
            </w:tcBorders>
            <w:noWrap/>
            <w:vAlign w:val="center"/>
          </w:tcPr>
          <w:p w14:paraId="191BEFE1">
            <w:pPr>
              <w:keepNext w:val="0"/>
              <w:keepLines w:val="0"/>
              <w:pageBreakBefore w:val="0"/>
              <w:kinsoku/>
              <w:wordWrap/>
              <w:overflowPunct/>
              <w:topLinePunct w:val="0"/>
              <w:autoSpaceDE/>
              <w:autoSpaceDN/>
              <w:bidi w:val="0"/>
              <w:adjustRightInd/>
              <w:snapToGrid w:val="0"/>
              <w:spacing w:line="440" w:lineRule="exact"/>
              <w:jc w:val="center"/>
              <w:rPr>
                <w:rFonts w:hint="eastAsia" w:ascii="宋体" w:hAnsi="宋体" w:eastAsia="宋体" w:cs="宋体"/>
                <w:color w:val="auto"/>
                <w:kern w:val="2"/>
                <w:sz w:val="21"/>
                <w:szCs w:val="21"/>
                <w:highlight w:val="none"/>
                <w:lang w:val="en-US" w:eastAsia="zh-CN" w:bidi="ar-SA"/>
              </w:rPr>
            </w:pPr>
          </w:p>
        </w:tc>
        <w:tc>
          <w:tcPr>
            <w:tcW w:w="2639" w:type="pct"/>
            <w:vMerge w:val="continue"/>
            <w:tcBorders>
              <w:left w:val="single" w:color="000000" w:sz="4" w:space="0"/>
              <w:right w:val="single" w:color="000000" w:sz="4" w:space="0"/>
            </w:tcBorders>
            <w:noWrap/>
            <w:vAlign w:val="center"/>
          </w:tcPr>
          <w:p w14:paraId="4A8CFBFD">
            <w:pPr>
              <w:keepNext w:val="0"/>
              <w:keepLines w:val="0"/>
              <w:pageBreakBefore w:val="0"/>
              <w:kinsoku/>
              <w:wordWrap/>
              <w:overflowPunct/>
              <w:topLinePunct w:val="0"/>
              <w:autoSpaceDE/>
              <w:autoSpaceDN/>
              <w:bidi w:val="0"/>
              <w:adjustRightInd/>
              <w:snapToGrid w:val="0"/>
              <w:spacing w:line="440" w:lineRule="exact"/>
              <w:jc w:val="center"/>
              <w:rPr>
                <w:rFonts w:hint="eastAsia" w:ascii="宋体" w:hAnsi="宋体" w:eastAsia="宋体" w:cs="宋体"/>
                <w:color w:val="auto"/>
                <w:kern w:val="2"/>
                <w:sz w:val="21"/>
                <w:szCs w:val="21"/>
                <w:highlight w:val="none"/>
                <w:lang w:val="en-US" w:eastAsia="zh-CN" w:bidi="ar-SA"/>
              </w:rPr>
            </w:pPr>
          </w:p>
        </w:tc>
        <w:tc>
          <w:tcPr>
            <w:tcW w:w="1196" w:type="pct"/>
            <w:tcBorders>
              <w:top w:val="single" w:color="000000" w:sz="4" w:space="0"/>
              <w:left w:val="single" w:color="000000" w:sz="4" w:space="0"/>
              <w:bottom w:val="single" w:color="000000" w:sz="4" w:space="0"/>
              <w:right w:val="single" w:color="000000" w:sz="4" w:space="0"/>
            </w:tcBorders>
            <w:noWrap/>
            <w:vAlign w:val="center"/>
          </w:tcPr>
          <w:p w14:paraId="5B77C3CB">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76</w:t>
            </w:r>
          </w:p>
        </w:tc>
        <w:tc>
          <w:tcPr>
            <w:tcW w:w="788" w:type="pct"/>
            <w:tcBorders>
              <w:top w:val="single" w:color="000000" w:sz="4" w:space="0"/>
              <w:left w:val="single" w:color="000000" w:sz="4" w:space="0"/>
              <w:bottom w:val="single" w:color="000000" w:sz="4" w:space="0"/>
              <w:right w:val="single" w:color="000000" w:sz="4" w:space="0"/>
            </w:tcBorders>
            <w:noWrap/>
            <w:vAlign w:val="center"/>
          </w:tcPr>
          <w:p w14:paraId="644924C8">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87.2%</w:t>
            </w:r>
          </w:p>
        </w:tc>
      </w:tr>
      <w:tr w14:paraId="2546D9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375" w:type="pct"/>
            <w:vMerge w:val="continue"/>
            <w:tcBorders>
              <w:left w:val="single" w:color="000000" w:sz="4" w:space="0"/>
              <w:right w:val="single" w:color="000000" w:sz="4" w:space="0"/>
            </w:tcBorders>
            <w:noWrap/>
            <w:vAlign w:val="center"/>
          </w:tcPr>
          <w:p w14:paraId="0E74616A">
            <w:pPr>
              <w:keepNext w:val="0"/>
              <w:keepLines w:val="0"/>
              <w:pageBreakBefore w:val="0"/>
              <w:kinsoku/>
              <w:wordWrap/>
              <w:overflowPunct/>
              <w:topLinePunct w:val="0"/>
              <w:autoSpaceDE/>
              <w:autoSpaceDN/>
              <w:bidi w:val="0"/>
              <w:adjustRightInd/>
              <w:snapToGrid w:val="0"/>
              <w:spacing w:line="440" w:lineRule="exact"/>
              <w:jc w:val="center"/>
              <w:rPr>
                <w:rFonts w:hint="eastAsia" w:ascii="宋体" w:hAnsi="宋体" w:eastAsia="宋体" w:cs="宋体"/>
                <w:color w:val="auto"/>
                <w:kern w:val="2"/>
                <w:sz w:val="21"/>
                <w:szCs w:val="21"/>
                <w:highlight w:val="none"/>
                <w:lang w:val="en-US" w:eastAsia="zh-CN" w:bidi="ar-SA"/>
              </w:rPr>
            </w:pPr>
          </w:p>
        </w:tc>
        <w:tc>
          <w:tcPr>
            <w:tcW w:w="2639" w:type="pct"/>
            <w:vMerge w:val="continue"/>
            <w:tcBorders>
              <w:left w:val="single" w:color="000000" w:sz="4" w:space="0"/>
              <w:right w:val="single" w:color="000000" w:sz="4" w:space="0"/>
            </w:tcBorders>
            <w:noWrap/>
            <w:vAlign w:val="center"/>
          </w:tcPr>
          <w:p w14:paraId="5054062B">
            <w:pPr>
              <w:keepNext w:val="0"/>
              <w:keepLines w:val="0"/>
              <w:pageBreakBefore w:val="0"/>
              <w:kinsoku/>
              <w:wordWrap/>
              <w:overflowPunct/>
              <w:topLinePunct w:val="0"/>
              <w:autoSpaceDE/>
              <w:autoSpaceDN/>
              <w:bidi w:val="0"/>
              <w:adjustRightInd/>
              <w:snapToGrid w:val="0"/>
              <w:spacing w:line="440" w:lineRule="exact"/>
              <w:jc w:val="center"/>
              <w:rPr>
                <w:rFonts w:hint="eastAsia" w:ascii="宋体" w:hAnsi="宋体" w:eastAsia="宋体" w:cs="宋体"/>
                <w:color w:val="auto"/>
                <w:kern w:val="2"/>
                <w:sz w:val="21"/>
                <w:szCs w:val="21"/>
                <w:highlight w:val="none"/>
                <w:lang w:val="en-US" w:eastAsia="zh-CN" w:bidi="ar-SA"/>
              </w:rPr>
            </w:pPr>
          </w:p>
        </w:tc>
        <w:tc>
          <w:tcPr>
            <w:tcW w:w="1196" w:type="pct"/>
            <w:tcBorders>
              <w:top w:val="single" w:color="000000" w:sz="4" w:space="0"/>
              <w:left w:val="single" w:color="000000" w:sz="4" w:space="0"/>
              <w:bottom w:val="single" w:color="000000" w:sz="4" w:space="0"/>
              <w:right w:val="single" w:color="000000" w:sz="4" w:space="0"/>
            </w:tcBorders>
            <w:noWrap/>
            <w:vAlign w:val="center"/>
          </w:tcPr>
          <w:p w14:paraId="2DF92438">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75</w:t>
            </w:r>
          </w:p>
        </w:tc>
        <w:tc>
          <w:tcPr>
            <w:tcW w:w="788" w:type="pct"/>
            <w:tcBorders>
              <w:top w:val="single" w:color="000000" w:sz="4" w:space="0"/>
              <w:left w:val="single" w:color="000000" w:sz="4" w:space="0"/>
              <w:bottom w:val="single" w:color="000000" w:sz="4" w:space="0"/>
              <w:right w:val="single" w:color="000000" w:sz="4" w:space="0"/>
            </w:tcBorders>
            <w:noWrap/>
            <w:vAlign w:val="center"/>
          </w:tcPr>
          <w:p w14:paraId="68964F07">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86%</w:t>
            </w:r>
          </w:p>
        </w:tc>
      </w:tr>
      <w:tr w14:paraId="1A94CB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375" w:type="pct"/>
            <w:vMerge w:val="continue"/>
            <w:tcBorders>
              <w:left w:val="single" w:color="000000" w:sz="4" w:space="0"/>
              <w:right w:val="single" w:color="000000" w:sz="4" w:space="0"/>
            </w:tcBorders>
            <w:noWrap/>
            <w:vAlign w:val="center"/>
          </w:tcPr>
          <w:p w14:paraId="56B3ED52">
            <w:pPr>
              <w:keepNext w:val="0"/>
              <w:keepLines w:val="0"/>
              <w:pageBreakBefore w:val="0"/>
              <w:kinsoku/>
              <w:wordWrap/>
              <w:overflowPunct/>
              <w:topLinePunct w:val="0"/>
              <w:autoSpaceDE/>
              <w:autoSpaceDN/>
              <w:bidi w:val="0"/>
              <w:adjustRightInd/>
              <w:snapToGrid w:val="0"/>
              <w:spacing w:line="440" w:lineRule="exact"/>
              <w:jc w:val="center"/>
              <w:rPr>
                <w:rFonts w:hint="eastAsia" w:ascii="宋体" w:hAnsi="宋体" w:eastAsia="宋体" w:cs="宋体"/>
                <w:color w:val="auto"/>
                <w:kern w:val="2"/>
                <w:sz w:val="21"/>
                <w:szCs w:val="21"/>
                <w:highlight w:val="none"/>
                <w:lang w:val="en-US" w:eastAsia="zh-CN" w:bidi="ar-SA"/>
              </w:rPr>
            </w:pPr>
          </w:p>
        </w:tc>
        <w:tc>
          <w:tcPr>
            <w:tcW w:w="2639" w:type="pct"/>
            <w:vMerge w:val="continue"/>
            <w:tcBorders>
              <w:left w:val="single" w:color="000000" w:sz="4" w:space="0"/>
              <w:right w:val="single" w:color="000000" w:sz="4" w:space="0"/>
            </w:tcBorders>
            <w:noWrap/>
            <w:vAlign w:val="center"/>
          </w:tcPr>
          <w:p w14:paraId="349B2322">
            <w:pPr>
              <w:keepNext w:val="0"/>
              <w:keepLines w:val="0"/>
              <w:pageBreakBefore w:val="0"/>
              <w:kinsoku/>
              <w:wordWrap/>
              <w:overflowPunct/>
              <w:topLinePunct w:val="0"/>
              <w:autoSpaceDE/>
              <w:autoSpaceDN/>
              <w:bidi w:val="0"/>
              <w:adjustRightInd/>
              <w:snapToGrid w:val="0"/>
              <w:spacing w:line="440" w:lineRule="exact"/>
              <w:jc w:val="center"/>
              <w:rPr>
                <w:rFonts w:hint="eastAsia" w:ascii="宋体" w:hAnsi="宋体" w:eastAsia="宋体" w:cs="宋体"/>
                <w:color w:val="auto"/>
                <w:kern w:val="2"/>
                <w:sz w:val="21"/>
                <w:szCs w:val="21"/>
                <w:highlight w:val="none"/>
                <w:lang w:val="en-US" w:eastAsia="zh-CN" w:bidi="ar-SA"/>
              </w:rPr>
            </w:pPr>
          </w:p>
        </w:tc>
        <w:tc>
          <w:tcPr>
            <w:tcW w:w="1196" w:type="pct"/>
            <w:tcBorders>
              <w:top w:val="single" w:color="000000" w:sz="4" w:space="0"/>
              <w:left w:val="single" w:color="000000" w:sz="4" w:space="0"/>
              <w:bottom w:val="single" w:color="000000" w:sz="4" w:space="0"/>
              <w:right w:val="single" w:color="000000" w:sz="4" w:space="0"/>
            </w:tcBorders>
            <w:noWrap/>
            <w:vAlign w:val="center"/>
          </w:tcPr>
          <w:p w14:paraId="76C811C8">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74</w:t>
            </w:r>
          </w:p>
        </w:tc>
        <w:tc>
          <w:tcPr>
            <w:tcW w:w="788" w:type="pct"/>
            <w:tcBorders>
              <w:top w:val="single" w:color="000000" w:sz="4" w:space="0"/>
              <w:left w:val="single" w:color="000000" w:sz="4" w:space="0"/>
              <w:bottom w:val="single" w:color="000000" w:sz="4" w:space="0"/>
              <w:right w:val="single" w:color="000000" w:sz="4" w:space="0"/>
            </w:tcBorders>
            <w:noWrap/>
            <w:vAlign w:val="center"/>
          </w:tcPr>
          <w:p w14:paraId="18812ADA">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84.8%</w:t>
            </w:r>
          </w:p>
        </w:tc>
      </w:tr>
      <w:tr w14:paraId="70852E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375" w:type="pct"/>
            <w:vMerge w:val="continue"/>
            <w:tcBorders>
              <w:left w:val="single" w:color="000000" w:sz="4" w:space="0"/>
              <w:right w:val="single" w:color="000000" w:sz="4" w:space="0"/>
            </w:tcBorders>
            <w:noWrap/>
            <w:vAlign w:val="center"/>
          </w:tcPr>
          <w:p w14:paraId="78F2F48C">
            <w:pPr>
              <w:keepNext w:val="0"/>
              <w:keepLines w:val="0"/>
              <w:pageBreakBefore w:val="0"/>
              <w:kinsoku/>
              <w:wordWrap/>
              <w:overflowPunct/>
              <w:topLinePunct w:val="0"/>
              <w:autoSpaceDE/>
              <w:autoSpaceDN/>
              <w:bidi w:val="0"/>
              <w:adjustRightInd/>
              <w:snapToGrid w:val="0"/>
              <w:spacing w:line="440" w:lineRule="exact"/>
              <w:jc w:val="center"/>
              <w:rPr>
                <w:rFonts w:hint="eastAsia" w:ascii="宋体" w:hAnsi="宋体" w:eastAsia="宋体" w:cs="宋体"/>
                <w:color w:val="auto"/>
                <w:kern w:val="2"/>
                <w:sz w:val="21"/>
                <w:szCs w:val="21"/>
                <w:highlight w:val="none"/>
                <w:lang w:val="en-US" w:eastAsia="zh-CN" w:bidi="ar-SA"/>
              </w:rPr>
            </w:pPr>
          </w:p>
        </w:tc>
        <w:tc>
          <w:tcPr>
            <w:tcW w:w="2639" w:type="pct"/>
            <w:vMerge w:val="continue"/>
            <w:tcBorders>
              <w:left w:val="single" w:color="000000" w:sz="4" w:space="0"/>
              <w:right w:val="single" w:color="000000" w:sz="4" w:space="0"/>
            </w:tcBorders>
            <w:noWrap/>
            <w:vAlign w:val="center"/>
          </w:tcPr>
          <w:p w14:paraId="7A15A744">
            <w:pPr>
              <w:keepNext w:val="0"/>
              <w:keepLines w:val="0"/>
              <w:pageBreakBefore w:val="0"/>
              <w:kinsoku/>
              <w:wordWrap/>
              <w:overflowPunct/>
              <w:topLinePunct w:val="0"/>
              <w:autoSpaceDE/>
              <w:autoSpaceDN/>
              <w:bidi w:val="0"/>
              <w:adjustRightInd/>
              <w:snapToGrid w:val="0"/>
              <w:spacing w:line="440" w:lineRule="exact"/>
              <w:jc w:val="center"/>
              <w:rPr>
                <w:rFonts w:hint="eastAsia" w:ascii="宋体" w:hAnsi="宋体" w:eastAsia="宋体" w:cs="宋体"/>
                <w:color w:val="auto"/>
                <w:kern w:val="2"/>
                <w:sz w:val="21"/>
                <w:szCs w:val="21"/>
                <w:highlight w:val="none"/>
                <w:lang w:val="en-US" w:eastAsia="zh-CN" w:bidi="ar-SA"/>
              </w:rPr>
            </w:pPr>
          </w:p>
        </w:tc>
        <w:tc>
          <w:tcPr>
            <w:tcW w:w="1196" w:type="pct"/>
            <w:tcBorders>
              <w:top w:val="single" w:color="000000" w:sz="4" w:space="0"/>
              <w:left w:val="single" w:color="000000" w:sz="4" w:space="0"/>
              <w:bottom w:val="single" w:color="000000" w:sz="4" w:space="0"/>
              <w:right w:val="single" w:color="000000" w:sz="4" w:space="0"/>
            </w:tcBorders>
            <w:noWrap/>
            <w:vAlign w:val="center"/>
          </w:tcPr>
          <w:p w14:paraId="52F0C151">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73</w:t>
            </w:r>
          </w:p>
        </w:tc>
        <w:tc>
          <w:tcPr>
            <w:tcW w:w="788" w:type="pct"/>
            <w:tcBorders>
              <w:top w:val="single" w:color="000000" w:sz="4" w:space="0"/>
              <w:left w:val="single" w:color="000000" w:sz="4" w:space="0"/>
              <w:bottom w:val="single" w:color="000000" w:sz="4" w:space="0"/>
              <w:right w:val="single" w:color="000000" w:sz="4" w:space="0"/>
            </w:tcBorders>
            <w:noWrap/>
            <w:vAlign w:val="center"/>
          </w:tcPr>
          <w:p w14:paraId="1C56D905">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83.6%</w:t>
            </w:r>
          </w:p>
        </w:tc>
      </w:tr>
      <w:tr w14:paraId="1D1BFC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375" w:type="pct"/>
            <w:vMerge w:val="continue"/>
            <w:tcBorders>
              <w:left w:val="single" w:color="000000" w:sz="4" w:space="0"/>
              <w:right w:val="single" w:color="000000" w:sz="4" w:space="0"/>
            </w:tcBorders>
            <w:noWrap/>
            <w:vAlign w:val="center"/>
          </w:tcPr>
          <w:p w14:paraId="46EFEC9A">
            <w:pPr>
              <w:keepNext w:val="0"/>
              <w:keepLines w:val="0"/>
              <w:pageBreakBefore w:val="0"/>
              <w:kinsoku/>
              <w:wordWrap/>
              <w:overflowPunct/>
              <w:topLinePunct w:val="0"/>
              <w:autoSpaceDE/>
              <w:autoSpaceDN/>
              <w:bidi w:val="0"/>
              <w:adjustRightInd/>
              <w:snapToGrid w:val="0"/>
              <w:spacing w:line="440" w:lineRule="exact"/>
              <w:jc w:val="center"/>
              <w:rPr>
                <w:rFonts w:hint="eastAsia" w:ascii="宋体" w:hAnsi="宋体" w:eastAsia="宋体" w:cs="宋体"/>
                <w:color w:val="auto"/>
                <w:kern w:val="2"/>
                <w:sz w:val="21"/>
                <w:szCs w:val="21"/>
                <w:highlight w:val="none"/>
                <w:lang w:val="en-US" w:eastAsia="zh-CN" w:bidi="ar-SA"/>
              </w:rPr>
            </w:pPr>
          </w:p>
        </w:tc>
        <w:tc>
          <w:tcPr>
            <w:tcW w:w="2639" w:type="pct"/>
            <w:vMerge w:val="continue"/>
            <w:tcBorders>
              <w:left w:val="single" w:color="000000" w:sz="4" w:space="0"/>
              <w:right w:val="single" w:color="000000" w:sz="4" w:space="0"/>
            </w:tcBorders>
            <w:noWrap/>
            <w:vAlign w:val="center"/>
          </w:tcPr>
          <w:p w14:paraId="2AF676B8">
            <w:pPr>
              <w:keepNext w:val="0"/>
              <w:keepLines w:val="0"/>
              <w:pageBreakBefore w:val="0"/>
              <w:kinsoku/>
              <w:wordWrap/>
              <w:overflowPunct/>
              <w:topLinePunct w:val="0"/>
              <w:autoSpaceDE/>
              <w:autoSpaceDN/>
              <w:bidi w:val="0"/>
              <w:adjustRightInd/>
              <w:snapToGrid w:val="0"/>
              <w:spacing w:line="440" w:lineRule="exact"/>
              <w:jc w:val="center"/>
              <w:rPr>
                <w:rFonts w:hint="eastAsia" w:ascii="宋体" w:hAnsi="宋体" w:eastAsia="宋体" w:cs="宋体"/>
                <w:color w:val="auto"/>
                <w:kern w:val="2"/>
                <w:sz w:val="21"/>
                <w:szCs w:val="21"/>
                <w:highlight w:val="none"/>
                <w:lang w:val="en-US" w:eastAsia="zh-CN" w:bidi="ar-SA"/>
              </w:rPr>
            </w:pPr>
          </w:p>
        </w:tc>
        <w:tc>
          <w:tcPr>
            <w:tcW w:w="1196" w:type="pct"/>
            <w:tcBorders>
              <w:top w:val="single" w:color="000000" w:sz="4" w:space="0"/>
              <w:left w:val="single" w:color="000000" w:sz="4" w:space="0"/>
              <w:bottom w:val="single" w:color="000000" w:sz="4" w:space="0"/>
              <w:right w:val="single" w:color="000000" w:sz="4" w:space="0"/>
            </w:tcBorders>
            <w:noWrap/>
            <w:vAlign w:val="center"/>
          </w:tcPr>
          <w:p w14:paraId="1AC21175">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72</w:t>
            </w:r>
          </w:p>
        </w:tc>
        <w:tc>
          <w:tcPr>
            <w:tcW w:w="788" w:type="pct"/>
            <w:tcBorders>
              <w:top w:val="single" w:color="000000" w:sz="4" w:space="0"/>
              <w:left w:val="single" w:color="000000" w:sz="4" w:space="0"/>
              <w:bottom w:val="single" w:color="000000" w:sz="4" w:space="0"/>
              <w:right w:val="single" w:color="000000" w:sz="4" w:space="0"/>
            </w:tcBorders>
            <w:noWrap/>
            <w:vAlign w:val="center"/>
          </w:tcPr>
          <w:p w14:paraId="2FD0269D">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82.4%</w:t>
            </w:r>
          </w:p>
        </w:tc>
      </w:tr>
      <w:tr w14:paraId="10B040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375" w:type="pct"/>
            <w:vMerge w:val="continue"/>
            <w:tcBorders>
              <w:left w:val="single" w:color="000000" w:sz="4" w:space="0"/>
              <w:right w:val="single" w:color="000000" w:sz="4" w:space="0"/>
            </w:tcBorders>
            <w:noWrap/>
            <w:vAlign w:val="center"/>
          </w:tcPr>
          <w:p w14:paraId="775CDF2A">
            <w:pPr>
              <w:keepNext w:val="0"/>
              <w:keepLines w:val="0"/>
              <w:pageBreakBefore w:val="0"/>
              <w:kinsoku/>
              <w:wordWrap/>
              <w:overflowPunct/>
              <w:topLinePunct w:val="0"/>
              <w:autoSpaceDE/>
              <w:autoSpaceDN/>
              <w:bidi w:val="0"/>
              <w:adjustRightInd/>
              <w:snapToGrid w:val="0"/>
              <w:spacing w:line="440" w:lineRule="exact"/>
              <w:jc w:val="center"/>
              <w:rPr>
                <w:rFonts w:hint="eastAsia" w:ascii="宋体" w:hAnsi="宋体" w:eastAsia="宋体" w:cs="宋体"/>
                <w:color w:val="auto"/>
                <w:kern w:val="2"/>
                <w:sz w:val="21"/>
                <w:szCs w:val="21"/>
                <w:highlight w:val="none"/>
                <w:lang w:val="en-US" w:eastAsia="zh-CN" w:bidi="ar-SA"/>
              </w:rPr>
            </w:pPr>
          </w:p>
        </w:tc>
        <w:tc>
          <w:tcPr>
            <w:tcW w:w="2639" w:type="pct"/>
            <w:vMerge w:val="continue"/>
            <w:tcBorders>
              <w:left w:val="single" w:color="000000" w:sz="4" w:space="0"/>
              <w:right w:val="single" w:color="000000" w:sz="4" w:space="0"/>
            </w:tcBorders>
            <w:noWrap/>
            <w:vAlign w:val="center"/>
          </w:tcPr>
          <w:p w14:paraId="7591F2BA">
            <w:pPr>
              <w:keepNext w:val="0"/>
              <w:keepLines w:val="0"/>
              <w:pageBreakBefore w:val="0"/>
              <w:kinsoku/>
              <w:wordWrap/>
              <w:overflowPunct/>
              <w:topLinePunct w:val="0"/>
              <w:autoSpaceDE/>
              <w:autoSpaceDN/>
              <w:bidi w:val="0"/>
              <w:adjustRightInd/>
              <w:snapToGrid w:val="0"/>
              <w:spacing w:line="440" w:lineRule="exact"/>
              <w:jc w:val="center"/>
              <w:rPr>
                <w:rFonts w:hint="eastAsia" w:ascii="宋体" w:hAnsi="宋体" w:eastAsia="宋体" w:cs="宋体"/>
                <w:color w:val="auto"/>
                <w:kern w:val="2"/>
                <w:sz w:val="21"/>
                <w:szCs w:val="21"/>
                <w:highlight w:val="none"/>
                <w:lang w:val="en-US" w:eastAsia="zh-CN" w:bidi="ar-SA"/>
              </w:rPr>
            </w:pPr>
          </w:p>
        </w:tc>
        <w:tc>
          <w:tcPr>
            <w:tcW w:w="1196" w:type="pct"/>
            <w:tcBorders>
              <w:top w:val="single" w:color="000000" w:sz="4" w:space="0"/>
              <w:left w:val="single" w:color="000000" w:sz="4" w:space="0"/>
              <w:bottom w:val="single" w:color="000000" w:sz="4" w:space="0"/>
              <w:right w:val="single" w:color="000000" w:sz="4" w:space="0"/>
            </w:tcBorders>
            <w:noWrap/>
            <w:vAlign w:val="center"/>
          </w:tcPr>
          <w:p w14:paraId="26B1CEBA">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71</w:t>
            </w:r>
          </w:p>
        </w:tc>
        <w:tc>
          <w:tcPr>
            <w:tcW w:w="788" w:type="pct"/>
            <w:tcBorders>
              <w:top w:val="single" w:color="000000" w:sz="4" w:space="0"/>
              <w:left w:val="single" w:color="000000" w:sz="4" w:space="0"/>
              <w:bottom w:val="single" w:color="000000" w:sz="4" w:space="0"/>
              <w:right w:val="single" w:color="000000" w:sz="4" w:space="0"/>
            </w:tcBorders>
            <w:noWrap/>
            <w:vAlign w:val="center"/>
          </w:tcPr>
          <w:p w14:paraId="7266CD36">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81.2%</w:t>
            </w:r>
          </w:p>
        </w:tc>
      </w:tr>
      <w:tr w14:paraId="37A20B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375" w:type="pct"/>
            <w:vMerge w:val="continue"/>
            <w:tcBorders>
              <w:left w:val="single" w:color="000000" w:sz="4" w:space="0"/>
              <w:right w:val="single" w:color="000000" w:sz="4" w:space="0"/>
            </w:tcBorders>
            <w:noWrap/>
            <w:vAlign w:val="center"/>
          </w:tcPr>
          <w:p w14:paraId="73DFEA98">
            <w:pPr>
              <w:keepNext w:val="0"/>
              <w:keepLines w:val="0"/>
              <w:pageBreakBefore w:val="0"/>
              <w:kinsoku/>
              <w:wordWrap/>
              <w:overflowPunct/>
              <w:topLinePunct w:val="0"/>
              <w:autoSpaceDE/>
              <w:autoSpaceDN/>
              <w:bidi w:val="0"/>
              <w:adjustRightInd/>
              <w:snapToGrid w:val="0"/>
              <w:spacing w:line="440" w:lineRule="exact"/>
              <w:jc w:val="center"/>
              <w:rPr>
                <w:rFonts w:hint="eastAsia" w:ascii="宋体" w:hAnsi="宋体" w:eastAsia="宋体" w:cs="宋体"/>
                <w:color w:val="auto"/>
                <w:kern w:val="2"/>
                <w:sz w:val="21"/>
                <w:szCs w:val="21"/>
                <w:highlight w:val="none"/>
                <w:lang w:val="en-US" w:eastAsia="zh-CN" w:bidi="ar-SA"/>
              </w:rPr>
            </w:pPr>
          </w:p>
        </w:tc>
        <w:tc>
          <w:tcPr>
            <w:tcW w:w="2639" w:type="pct"/>
            <w:vMerge w:val="continue"/>
            <w:tcBorders>
              <w:left w:val="single" w:color="000000" w:sz="4" w:space="0"/>
              <w:bottom w:val="single" w:color="000000" w:sz="4" w:space="0"/>
              <w:right w:val="single" w:color="000000" w:sz="4" w:space="0"/>
            </w:tcBorders>
            <w:noWrap/>
            <w:vAlign w:val="center"/>
          </w:tcPr>
          <w:p w14:paraId="345CD0FD">
            <w:pPr>
              <w:keepNext w:val="0"/>
              <w:keepLines w:val="0"/>
              <w:pageBreakBefore w:val="0"/>
              <w:kinsoku/>
              <w:wordWrap/>
              <w:overflowPunct/>
              <w:topLinePunct w:val="0"/>
              <w:autoSpaceDE/>
              <w:autoSpaceDN/>
              <w:bidi w:val="0"/>
              <w:adjustRightInd/>
              <w:snapToGrid w:val="0"/>
              <w:spacing w:line="440" w:lineRule="exact"/>
              <w:jc w:val="center"/>
              <w:rPr>
                <w:rFonts w:hint="eastAsia" w:ascii="宋体" w:hAnsi="宋体" w:eastAsia="宋体" w:cs="宋体"/>
                <w:color w:val="auto"/>
                <w:kern w:val="2"/>
                <w:sz w:val="21"/>
                <w:szCs w:val="21"/>
                <w:highlight w:val="none"/>
                <w:lang w:val="en-US" w:eastAsia="zh-CN" w:bidi="ar-SA"/>
              </w:rPr>
            </w:pPr>
          </w:p>
        </w:tc>
        <w:tc>
          <w:tcPr>
            <w:tcW w:w="1196" w:type="pct"/>
            <w:tcBorders>
              <w:top w:val="single" w:color="000000" w:sz="4" w:space="0"/>
              <w:left w:val="single" w:color="000000" w:sz="4" w:space="0"/>
              <w:bottom w:val="single" w:color="000000" w:sz="4" w:space="0"/>
              <w:right w:val="single" w:color="000000" w:sz="4" w:space="0"/>
            </w:tcBorders>
            <w:noWrap/>
            <w:vAlign w:val="center"/>
          </w:tcPr>
          <w:p w14:paraId="6DD6AADF">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70</w:t>
            </w:r>
          </w:p>
        </w:tc>
        <w:tc>
          <w:tcPr>
            <w:tcW w:w="788" w:type="pct"/>
            <w:tcBorders>
              <w:top w:val="single" w:color="000000" w:sz="4" w:space="0"/>
              <w:left w:val="single" w:color="000000" w:sz="4" w:space="0"/>
              <w:bottom w:val="single" w:color="000000" w:sz="4" w:space="0"/>
              <w:right w:val="single" w:color="000000" w:sz="4" w:space="0"/>
            </w:tcBorders>
            <w:noWrap/>
            <w:vAlign w:val="center"/>
          </w:tcPr>
          <w:p w14:paraId="662CF28F">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80%</w:t>
            </w:r>
          </w:p>
        </w:tc>
      </w:tr>
      <w:tr w14:paraId="7B7E2F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375" w:type="pct"/>
            <w:vMerge w:val="continue"/>
            <w:tcBorders>
              <w:left w:val="single" w:color="000000" w:sz="4" w:space="0"/>
              <w:right w:val="single" w:color="000000" w:sz="4" w:space="0"/>
            </w:tcBorders>
            <w:noWrap/>
            <w:vAlign w:val="center"/>
          </w:tcPr>
          <w:p w14:paraId="67F904B4">
            <w:pPr>
              <w:keepNext w:val="0"/>
              <w:keepLines w:val="0"/>
              <w:pageBreakBefore w:val="0"/>
              <w:kinsoku/>
              <w:wordWrap/>
              <w:overflowPunct/>
              <w:topLinePunct w:val="0"/>
              <w:autoSpaceDE/>
              <w:autoSpaceDN/>
              <w:bidi w:val="0"/>
              <w:adjustRightInd/>
              <w:snapToGrid w:val="0"/>
              <w:spacing w:line="440" w:lineRule="exact"/>
              <w:jc w:val="center"/>
              <w:rPr>
                <w:rFonts w:hint="eastAsia" w:ascii="宋体" w:hAnsi="宋体" w:eastAsia="宋体" w:cs="宋体"/>
                <w:color w:val="auto"/>
                <w:kern w:val="2"/>
                <w:sz w:val="21"/>
                <w:szCs w:val="21"/>
                <w:highlight w:val="none"/>
                <w:lang w:val="en-US" w:eastAsia="zh-CN" w:bidi="ar-SA"/>
              </w:rPr>
            </w:pPr>
          </w:p>
        </w:tc>
        <w:tc>
          <w:tcPr>
            <w:tcW w:w="2639" w:type="pct"/>
            <w:vMerge w:val="restart"/>
            <w:tcBorders>
              <w:left w:val="single" w:color="000000" w:sz="4" w:space="0"/>
              <w:right w:val="single" w:color="000000" w:sz="4" w:space="0"/>
            </w:tcBorders>
            <w:noWrap/>
            <w:vAlign w:val="center"/>
          </w:tcPr>
          <w:p w14:paraId="79CAF047">
            <w:pPr>
              <w:keepNext w:val="0"/>
              <w:keepLines w:val="0"/>
              <w:pageBreakBefore w:val="0"/>
              <w:kinsoku/>
              <w:wordWrap/>
              <w:overflowPunct/>
              <w:topLinePunct w:val="0"/>
              <w:autoSpaceDE/>
              <w:autoSpaceDN/>
              <w:bidi w:val="0"/>
              <w:adjustRightInd/>
              <w:snapToGrid w:val="0"/>
              <w:spacing w:line="440" w:lineRule="exact"/>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第四区间：60≥分数＞70，第三区间正常扣除20%，超出第三区间的每扣1分按1.5%累计扣除；</w:t>
            </w:r>
          </w:p>
          <w:p w14:paraId="530FD1D1">
            <w:pPr>
              <w:keepNext w:val="0"/>
              <w:keepLines w:val="0"/>
              <w:pageBreakBefore w:val="0"/>
              <w:kinsoku/>
              <w:wordWrap/>
              <w:overflowPunct/>
              <w:topLinePunct w:val="0"/>
              <w:autoSpaceDE/>
              <w:autoSpaceDN/>
              <w:bidi w:val="0"/>
              <w:adjustRightInd/>
              <w:snapToGrid w:val="0"/>
              <w:spacing w:line="440" w:lineRule="exact"/>
              <w:jc w:val="center"/>
              <w:rPr>
                <w:rFonts w:hint="eastAsia" w:ascii="宋体" w:hAnsi="宋体" w:eastAsia="宋体" w:cs="宋体"/>
                <w:color w:val="auto"/>
                <w:kern w:val="2"/>
                <w:sz w:val="21"/>
                <w:szCs w:val="21"/>
                <w:highlight w:val="none"/>
                <w:lang w:val="en-US" w:eastAsia="zh-CN" w:bidi="ar-SA"/>
              </w:rPr>
            </w:pPr>
          </w:p>
        </w:tc>
        <w:tc>
          <w:tcPr>
            <w:tcW w:w="1196" w:type="pct"/>
            <w:tcBorders>
              <w:top w:val="single" w:color="000000" w:sz="4" w:space="0"/>
              <w:left w:val="single" w:color="000000" w:sz="4" w:space="0"/>
              <w:bottom w:val="single" w:color="000000" w:sz="4" w:space="0"/>
              <w:right w:val="single" w:color="000000" w:sz="4" w:space="0"/>
            </w:tcBorders>
            <w:noWrap/>
            <w:vAlign w:val="center"/>
          </w:tcPr>
          <w:p w14:paraId="68638007">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69</w:t>
            </w:r>
          </w:p>
        </w:tc>
        <w:tc>
          <w:tcPr>
            <w:tcW w:w="788" w:type="pct"/>
            <w:tcBorders>
              <w:top w:val="single" w:color="000000" w:sz="4" w:space="0"/>
              <w:left w:val="single" w:color="000000" w:sz="4" w:space="0"/>
              <w:bottom w:val="single" w:color="000000" w:sz="4" w:space="0"/>
              <w:right w:val="single" w:color="000000" w:sz="4" w:space="0"/>
            </w:tcBorders>
            <w:noWrap/>
            <w:vAlign w:val="center"/>
          </w:tcPr>
          <w:p w14:paraId="627252F5">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78.5%</w:t>
            </w:r>
          </w:p>
        </w:tc>
      </w:tr>
      <w:tr w14:paraId="281A84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375" w:type="pct"/>
            <w:vMerge w:val="continue"/>
            <w:tcBorders>
              <w:left w:val="single" w:color="000000" w:sz="4" w:space="0"/>
              <w:right w:val="single" w:color="000000" w:sz="4" w:space="0"/>
            </w:tcBorders>
            <w:noWrap/>
            <w:vAlign w:val="center"/>
          </w:tcPr>
          <w:p w14:paraId="0C5A4E17">
            <w:pPr>
              <w:keepNext w:val="0"/>
              <w:keepLines w:val="0"/>
              <w:pageBreakBefore w:val="0"/>
              <w:kinsoku/>
              <w:wordWrap/>
              <w:overflowPunct/>
              <w:topLinePunct w:val="0"/>
              <w:autoSpaceDE/>
              <w:autoSpaceDN/>
              <w:bidi w:val="0"/>
              <w:adjustRightInd/>
              <w:snapToGrid w:val="0"/>
              <w:spacing w:line="440" w:lineRule="exact"/>
              <w:jc w:val="center"/>
              <w:rPr>
                <w:rFonts w:hint="eastAsia" w:ascii="宋体" w:hAnsi="宋体" w:eastAsia="宋体" w:cs="宋体"/>
                <w:color w:val="auto"/>
                <w:kern w:val="2"/>
                <w:sz w:val="21"/>
                <w:szCs w:val="21"/>
                <w:highlight w:val="none"/>
                <w:lang w:val="en-US" w:eastAsia="zh-CN" w:bidi="ar-SA"/>
              </w:rPr>
            </w:pPr>
          </w:p>
        </w:tc>
        <w:tc>
          <w:tcPr>
            <w:tcW w:w="2639" w:type="pct"/>
            <w:vMerge w:val="continue"/>
            <w:tcBorders>
              <w:left w:val="single" w:color="000000" w:sz="4" w:space="0"/>
              <w:right w:val="single" w:color="000000" w:sz="4" w:space="0"/>
            </w:tcBorders>
            <w:noWrap/>
            <w:vAlign w:val="center"/>
          </w:tcPr>
          <w:p w14:paraId="5031C448">
            <w:pPr>
              <w:keepNext w:val="0"/>
              <w:keepLines w:val="0"/>
              <w:pageBreakBefore w:val="0"/>
              <w:kinsoku/>
              <w:wordWrap/>
              <w:overflowPunct/>
              <w:topLinePunct w:val="0"/>
              <w:autoSpaceDE/>
              <w:autoSpaceDN/>
              <w:bidi w:val="0"/>
              <w:adjustRightInd/>
              <w:snapToGrid w:val="0"/>
              <w:spacing w:line="440" w:lineRule="exact"/>
              <w:jc w:val="center"/>
              <w:rPr>
                <w:rFonts w:hint="eastAsia" w:ascii="宋体" w:hAnsi="宋体" w:eastAsia="宋体" w:cs="宋体"/>
                <w:color w:val="auto"/>
                <w:kern w:val="2"/>
                <w:sz w:val="21"/>
                <w:szCs w:val="21"/>
                <w:highlight w:val="none"/>
                <w:lang w:val="en-US" w:eastAsia="zh-CN" w:bidi="ar-SA"/>
              </w:rPr>
            </w:pPr>
          </w:p>
        </w:tc>
        <w:tc>
          <w:tcPr>
            <w:tcW w:w="1196" w:type="pct"/>
            <w:tcBorders>
              <w:top w:val="single" w:color="000000" w:sz="4" w:space="0"/>
              <w:left w:val="single" w:color="000000" w:sz="4" w:space="0"/>
              <w:bottom w:val="single" w:color="000000" w:sz="4" w:space="0"/>
              <w:right w:val="single" w:color="000000" w:sz="4" w:space="0"/>
            </w:tcBorders>
            <w:noWrap/>
            <w:vAlign w:val="center"/>
          </w:tcPr>
          <w:p w14:paraId="36046F37">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68</w:t>
            </w:r>
          </w:p>
        </w:tc>
        <w:tc>
          <w:tcPr>
            <w:tcW w:w="788" w:type="pct"/>
            <w:tcBorders>
              <w:top w:val="single" w:color="000000" w:sz="4" w:space="0"/>
              <w:left w:val="single" w:color="000000" w:sz="4" w:space="0"/>
              <w:bottom w:val="single" w:color="000000" w:sz="4" w:space="0"/>
              <w:right w:val="single" w:color="000000" w:sz="4" w:space="0"/>
            </w:tcBorders>
            <w:noWrap/>
            <w:vAlign w:val="center"/>
          </w:tcPr>
          <w:p w14:paraId="1C90BB27">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77%</w:t>
            </w:r>
          </w:p>
        </w:tc>
      </w:tr>
      <w:tr w14:paraId="119D96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375" w:type="pct"/>
            <w:vMerge w:val="continue"/>
            <w:tcBorders>
              <w:left w:val="single" w:color="000000" w:sz="4" w:space="0"/>
              <w:right w:val="single" w:color="000000" w:sz="4" w:space="0"/>
            </w:tcBorders>
            <w:noWrap/>
            <w:vAlign w:val="center"/>
          </w:tcPr>
          <w:p w14:paraId="3615CB11">
            <w:pPr>
              <w:keepNext w:val="0"/>
              <w:keepLines w:val="0"/>
              <w:pageBreakBefore w:val="0"/>
              <w:kinsoku/>
              <w:wordWrap/>
              <w:overflowPunct/>
              <w:topLinePunct w:val="0"/>
              <w:autoSpaceDE/>
              <w:autoSpaceDN/>
              <w:bidi w:val="0"/>
              <w:adjustRightInd/>
              <w:snapToGrid w:val="0"/>
              <w:spacing w:line="440" w:lineRule="exact"/>
              <w:jc w:val="center"/>
              <w:rPr>
                <w:rFonts w:hint="eastAsia" w:ascii="宋体" w:hAnsi="宋体" w:eastAsia="宋体" w:cs="宋体"/>
                <w:color w:val="auto"/>
                <w:kern w:val="2"/>
                <w:sz w:val="21"/>
                <w:szCs w:val="21"/>
                <w:highlight w:val="none"/>
                <w:lang w:val="en-US" w:eastAsia="zh-CN" w:bidi="ar-SA"/>
              </w:rPr>
            </w:pPr>
          </w:p>
        </w:tc>
        <w:tc>
          <w:tcPr>
            <w:tcW w:w="2639" w:type="pct"/>
            <w:vMerge w:val="continue"/>
            <w:tcBorders>
              <w:left w:val="single" w:color="000000" w:sz="4" w:space="0"/>
              <w:right w:val="single" w:color="000000" w:sz="4" w:space="0"/>
            </w:tcBorders>
            <w:noWrap/>
            <w:vAlign w:val="center"/>
          </w:tcPr>
          <w:p w14:paraId="50E5C760">
            <w:pPr>
              <w:keepNext w:val="0"/>
              <w:keepLines w:val="0"/>
              <w:pageBreakBefore w:val="0"/>
              <w:kinsoku/>
              <w:wordWrap/>
              <w:overflowPunct/>
              <w:topLinePunct w:val="0"/>
              <w:autoSpaceDE/>
              <w:autoSpaceDN/>
              <w:bidi w:val="0"/>
              <w:adjustRightInd/>
              <w:snapToGrid w:val="0"/>
              <w:spacing w:line="440" w:lineRule="exact"/>
              <w:jc w:val="center"/>
              <w:rPr>
                <w:rFonts w:hint="eastAsia" w:ascii="宋体" w:hAnsi="宋体" w:eastAsia="宋体" w:cs="宋体"/>
                <w:color w:val="auto"/>
                <w:kern w:val="2"/>
                <w:sz w:val="21"/>
                <w:szCs w:val="21"/>
                <w:highlight w:val="none"/>
                <w:lang w:val="en-US" w:eastAsia="zh-CN" w:bidi="ar-SA"/>
              </w:rPr>
            </w:pPr>
          </w:p>
        </w:tc>
        <w:tc>
          <w:tcPr>
            <w:tcW w:w="1196" w:type="pct"/>
            <w:tcBorders>
              <w:top w:val="single" w:color="000000" w:sz="4" w:space="0"/>
              <w:left w:val="single" w:color="000000" w:sz="4" w:space="0"/>
              <w:bottom w:val="single" w:color="000000" w:sz="4" w:space="0"/>
              <w:right w:val="single" w:color="000000" w:sz="4" w:space="0"/>
            </w:tcBorders>
            <w:noWrap/>
            <w:vAlign w:val="center"/>
          </w:tcPr>
          <w:p w14:paraId="3D385227">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67</w:t>
            </w:r>
          </w:p>
        </w:tc>
        <w:tc>
          <w:tcPr>
            <w:tcW w:w="788" w:type="pct"/>
            <w:tcBorders>
              <w:top w:val="single" w:color="000000" w:sz="4" w:space="0"/>
              <w:left w:val="single" w:color="000000" w:sz="4" w:space="0"/>
              <w:bottom w:val="single" w:color="000000" w:sz="4" w:space="0"/>
              <w:right w:val="single" w:color="000000" w:sz="4" w:space="0"/>
            </w:tcBorders>
            <w:noWrap/>
            <w:vAlign w:val="center"/>
          </w:tcPr>
          <w:p w14:paraId="66C03B7D">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75.5%</w:t>
            </w:r>
          </w:p>
        </w:tc>
      </w:tr>
      <w:tr w14:paraId="516988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375" w:type="pct"/>
            <w:vMerge w:val="continue"/>
            <w:tcBorders>
              <w:left w:val="single" w:color="000000" w:sz="4" w:space="0"/>
              <w:right w:val="single" w:color="000000" w:sz="4" w:space="0"/>
            </w:tcBorders>
            <w:noWrap/>
            <w:vAlign w:val="center"/>
          </w:tcPr>
          <w:p w14:paraId="077EC856">
            <w:pPr>
              <w:keepNext w:val="0"/>
              <w:keepLines w:val="0"/>
              <w:pageBreakBefore w:val="0"/>
              <w:kinsoku/>
              <w:wordWrap/>
              <w:overflowPunct/>
              <w:topLinePunct w:val="0"/>
              <w:autoSpaceDE/>
              <w:autoSpaceDN/>
              <w:bidi w:val="0"/>
              <w:adjustRightInd/>
              <w:snapToGrid w:val="0"/>
              <w:spacing w:line="440" w:lineRule="exact"/>
              <w:jc w:val="center"/>
              <w:rPr>
                <w:rFonts w:hint="eastAsia" w:ascii="宋体" w:hAnsi="宋体" w:eastAsia="宋体" w:cs="宋体"/>
                <w:color w:val="auto"/>
                <w:kern w:val="2"/>
                <w:sz w:val="21"/>
                <w:szCs w:val="21"/>
                <w:highlight w:val="none"/>
                <w:lang w:val="en-US" w:eastAsia="zh-CN" w:bidi="ar-SA"/>
              </w:rPr>
            </w:pPr>
          </w:p>
        </w:tc>
        <w:tc>
          <w:tcPr>
            <w:tcW w:w="2639" w:type="pct"/>
            <w:vMerge w:val="continue"/>
            <w:tcBorders>
              <w:left w:val="single" w:color="000000" w:sz="4" w:space="0"/>
              <w:right w:val="single" w:color="000000" w:sz="4" w:space="0"/>
            </w:tcBorders>
            <w:noWrap/>
            <w:vAlign w:val="center"/>
          </w:tcPr>
          <w:p w14:paraId="3339454F">
            <w:pPr>
              <w:keepNext w:val="0"/>
              <w:keepLines w:val="0"/>
              <w:pageBreakBefore w:val="0"/>
              <w:kinsoku/>
              <w:wordWrap/>
              <w:overflowPunct/>
              <w:topLinePunct w:val="0"/>
              <w:autoSpaceDE/>
              <w:autoSpaceDN/>
              <w:bidi w:val="0"/>
              <w:adjustRightInd/>
              <w:snapToGrid w:val="0"/>
              <w:spacing w:line="440" w:lineRule="exact"/>
              <w:jc w:val="center"/>
              <w:rPr>
                <w:rFonts w:hint="eastAsia" w:ascii="宋体" w:hAnsi="宋体" w:eastAsia="宋体" w:cs="宋体"/>
                <w:color w:val="auto"/>
                <w:kern w:val="2"/>
                <w:sz w:val="21"/>
                <w:szCs w:val="21"/>
                <w:highlight w:val="none"/>
                <w:lang w:val="en-US" w:eastAsia="zh-CN" w:bidi="ar-SA"/>
              </w:rPr>
            </w:pPr>
          </w:p>
        </w:tc>
        <w:tc>
          <w:tcPr>
            <w:tcW w:w="1196" w:type="pct"/>
            <w:tcBorders>
              <w:top w:val="single" w:color="000000" w:sz="4" w:space="0"/>
              <w:left w:val="single" w:color="000000" w:sz="4" w:space="0"/>
              <w:bottom w:val="single" w:color="000000" w:sz="4" w:space="0"/>
              <w:right w:val="single" w:color="000000" w:sz="4" w:space="0"/>
            </w:tcBorders>
            <w:noWrap/>
            <w:vAlign w:val="center"/>
          </w:tcPr>
          <w:p w14:paraId="3B76F97E">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66</w:t>
            </w:r>
          </w:p>
        </w:tc>
        <w:tc>
          <w:tcPr>
            <w:tcW w:w="788" w:type="pct"/>
            <w:tcBorders>
              <w:top w:val="single" w:color="000000" w:sz="4" w:space="0"/>
              <w:left w:val="single" w:color="000000" w:sz="4" w:space="0"/>
              <w:bottom w:val="single" w:color="000000" w:sz="4" w:space="0"/>
              <w:right w:val="single" w:color="000000" w:sz="4" w:space="0"/>
            </w:tcBorders>
            <w:noWrap/>
            <w:vAlign w:val="center"/>
          </w:tcPr>
          <w:p w14:paraId="3CAD58D6">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74%</w:t>
            </w:r>
          </w:p>
        </w:tc>
      </w:tr>
      <w:tr w14:paraId="28E8A1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375" w:type="pct"/>
            <w:vMerge w:val="continue"/>
            <w:tcBorders>
              <w:left w:val="single" w:color="000000" w:sz="4" w:space="0"/>
              <w:right w:val="single" w:color="000000" w:sz="4" w:space="0"/>
            </w:tcBorders>
            <w:noWrap/>
            <w:vAlign w:val="center"/>
          </w:tcPr>
          <w:p w14:paraId="197E7D44">
            <w:pPr>
              <w:keepNext w:val="0"/>
              <w:keepLines w:val="0"/>
              <w:pageBreakBefore w:val="0"/>
              <w:kinsoku/>
              <w:wordWrap/>
              <w:overflowPunct/>
              <w:topLinePunct w:val="0"/>
              <w:autoSpaceDE/>
              <w:autoSpaceDN/>
              <w:bidi w:val="0"/>
              <w:adjustRightInd/>
              <w:snapToGrid w:val="0"/>
              <w:spacing w:line="440" w:lineRule="exact"/>
              <w:jc w:val="center"/>
              <w:rPr>
                <w:rFonts w:hint="eastAsia" w:ascii="宋体" w:hAnsi="宋体" w:eastAsia="宋体" w:cs="宋体"/>
                <w:color w:val="auto"/>
                <w:kern w:val="2"/>
                <w:sz w:val="21"/>
                <w:szCs w:val="21"/>
                <w:highlight w:val="none"/>
                <w:lang w:val="en-US" w:eastAsia="zh-CN" w:bidi="ar-SA"/>
              </w:rPr>
            </w:pPr>
          </w:p>
        </w:tc>
        <w:tc>
          <w:tcPr>
            <w:tcW w:w="2639" w:type="pct"/>
            <w:vMerge w:val="continue"/>
            <w:tcBorders>
              <w:left w:val="single" w:color="000000" w:sz="4" w:space="0"/>
              <w:right w:val="single" w:color="000000" w:sz="4" w:space="0"/>
            </w:tcBorders>
            <w:noWrap/>
            <w:vAlign w:val="center"/>
          </w:tcPr>
          <w:p w14:paraId="4D807422">
            <w:pPr>
              <w:keepNext w:val="0"/>
              <w:keepLines w:val="0"/>
              <w:pageBreakBefore w:val="0"/>
              <w:kinsoku/>
              <w:wordWrap/>
              <w:overflowPunct/>
              <w:topLinePunct w:val="0"/>
              <w:autoSpaceDE/>
              <w:autoSpaceDN/>
              <w:bidi w:val="0"/>
              <w:adjustRightInd/>
              <w:snapToGrid w:val="0"/>
              <w:spacing w:line="440" w:lineRule="exact"/>
              <w:jc w:val="center"/>
              <w:rPr>
                <w:rFonts w:hint="eastAsia" w:ascii="宋体" w:hAnsi="宋体" w:eastAsia="宋体" w:cs="宋体"/>
                <w:color w:val="auto"/>
                <w:kern w:val="2"/>
                <w:sz w:val="21"/>
                <w:szCs w:val="21"/>
                <w:highlight w:val="none"/>
                <w:lang w:val="en-US" w:eastAsia="zh-CN" w:bidi="ar-SA"/>
              </w:rPr>
            </w:pPr>
          </w:p>
        </w:tc>
        <w:tc>
          <w:tcPr>
            <w:tcW w:w="1196" w:type="pct"/>
            <w:tcBorders>
              <w:top w:val="single" w:color="000000" w:sz="4" w:space="0"/>
              <w:left w:val="single" w:color="000000" w:sz="4" w:space="0"/>
              <w:bottom w:val="single" w:color="000000" w:sz="4" w:space="0"/>
              <w:right w:val="single" w:color="000000" w:sz="4" w:space="0"/>
            </w:tcBorders>
            <w:noWrap/>
            <w:vAlign w:val="center"/>
          </w:tcPr>
          <w:p w14:paraId="5A00853A">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65</w:t>
            </w:r>
          </w:p>
        </w:tc>
        <w:tc>
          <w:tcPr>
            <w:tcW w:w="788" w:type="pct"/>
            <w:tcBorders>
              <w:top w:val="single" w:color="000000" w:sz="4" w:space="0"/>
              <w:left w:val="single" w:color="000000" w:sz="4" w:space="0"/>
              <w:bottom w:val="single" w:color="000000" w:sz="4" w:space="0"/>
              <w:right w:val="single" w:color="000000" w:sz="4" w:space="0"/>
            </w:tcBorders>
            <w:noWrap/>
            <w:vAlign w:val="center"/>
          </w:tcPr>
          <w:p w14:paraId="695E3DCF">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72.5%</w:t>
            </w:r>
          </w:p>
        </w:tc>
      </w:tr>
      <w:tr w14:paraId="447430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375" w:type="pct"/>
            <w:vMerge w:val="continue"/>
            <w:tcBorders>
              <w:left w:val="single" w:color="000000" w:sz="4" w:space="0"/>
              <w:right w:val="single" w:color="000000" w:sz="4" w:space="0"/>
            </w:tcBorders>
            <w:noWrap/>
            <w:vAlign w:val="center"/>
          </w:tcPr>
          <w:p w14:paraId="2F96B078">
            <w:pPr>
              <w:keepNext w:val="0"/>
              <w:keepLines w:val="0"/>
              <w:pageBreakBefore w:val="0"/>
              <w:kinsoku/>
              <w:wordWrap/>
              <w:overflowPunct/>
              <w:topLinePunct w:val="0"/>
              <w:autoSpaceDE/>
              <w:autoSpaceDN/>
              <w:bidi w:val="0"/>
              <w:adjustRightInd/>
              <w:snapToGrid w:val="0"/>
              <w:spacing w:line="440" w:lineRule="exact"/>
              <w:jc w:val="center"/>
              <w:rPr>
                <w:rFonts w:hint="eastAsia" w:ascii="宋体" w:hAnsi="宋体" w:eastAsia="宋体" w:cs="宋体"/>
                <w:color w:val="auto"/>
                <w:kern w:val="2"/>
                <w:sz w:val="21"/>
                <w:szCs w:val="21"/>
                <w:highlight w:val="none"/>
                <w:lang w:val="en-US" w:eastAsia="zh-CN" w:bidi="ar-SA"/>
              </w:rPr>
            </w:pPr>
          </w:p>
        </w:tc>
        <w:tc>
          <w:tcPr>
            <w:tcW w:w="2639" w:type="pct"/>
            <w:vMerge w:val="continue"/>
            <w:tcBorders>
              <w:left w:val="single" w:color="000000" w:sz="4" w:space="0"/>
              <w:right w:val="single" w:color="000000" w:sz="4" w:space="0"/>
            </w:tcBorders>
            <w:noWrap/>
            <w:vAlign w:val="center"/>
          </w:tcPr>
          <w:p w14:paraId="3EABC5BF">
            <w:pPr>
              <w:keepNext w:val="0"/>
              <w:keepLines w:val="0"/>
              <w:pageBreakBefore w:val="0"/>
              <w:kinsoku/>
              <w:wordWrap/>
              <w:overflowPunct/>
              <w:topLinePunct w:val="0"/>
              <w:autoSpaceDE/>
              <w:autoSpaceDN/>
              <w:bidi w:val="0"/>
              <w:adjustRightInd/>
              <w:snapToGrid w:val="0"/>
              <w:spacing w:line="440" w:lineRule="exact"/>
              <w:jc w:val="center"/>
              <w:rPr>
                <w:rFonts w:hint="eastAsia" w:ascii="宋体" w:hAnsi="宋体" w:eastAsia="宋体" w:cs="宋体"/>
                <w:color w:val="auto"/>
                <w:kern w:val="2"/>
                <w:sz w:val="21"/>
                <w:szCs w:val="21"/>
                <w:highlight w:val="none"/>
                <w:lang w:val="en-US" w:eastAsia="zh-CN" w:bidi="ar-SA"/>
              </w:rPr>
            </w:pPr>
          </w:p>
        </w:tc>
        <w:tc>
          <w:tcPr>
            <w:tcW w:w="1196" w:type="pct"/>
            <w:tcBorders>
              <w:top w:val="single" w:color="000000" w:sz="4" w:space="0"/>
              <w:left w:val="single" w:color="000000" w:sz="4" w:space="0"/>
              <w:bottom w:val="single" w:color="000000" w:sz="4" w:space="0"/>
              <w:right w:val="single" w:color="000000" w:sz="4" w:space="0"/>
            </w:tcBorders>
            <w:noWrap/>
            <w:vAlign w:val="center"/>
          </w:tcPr>
          <w:p w14:paraId="1C9D2B3A">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64</w:t>
            </w:r>
          </w:p>
        </w:tc>
        <w:tc>
          <w:tcPr>
            <w:tcW w:w="788" w:type="pct"/>
            <w:tcBorders>
              <w:top w:val="single" w:color="000000" w:sz="4" w:space="0"/>
              <w:left w:val="single" w:color="000000" w:sz="4" w:space="0"/>
              <w:bottom w:val="single" w:color="000000" w:sz="4" w:space="0"/>
              <w:right w:val="single" w:color="000000" w:sz="4" w:space="0"/>
            </w:tcBorders>
            <w:noWrap/>
            <w:vAlign w:val="center"/>
          </w:tcPr>
          <w:p w14:paraId="4AE31A48">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71%</w:t>
            </w:r>
          </w:p>
        </w:tc>
      </w:tr>
      <w:tr w14:paraId="0830A3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375" w:type="pct"/>
            <w:vMerge w:val="continue"/>
            <w:tcBorders>
              <w:left w:val="single" w:color="000000" w:sz="4" w:space="0"/>
              <w:right w:val="single" w:color="000000" w:sz="4" w:space="0"/>
            </w:tcBorders>
            <w:noWrap/>
            <w:vAlign w:val="center"/>
          </w:tcPr>
          <w:p w14:paraId="34C7C027">
            <w:pPr>
              <w:keepNext w:val="0"/>
              <w:keepLines w:val="0"/>
              <w:pageBreakBefore w:val="0"/>
              <w:kinsoku/>
              <w:wordWrap/>
              <w:overflowPunct/>
              <w:topLinePunct w:val="0"/>
              <w:autoSpaceDE/>
              <w:autoSpaceDN/>
              <w:bidi w:val="0"/>
              <w:adjustRightInd/>
              <w:snapToGrid w:val="0"/>
              <w:spacing w:line="440" w:lineRule="exact"/>
              <w:jc w:val="center"/>
              <w:rPr>
                <w:rFonts w:hint="eastAsia" w:ascii="宋体" w:hAnsi="宋体" w:eastAsia="宋体" w:cs="宋体"/>
                <w:color w:val="auto"/>
                <w:kern w:val="2"/>
                <w:sz w:val="21"/>
                <w:szCs w:val="21"/>
                <w:highlight w:val="none"/>
                <w:lang w:val="en-US" w:eastAsia="zh-CN" w:bidi="ar-SA"/>
              </w:rPr>
            </w:pPr>
          </w:p>
        </w:tc>
        <w:tc>
          <w:tcPr>
            <w:tcW w:w="2639" w:type="pct"/>
            <w:vMerge w:val="continue"/>
            <w:tcBorders>
              <w:left w:val="single" w:color="000000" w:sz="4" w:space="0"/>
              <w:right w:val="single" w:color="000000" w:sz="4" w:space="0"/>
            </w:tcBorders>
            <w:noWrap/>
            <w:vAlign w:val="center"/>
          </w:tcPr>
          <w:p w14:paraId="49457A6F">
            <w:pPr>
              <w:keepNext w:val="0"/>
              <w:keepLines w:val="0"/>
              <w:pageBreakBefore w:val="0"/>
              <w:kinsoku/>
              <w:wordWrap/>
              <w:overflowPunct/>
              <w:topLinePunct w:val="0"/>
              <w:autoSpaceDE/>
              <w:autoSpaceDN/>
              <w:bidi w:val="0"/>
              <w:adjustRightInd/>
              <w:snapToGrid w:val="0"/>
              <w:spacing w:line="440" w:lineRule="exact"/>
              <w:jc w:val="center"/>
              <w:rPr>
                <w:rFonts w:hint="eastAsia" w:ascii="宋体" w:hAnsi="宋体" w:eastAsia="宋体" w:cs="宋体"/>
                <w:color w:val="auto"/>
                <w:kern w:val="2"/>
                <w:sz w:val="21"/>
                <w:szCs w:val="21"/>
                <w:highlight w:val="none"/>
                <w:lang w:val="en-US" w:eastAsia="zh-CN" w:bidi="ar-SA"/>
              </w:rPr>
            </w:pPr>
          </w:p>
        </w:tc>
        <w:tc>
          <w:tcPr>
            <w:tcW w:w="1196" w:type="pct"/>
            <w:tcBorders>
              <w:top w:val="single" w:color="000000" w:sz="4" w:space="0"/>
              <w:left w:val="single" w:color="000000" w:sz="4" w:space="0"/>
              <w:bottom w:val="single" w:color="000000" w:sz="4" w:space="0"/>
              <w:right w:val="single" w:color="000000" w:sz="4" w:space="0"/>
            </w:tcBorders>
            <w:noWrap/>
            <w:vAlign w:val="center"/>
          </w:tcPr>
          <w:p w14:paraId="4458A5AA">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63</w:t>
            </w:r>
          </w:p>
        </w:tc>
        <w:tc>
          <w:tcPr>
            <w:tcW w:w="788" w:type="pct"/>
            <w:tcBorders>
              <w:top w:val="single" w:color="000000" w:sz="4" w:space="0"/>
              <w:left w:val="single" w:color="000000" w:sz="4" w:space="0"/>
              <w:bottom w:val="single" w:color="000000" w:sz="4" w:space="0"/>
              <w:right w:val="single" w:color="000000" w:sz="4" w:space="0"/>
            </w:tcBorders>
            <w:noWrap/>
            <w:vAlign w:val="center"/>
          </w:tcPr>
          <w:p w14:paraId="37B51DE5">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69.5%</w:t>
            </w:r>
          </w:p>
        </w:tc>
      </w:tr>
      <w:tr w14:paraId="230C2F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375" w:type="pct"/>
            <w:vMerge w:val="continue"/>
            <w:tcBorders>
              <w:left w:val="single" w:color="000000" w:sz="4" w:space="0"/>
              <w:right w:val="single" w:color="000000" w:sz="4" w:space="0"/>
            </w:tcBorders>
            <w:noWrap/>
            <w:vAlign w:val="center"/>
          </w:tcPr>
          <w:p w14:paraId="1F5E02F6">
            <w:pPr>
              <w:keepNext w:val="0"/>
              <w:keepLines w:val="0"/>
              <w:pageBreakBefore w:val="0"/>
              <w:kinsoku/>
              <w:wordWrap/>
              <w:overflowPunct/>
              <w:topLinePunct w:val="0"/>
              <w:autoSpaceDE/>
              <w:autoSpaceDN/>
              <w:bidi w:val="0"/>
              <w:adjustRightInd/>
              <w:snapToGrid w:val="0"/>
              <w:spacing w:line="440" w:lineRule="exact"/>
              <w:jc w:val="center"/>
              <w:rPr>
                <w:rFonts w:hint="eastAsia" w:ascii="宋体" w:hAnsi="宋体" w:eastAsia="宋体" w:cs="宋体"/>
                <w:color w:val="auto"/>
                <w:kern w:val="2"/>
                <w:sz w:val="21"/>
                <w:szCs w:val="21"/>
                <w:highlight w:val="none"/>
                <w:lang w:val="en-US" w:eastAsia="zh-CN" w:bidi="ar-SA"/>
              </w:rPr>
            </w:pPr>
          </w:p>
        </w:tc>
        <w:tc>
          <w:tcPr>
            <w:tcW w:w="2639" w:type="pct"/>
            <w:vMerge w:val="continue"/>
            <w:tcBorders>
              <w:left w:val="single" w:color="000000" w:sz="4" w:space="0"/>
              <w:right w:val="single" w:color="000000" w:sz="4" w:space="0"/>
            </w:tcBorders>
            <w:noWrap/>
            <w:vAlign w:val="center"/>
          </w:tcPr>
          <w:p w14:paraId="54E3D2B0">
            <w:pPr>
              <w:keepNext w:val="0"/>
              <w:keepLines w:val="0"/>
              <w:pageBreakBefore w:val="0"/>
              <w:kinsoku/>
              <w:wordWrap/>
              <w:overflowPunct/>
              <w:topLinePunct w:val="0"/>
              <w:autoSpaceDE/>
              <w:autoSpaceDN/>
              <w:bidi w:val="0"/>
              <w:adjustRightInd/>
              <w:snapToGrid w:val="0"/>
              <w:spacing w:line="440" w:lineRule="exact"/>
              <w:jc w:val="center"/>
              <w:rPr>
                <w:rFonts w:hint="eastAsia" w:ascii="宋体" w:hAnsi="宋体" w:eastAsia="宋体" w:cs="宋体"/>
                <w:color w:val="auto"/>
                <w:kern w:val="2"/>
                <w:sz w:val="21"/>
                <w:szCs w:val="21"/>
                <w:highlight w:val="none"/>
                <w:lang w:val="en-US" w:eastAsia="zh-CN" w:bidi="ar-SA"/>
              </w:rPr>
            </w:pPr>
          </w:p>
        </w:tc>
        <w:tc>
          <w:tcPr>
            <w:tcW w:w="1196" w:type="pct"/>
            <w:tcBorders>
              <w:top w:val="single" w:color="000000" w:sz="4" w:space="0"/>
              <w:left w:val="single" w:color="000000" w:sz="4" w:space="0"/>
              <w:bottom w:val="single" w:color="000000" w:sz="4" w:space="0"/>
              <w:right w:val="single" w:color="000000" w:sz="4" w:space="0"/>
            </w:tcBorders>
            <w:noWrap/>
            <w:vAlign w:val="center"/>
          </w:tcPr>
          <w:p w14:paraId="70E0CF42">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62</w:t>
            </w:r>
          </w:p>
        </w:tc>
        <w:tc>
          <w:tcPr>
            <w:tcW w:w="788" w:type="pct"/>
            <w:tcBorders>
              <w:top w:val="single" w:color="000000" w:sz="4" w:space="0"/>
              <w:left w:val="single" w:color="000000" w:sz="4" w:space="0"/>
              <w:bottom w:val="single" w:color="000000" w:sz="4" w:space="0"/>
              <w:right w:val="single" w:color="000000" w:sz="4" w:space="0"/>
            </w:tcBorders>
            <w:noWrap/>
            <w:vAlign w:val="center"/>
          </w:tcPr>
          <w:p w14:paraId="1BDEEC9C">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68%</w:t>
            </w:r>
          </w:p>
        </w:tc>
      </w:tr>
      <w:tr w14:paraId="26C327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375" w:type="pct"/>
            <w:vMerge w:val="continue"/>
            <w:tcBorders>
              <w:left w:val="single" w:color="000000" w:sz="4" w:space="0"/>
              <w:right w:val="single" w:color="000000" w:sz="4" w:space="0"/>
            </w:tcBorders>
            <w:noWrap/>
            <w:vAlign w:val="center"/>
          </w:tcPr>
          <w:p w14:paraId="544046AF">
            <w:pPr>
              <w:keepNext w:val="0"/>
              <w:keepLines w:val="0"/>
              <w:pageBreakBefore w:val="0"/>
              <w:kinsoku/>
              <w:wordWrap/>
              <w:overflowPunct/>
              <w:topLinePunct w:val="0"/>
              <w:autoSpaceDE/>
              <w:autoSpaceDN/>
              <w:bidi w:val="0"/>
              <w:adjustRightInd/>
              <w:snapToGrid w:val="0"/>
              <w:spacing w:line="440" w:lineRule="exact"/>
              <w:jc w:val="center"/>
              <w:rPr>
                <w:rFonts w:hint="eastAsia" w:ascii="宋体" w:hAnsi="宋体" w:eastAsia="宋体" w:cs="宋体"/>
                <w:color w:val="auto"/>
                <w:kern w:val="2"/>
                <w:sz w:val="21"/>
                <w:szCs w:val="21"/>
                <w:highlight w:val="none"/>
                <w:lang w:val="en-US" w:eastAsia="zh-CN" w:bidi="ar-SA"/>
              </w:rPr>
            </w:pPr>
          </w:p>
        </w:tc>
        <w:tc>
          <w:tcPr>
            <w:tcW w:w="2639" w:type="pct"/>
            <w:vMerge w:val="continue"/>
            <w:tcBorders>
              <w:left w:val="single" w:color="000000" w:sz="4" w:space="0"/>
              <w:right w:val="single" w:color="000000" w:sz="4" w:space="0"/>
            </w:tcBorders>
            <w:noWrap/>
            <w:vAlign w:val="center"/>
          </w:tcPr>
          <w:p w14:paraId="3821390C">
            <w:pPr>
              <w:keepNext w:val="0"/>
              <w:keepLines w:val="0"/>
              <w:pageBreakBefore w:val="0"/>
              <w:kinsoku/>
              <w:wordWrap/>
              <w:overflowPunct/>
              <w:topLinePunct w:val="0"/>
              <w:autoSpaceDE/>
              <w:autoSpaceDN/>
              <w:bidi w:val="0"/>
              <w:adjustRightInd/>
              <w:snapToGrid w:val="0"/>
              <w:spacing w:line="440" w:lineRule="exact"/>
              <w:jc w:val="center"/>
              <w:rPr>
                <w:rFonts w:hint="eastAsia" w:ascii="宋体" w:hAnsi="宋体" w:eastAsia="宋体" w:cs="宋体"/>
                <w:color w:val="auto"/>
                <w:kern w:val="2"/>
                <w:sz w:val="21"/>
                <w:szCs w:val="21"/>
                <w:highlight w:val="none"/>
                <w:lang w:val="en-US" w:eastAsia="zh-CN" w:bidi="ar-SA"/>
              </w:rPr>
            </w:pPr>
          </w:p>
        </w:tc>
        <w:tc>
          <w:tcPr>
            <w:tcW w:w="1196" w:type="pct"/>
            <w:tcBorders>
              <w:top w:val="single" w:color="000000" w:sz="4" w:space="0"/>
              <w:left w:val="single" w:color="000000" w:sz="4" w:space="0"/>
              <w:bottom w:val="single" w:color="000000" w:sz="4" w:space="0"/>
              <w:right w:val="single" w:color="000000" w:sz="4" w:space="0"/>
            </w:tcBorders>
            <w:noWrap/>
            <w:vAlign w:val="center"/>
          </w:tcPr>
          <w:p w14:paraId="089B19B8">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61</w:t>
            </w:r>
          </w:p>
        </w:tc>
        <w:tc>
          <w:tcPr>
            <w:tcW w:w="788" w:type="pct"/>
            <w:tcBorders>
              <w:top w:val="single" w:color="000000" w:sz="4" w:space="0"/>
              <w:left w:val="single" w:color="000000" w:sz="4" w:space="0"/>
              <w:bottom w:val="single" w:color="000000" w:sz="4" w:space="0"/>
              <w:right w:val="single" w:color="000000" w:sz="4" w:space="0"/>
            </w:tcBorders>
            <w:noWrap/>
            <w:vAlign w:val="center"/>
          </w:tcPr>
          <w:p w14:paraId="0FAD4B33">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66.5%</w:t>
            </w:r>
          </w:p>
        </w:tc>
      </w:tr>
      <w:tr w14:paraId="4257B8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375" w:type="pct"/>
            <w:vMerge w:val="continue"/>
            <w:tcBorders>
              <w:left w:val="single" w:color="000000" w:sz="4" w:space="0"/>
              <w:bottom w:val="single" w:color="000000" w:sz="4" w:space="0"/>
              <w:right w:val="single" w:color="000000" w:sz="4" w:space="0"/>
            </w:tcBorders>
            <w:noWrap/>
            <w:vAlign w:val="center"/>
          </w:tcPr>
          <w:p w14:paraId="203900A4">
            <w:pPr>
              <w:keepNext w:val="0"/>
              <w:keepLines w:val="0"/>
              <w:pageBreakBefore w:val="0"/>
              <w:kinsoku/>
              <w:wordWrap/>
              <w:overflowPunct/>
              <w:topLinePunct w:val="0"/>
              <w:autoSpaceDE/>
              <w:autoSpaceDN/>
              <w:bidi w:val="0"/>
              <w:adjustRightInd/>
              <w:snapToGrid w:val="0"/>
              <w:spacing w:line="440" w:lineRule="exact"/>
              <w:jc w:val="center"/>
              <w:rPr>
                <w:rFonts w:hint="eastAsia" w:ascii="宋体" w:hAnsi="宋体" w:eastAsia="宋体" w:cs="宋体"/>
                <w:color w:val="auto"/>
                <w:kern w:val="2"/>
                <w:sz w:val="21"/>
                <w:szCs w:val="21"/>
                <w:highlight w:val="none"/>
                <w:lang w:val="en-US" w:eastAsia="zh-CN" w:bidi="ar-SA"/>
              </w:rPr>
            </w:pPr>
          </w:p>
        </w:tc>
        <w:tc>
          <w:tcPr>
            <w:tcW w:w="2639" w:type="pct"/>
            <w:vMerge w:val="continue"/>
            <w:tcBorders>
              <w:left w:val="single" w:color="000000" w:sz="4" w:space="0"/>
              <w:bottom w:val="single" w:color="000000" w:sz="4" w:space="0"/>
              <w:right w:val="single" w:color="000000" w:sz="4" w:space="0"/>
            </w:tcBorders>
            <w:noWrap/>
            <w:vAlign w:val="center"/>
          </w:tcPr>
          <w:p w14:paraId="60B034BF">
            <w:pPr>
              <w:keepNext w:val="0"/>
              <w:keepLines w:val="0"/>
              <w:pageBreakBefore w:val="0"/>
              <w:kinsoku/>
              <w:wordWrap/>
              <w:overflowPunct/>
              <w:topLinePunct w:val="0"/>
              <w:autoSpaceDE/>
              <w:autoSpaceDN/>
              <w:bidi w:val="0"/>
              <w:adjustRightInd/>
              <w:snapToGrid w:val="0"/>
              <w:spacing w:line="440" w:lineRule="exact"/>
              <w:jc w:val="center"/>
              <w:rPr>
                <w:rFonts w:hint="eastAsia" w:ascii="宋体" w:hAnsi="宋体" w:eastAsia="宋体" w:cs="宋体"/>
                <w:color w:val="auto"/>
                <w:kern w:val="2"/>
                <w:sz w:val="21"/>
                <w:szCs w:val="21"/>
                <w:highlight w:val="none"/>
                <w:lang w:val="en-US" w:eastAsia="zh-CN" w:bidi="ar-SA"/>
              </w:rPr>
            </w:pPr>
          </w:p>
        </w:tc>
        <w:tc>
          <w:tcPr>
            <w:tcW w:w="1196" w:type="pct"/>
            <w:tcBorders>
              <w:top w:val="single" w:color="000000" w:sz="4" w:space="0"/>
              <w:left w:val="single" w:color="000000" w:sz="4" w:space="0"/>
              <w:bottom w:val="single" w:color="000000" w:sz="4" w:space="0"/>
              <w:right w:val="single" w:color="000000" w:sz="4" w:space="0"/>
            </w:tcBorders>
            <w:noWrap/>
            <w:vAlign w:val="center"/>
          </w:tcPr>
          <w:p w14:paraId="11870426">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60</w:t>
            </w:r>
          </w:p>
        </w:tc>
        <w:tc>
          <w:tcPr>
            <w:tcW w:w="788" w:type="pct"/>
            <w:tcBorders>
              <w:top w:val="single" w:color="000000" w:sz="4" w:space="0"/>
              <w:left w:val="single" w:color="000000" w:sz="4" w:space="0"/>
              <w:bottom w:val="single" w:color="000000" w:sz="4" w:space="0"/>
              <w:right w:val="single" w:color="000000" w:sz="4" w:space="0"/>
            </w:tcBorders>
            <w:noWrap/>
            <w:vAlign w:val="center"/>
          </w:tcPr>
          <w:p w14:paraId="4ECACC96">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65%</w:t>
            </w:r>
          </w:p>
        </w:tc>
      </w:tr>
      <w:tr w14:paraId="7B4878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375" w:type="pct"/>
            <w:tcBorders>
              <w:top w:val="single" w:color="000000" w:sz="4" w:space="0"/>
              <w:left w:val="single" w:color="000000" w:sz="4" w:space="0"/>
              <w:bottom w:val="single" w:color="000000" w:sz="4" w:space="0"/>
              <w:right w:val="single" w:color="000000" w:sz="4" w:space="0"/>
            </w:tcBorders>
            <w:noWrap/>
            <w:vAlign w:val="center"/>
          </w:tcPr>
          <w:p w14:paraId="063CAA8B">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差</w:t>
            </w:r>
          </w:p>
        </w:tc>
        <w:tc>
          <w:tcPr>
            <w:tcW w:w="2639" w:type="pct"/>
            <w:tcBorders>
              <w:top w:val="single" w:color="000000" w:sz="4" w:space="0"/>
              <w:left w:val="single" w:color="000000" w:sz="4" w:space="0"/>
              <w:bottom w:val="single" w:color="000000" w:sz="4" w:space="0"/>
              <w:right w:val="single" w:color="000000" w:sz="4" w:space="0"/>
            </w:tcBorders>
            <w:noWrap/>
            <w:vAlign w:val="center"/>
          </w:tcPr>
          <w:p w14:paraId="41B3B567">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第五区间：0≤分数＜60</w:t>
            </w:r>
          </w:p>
        </w:tc>
        <w:tc>
          <w:tcPr>
            <w:tcW w:w="1196" w:type="pct"/>
            <w:tcBorders>
              <w:top w:val="single" w:color="000000" w:sz="4" w:space="0"/>
              <w:left w:val="single" w:color="000000" w:sz="4" w:space="0"/>
              <w:bottom w:val="single" w:color="000000" w:sz="4" w:space="0"/>
              <w:right w:val="single" w:color="000000" w:sz="4" w:space="0"/>
            </w:tcBorders>
            <w:noWrap/>
            <w:vAlign w:val="center"/>
          </w:tcPr>
          <w:p w14:paraId="53AF9CB8">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0（含）~60（含）</w:t>
            </w:r>
          </w:p>
        </w:tc>
        <w:tc>
          <w:tcPr>
            <w:tcW w:w="788" w:type="pct"/>
            <w:tcBorders>
              <w:top w:val="single" w:color="000000" w:sz="4" w:space="0"/>
              <w:left w:val="single" w:color="000000" w:sz="4" w:space="0"/>
              <w:bottom w:val="single" w:color="000000" w:sz="4" w:space="0"/>
              <w:right w:val="single" w:color="000000" w:sz="4" w:space="0"/>
            </w:tcBorders>
            <w:noWrap/>
            <w:vAlign w:val="center"/>
          </w:tcPr>
          <w:p w14:paraId="5E42C13E">
            <w:pPr>
              <w:keepNext w:val="0"/>
              <w:keepLines w:val="0"/>
              <w:pageBreakBefore w:val="0"/>
              <w:widowControl/>
              <w:suppressLineNumbers w:val="0"/>
              <w:kinsoku/>
              <w:wordWrap/>
              <w:overflowPunct/>
              <w:topLinePunct w:val="0"/>
              <w:autoSpaceDE/>
              <w:autoSpaceDN/>
              <w:bidi w:val="0"/>
              <w:adjustRightInd/>
              <w:snapToGrid w:val="0"/>
              <w:spacing w:line="440" w:lineRule="exact"/>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50%</w:t>
            </w:r>
          </w:p>
        </w:tc>
      </w:tr>
    </w:tbl>
    <w:p w14:paraId="2DC8948C">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color w:val="auto"/>
          <w:kern w:val="2"/>
          <w:sz w:val="21"/>
          <w:szCs w:val="21"/>
          <w:highlight w:val="none"/>
          <w:lang w:val="en-US" w:eastAsia="zh-CN" w:bidi="ar-SA"/>
        </w:rPr>
      </w:pPr>
    </w:p>
    <w:p w14:paraId="562D3B83">
      <w:pPr>
        <w:pageBreakBefore/>
        <w:spacing w:after="217" w:afterLines="50"/>
        <w:jc w:val="center"/>
        <w:outlineLvl w:val="1"/>
        <w:rPr>
          <w:rFonts w:ascii="Calibri" w:hAnsi="Calibri" w:eastAsia="宋体" w:cs="Times New Roman"/>
          <w:kern w:val="0"/>
          <w:sz w:val="20"/>
          <w:szCs w:val="20"/>
          <w:lang w:eastAsia="zh-Hans"/>
        </w:rPr>
      </w:pPr>
      <w:bookmarkStart w:id="18" w:name="_Toc169807542"/>
      <w:bookmarkStart w:id="19" w:name="_Toc169799780"/>
      <w:r>
        <w:rPr>
          <w:rFonts w:ascii="Calibri" w:hAnsi="Calibri" w:eastAsia="宋体" w:cs="Times New Roman"/>
          <w:b/>
          <w:kern w:val="0"/>
          <w:sz w:val="36"/>
          <w:szCs w:val="20"/>
          <w:lang w:eastAsia="zh-Hans"/>
        </w:rPr>
        <w:t>第三章 投标人须知</w:t>
      </w:r>
      <w:bookmarkEnd w:id="18"/>
      <w:bookmarkEnd w:id="19"/>
    </w:p>
    <w:p w14:paraId="2050E244">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投标人必须认真阅读招标文件中所有的事项、格式、条款和采购需求等。投标人没有按照招标文件要求提交全部资料，或者投标文件没有对招标文件在各方面都做出实质性响应的可能导致其投标无效或被拒绝。</w:t>
      </w:r>
    </w:p>
    <w:p w14:paraId="0C86BD2A">
      <w:pPr>
        <w:pStyle w:val="27"/>
        <w:widowControl/>
        <w:numPr>
          <w:ilvl w:val="0"/>
          <w:numId w:val="49"/>
        </w:numPr>
        <w:tabs>
          <w:tab w:val="left" w:pos="426"/>
          <w:tab w:val="left" w:pos="709"/>
          <w:tab w:val="left" w:pos="1418"/>
        </w:tabs>
        <w:ind w:hanging="2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名词解释</w:t>
      </w:r>
    </w:p>
    <w:p w14:paraId="2DAD81C8">
      <w:pPr>
        <w:pStyle w:val="27"/>
        <w:widowControl/>
        <w:numPr>
          <w:ilvl w:val="0"/>
          <w:numId w:val="50"/>
        </w:numPr>
        <w:tabs>
          <w:tab w:val="left" w:pos="284"/>
        </w:tabs>
        <w:ind w:left="284" w:hanging="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采购代理机构：</w:t>
      </w:r>
      <w:r>
        <w:rPr>
          <w:rFonts w:hint="eastAsia" w:ascii="宋体" w:hAnsi="宋体" w:eastAsia="宋体" w:cs="Times New Roman"/>
          <w:kern w:val="0"/>
          <w:szCs w:val="21"/>
          <w:lang w:eastAsia="zh-Hans"/>
        </w:rPr>
        <w:t>是指</w:t>
      </w:r>
      <w:r>
        <w:rPr>
          <w:rFonts w:ascii="宋体" w:hAnsi="宋体" w:eastAsia="宋体" w:cs="Times New Roman"/>
          <w:kern w:val="0"/>
          <w:szCs w:val="21"/>
          <w:lang w:eastAsia="zh-Hans"/>
        </w:rPr>
        <w:t>负责整个采购活动的组织，依法负责编制和发布招标文件，对招标文件拥有最终的解释权，不以任何身份出任评标委员会成员。</w:t>
      </w:r>
    </w:p>
    <w:p w14:paraId="0BE39DDD">
      <w:pPr>
        <w:pStyle w:val="27"/>
        <w:widowControl/>
        <w:numPr>
          <w:ilvl w:val="0"/>
          <w:numId w:val="50"/>
        </w:numPr>
        <w:tabs>
          <w:tab w:val="left" w:pos="284"/>
        </w:tabs>
        <w:ind w:left="284" w:hanging="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采购人：是</w:t>
      </w:r>
      <w:r>
        <w:rPr>
          <w:rFonts w:hint="eastAsia" w:ascii="宋体" w:hAnsi="宋体" w:eastAsia="宋体" w:cs="Times New Roman"/>
          <w:kern w:val="0"/>
          <w:szCs w:val="21"/>
          <w:lang w:eastAsia="zh-Hans"/>
        </w:rPr>
        <w:t>指</w:t>
      </w:r>
      <w:r>
        <w:rPr>
          <w:rFonts w:ascii="宋体" w:hAnsi="宋体" w:eastAsia="宋体" w:cs="Times New Roman"/>
          <w:kern w:val="0"/>
          <w:szCs w:val="21"/>
          <w:lang w:eastAsia="zh-Hans"/>
        </w:rPr>
        <w:t>采购活动当事人之一，负责项目的整体规划、技术方案可行性设计论证与实施，作为合同采购方（用户）的主体承担质疑回复、履行合同、验收与评价等义务。</w:t>
      </w:r>
    </w:p>
    <w:p w14:paraId="72A88B11">
      <w:pPr>
        <w:pStyle w:val="27"/>
        <w:widowControl/>
        <w:numPr>
          <w:ilvl w:val="0"/>
          <w:numId w:val="50"/>
        </w:numPr>
        <w:tabs>
          <w:tab w:val="left" w:pos="284"/>
        </w:tabs>
        <w:ind w:left="284" w:hanging="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w:t>
      </w:r>
      <w:r>
        <w:rPr>
          <w:rFonts w:hint="eastAsia" w:ascii="宋体" w:hAnsi="宋体" w:eastAsia="宋体" w:cs="Times New Roman"/>
          <w:kern w:val="0"/>
          <w:szCs w:val="21"/>
          <w:lang w:eastAsia="zh-Hans"/>
        </w:rPr>
        <w:t>是</w:t>
      </w:r>
      <w:r>
        <w:rPr>
          <w:rFonts w:ascii="宋体" w:hAnsi="宋体" w:eastAsia="宋体" w:cs="Times New Roman"/>
          <w:kern w:val="0"/>
          <w:szCs w:val="21"/>
          <w:lang w:eastAsia="zh-Hans"/>
        </w:rPr>
        <w:t>指向采购人提供货物、工程或者服务的法人、其他组织或者自然人。</w:t>
      </w:r>
    </w:p>
    <w:p w14:paraId="0B546C34">
      <w:pPr>
        <w:pStyle w:val="27"/>
        <w:widowControl/>
        <w:numPr>
          <w:ilvl w:val="0"/>
          <w:numId w:val="50"/>
        </w:numPr>
        <w:tabs>
          <w:tab w:val="left" w:pos="284"/>
        </w:tabs>
        <w:ind w:left="284" w:hanging="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评标委员会</w:t>
      </w:r>
      <w:r>
        <w:rPr>
          <w:rFonts w:hint="eastAsia" w:ascii="宋体" w:hAnsi="宋体" w:eastAsia="宋体" w:cs="Times New Roman"/>
          <w:kern w:val="0"/>
          <w:szCs w:val="21"/>
          <w:lang w:eastAsia="zh-Hans"/>
        </w:rPr>
        <w:t>：</w:t>
      </w:r>
      <w:r>
        <w:rPr>
          <w:rFonts w:ascii="宋体" w:hAnsi="宋体" w:eastAsia="宋体" w:cs="Times New Roman"/>
          <w:kern w:val="0"/>
          <w:szCs w:val="21"/>
          <w:lang w:eastAsia="zh-Hans"/>
        </w:rPr>
        <w:t>是指根据《中华人民共和国政府采购法》等法律法规规定，由采购人代表和有关专家组成以确定</w:t>
      </w:r>
      <w:r>
        <w:rPr>
          <w:rFonts w:hint="eastAsia" w:ascii="宋体" w:hAnsi="宋体" w:eastAsia="宋体" w:cs="Times New Roman"/>
          <w:kern w:val="0"/>
          <w:szCs w:val="21"/>
          <w:lang w:eastAsia="zh-CN"/>
        </w:rPr>
        <w:t>中标人</w:t>
      </w:r>
      <w:r>
        <w:rPr>
          <w:rFonts w:ascii="宋体" w:hAnsi="宋体" w:eastAsia="宋体" w:cs="Times New Roman"/>
          <w:kern w:val="0"/>
          <w:szCs w:val="21"/>
          <w:lang w:eastAsia="zh-Hans"/>
        </w:rPr>
        <w:t>或者推荐中标候选人的临时组织。</w:t>
      </w:r>
    </w:p>
    <w:p w14:paraId="74BA097A">
      <w:pPr>
        <w:pStyle w:val="27"/>
        <w:widowControl/>
        <w:numPr>
          <w:ilvl w:val="0"/>
          <w:numId w:val="50"/>
        </w:numPr>
        <w:tabs>
          <w:tab w:val="left" w:pos="284"/>
        </w:tabs>
        <w:ind w:left="284" w:hanging="284" w:firstLineChars="0"/>
        <w:jc w:val="left"/>
        <w:rPr>
          <w:rFonts w:ascii="宋体" w:hAnsi="宋体" w:eastAsia="宋体" w:cs="Times New Roman"/>
          <w:kern w:val="0"/>
          <w:szCs w:val="21"/>
          <w:lang w:eastAsia="zh-Hans"/>
        </w:rPr>
      </w:pPr>
      <w:r>
        <w:rPr>
          <w:rFonts w:hint="eastAsia" w:ascii="宋体" w:hAnsi="宋体" w:eastAsia="宋体" w:cs="Times New Roman"/>
          <w:kern w:val="0"/>
          <w:szCs w:val="21"/>
          <w:lang w:eastAsia="zh-CN"/>
        </w:rPr>
        <w:t>中标人</w:t>
      </w:r>
      <w:r>
        <w:rPr>
          <w:rFonts w:ascii="宋体" w:hAnsi="宋体" w:eastAsia="宋体" w:cs="Times New Roman"/>
          <w:kern w:val="0"/>
          <w:szCs w:val="21"/>
          <w:lang w:eastAsia="zh-Hans"/>
        </w:rPr>
        <w:t>是指经评标委员会评审确定的对招标文件做出实质性响应，经采购人按照规定在评标委员会推荐的中标候选人中确定的或评标委员会受采购人委托直接确认的投标人。</w:t>
      </w:r>
    </w:p>
    <w:p w14:paraId="796B2BA3">
      <w:pPr>
        <w:pStyle w:val="27"/>
        <w:widowControl/>
        <w:numPr>
          <w:ilvl w:val="0"/>
          <w:numId w:val="50"/>
        </w:numPr>
        <w:tabs>
          <w:tab w:val="left" w:pos="284"/>
        </w:tabs>
        <w:ind w:left="284" w:hanging="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招标文件：是指包括招标公告和招标文件及其补充、变更和澄清等一系列文件。</w:t>
      </w:r>
    </w:p>
    <w:p w14:paraId="4628512F">
      <w:pPr>
        <w:pStyle w:val="27"/>
        <w:widowControl/>
        <w:numPr>
          <w:ilvl w:val="0"/>
          <w:numId w:val="49"/>
        </w:numPr>
        <w:spacing w:before="217" w:beforeLines="50"/>
        <w:ind w:left="442" w:hanging="442"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须知前附表</w:t>
      </w: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1852"/>
        <w:gridCol w:w="6721"/>
      </w:tblGrid>
      <w:tr w14:paraId="2E0F6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000" w:type="pct"/>
            <w:gridSpan w:val="3"/>
          </w:tcPr>
          <w:p w14:paraId="13BF543D">
            <w:pPr>
              <w:widowControl/>
              <w:jc w:val="left"/>
              <w:rPr>
                <w:rFonts w:ascii="宋体" w:hAnsi="宋体" w:eastAsia="宋体" w:cs="Times New Roman"/>
                <w:kern w:val="0"/>
                <w:szCs w:val="21"/>
                <w:lang w:eastAsia="zh-Hans"/>
              </w:rPr>
            </w:pPr>
            <w:bookmarkStart w:id="20" w:name="_Hlk169877316"/>
            <w:r>
              <w:rPr>
                <w:rFonts w:ascii="宋体" w:hAnsi="宋体" w:eastAsia="宋体" w:cs="Times New Roman"/>
                <w:kern w:val="0"/>
                <w:szCs w:val="21"/>
                <w:lang w:eastAsia="zh-Hans"/>
              </w:rPr>
              <w:t>本表与招标文件对应章节的内容若不一致，以本表为准。</w:t>
            </w:r>
          </w:p>
        </w:tc>
      </w:tr>
      <w:tr w14:paraId="0110B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0A27237">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序号</w:t>
            </w:r>
          </w:p>
        </w:tc>
        <w:tc>
          <w:tcPr>
            <w:tcW w:w="997" w:type="pct"/>
            <w:vAlign w:val="center"/>
          </w:tcPr>
          <w:p w14:paraId="13045B7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条款名称</w:t>
            </w:r>
          </w:p>
        </w:tc>
        <w:tc>
          <w:tcPr>
            <w:tcW w:w="3619" w:type="pct"/>
            <w:vAlign w:val="center"/>
          </w:tcPr>
          <w:p w14:paraId="2935692D">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内容及要求</w:t>
            </w:r>
          </w:p>
        </w:tc>
      </w:tr>
      <w:tr w14:paraId="53159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A256CE2">
            <w:pPr>
              <w:widowControl/>
              <w:jc w:val="center"/>
              <w:rPr>
                <w:rFonts w:ascii="宋体" w:hAnsi="宋体" w:eastAsia="宋体" w:cs="Times New Roman"/>
                <w:kern w:val="0"/>
                <w:szCs w:val="21"/>
              </w:rPr>
            </w:pPr>
            <w:r>
              <w:rPr>
                <w:rFonts w:hint="eastAsia" w:ascii="宋体" w:hAnsi="宋体" w:eastAsia="宋体" w:cs="Times New Roman"/>
                <w:kern w:val="0"/>
                <w:szCs w:val="21"/>
              </w:rPr>
              <w:t>1</w:t>
            </w:r>
          </w:p>
        </w:tc>
        <w:tc>
          <w:tcPr>
            <w:tcW w:w="997" w:type="pct"/>
            <w:vAlign w:val="center"/>
          </w:tcPr>
          <w:p w14:paraId="08CF0C39">
            <w:pPr>
              <w:widowControl/>
              <w:jc w:val="left"/>
              <w:rPr>
                <w:rFonts w:ascii="宋体" w:hAnsi="宋体" w:eastAsia="宋体" w:cs="Times New Roman"/>
                <w:kern w:val="0"/>
                <w:szCs w:val="21"/>
              </w:rPr>
            </w:pPr>
            <w:r>
              <w:rPr>
                <w:rFonts w:hint="eastAsia" w:ascii="宋体" w:hAnsi="宋体" w:eastAsia="宋体" w:cs="Times New Roman"/>
                <w:kern w:val="0"/>
                <w:szCs w:val="21"/>
                <w:lang w:eastAsia="zh-Hans"/>
              </w:rPr>
              <w:t>项目属性</w:t>
            </w:r>
          </w:p>
        </w:tc>
        <w:tc>
          <w:tcPr>
            <w:tcW w:w="3619" w:type="pct"/>
            <w:vAlign w:val="center"/>
          </w:tcPr>
          <w:p w14:paraId="0A1497F0">
            <w:pPr>
              <w:widowControl/>
              <w:rPr>
                <w:rFonts w:ascii="宋体" w:hAnsi="宋体" w:eastAsia="宋体" w:cs="Times New Roman"/>
                <w:kern w:val="0"/>
                <w:szCs w:val="21"/>
              </w:rPr>
            </w:pPr>
            <w:r>
              <w:rPr>
                <w:rFonts w:hint="eastAsia" w:ascii="宋体" w:hAnsi="宋体" w:eastAsia="宋体" w:cs="Times New Roman"/>
                <w:kern w:val="0"/>
                <w:szCs w:val="21"/>
                <w:lang w:eastAsia="zh-Hans"/>
              </w:rPr>
              <w:t>项目属性</w:t>
            </w:r>
            <w:r>
              <w:rPr>
                <w:rFonts w:hint="eastAsia" w:ascii="宋体" w:hAnsi="宋体" w:eastAsia="宋体" w:cs="Times New Roman"/>
                <w:kern w:val="0"/>
                <w:szCs w:val="21"/>
              </w:rPr>
              <w:t>：服务</w:t>
            </w:r>
          </w:p>
        </w:tc>
      </w:tr>
      <w:tr w14:paraId="12A51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DA6E60E">
            <w:pPr>
              <w:widowControl/>
              <w:jc w:val="center"/>
              <w:rPr>
                <w:rFonts w:ascii="宋体" w:hAnsi="宋体" w:eastAsia="宋体" w:cs="Times New Roman"/>
                <w:kern w:val="0"/>
                <w:szCs w:val="21"/>
              </w:rPr>
            </w:pPr>
            <w:r>
              <w:rPr>
                <w:rFonts w:hint="eastAsia" w:ascii="宋体" w:hAnsi="宋体" w:eastAsia="宋体" w:cs="Times New Roman"/>
                <w:kern w:val="0"/>
                <w:szCs w:val="21"/>
              </w:rPr>
              <w:t>2</w:t>
            </w:r>
          </w:p>
        </w:tc>
        <w:tc>
          <w:tcPr>
            <w:tcW w:w="997" w:type="pct"/>
            <w:vAlign w:val="center"/>
          </w:tcPr>
          <w:p w14:paraId="06D49070">
            <w:pPr>
              <w:widowControl/>
              <w:jc w:val="left"/>
              <w:rPr>
                <w:rFonts w:ascii="宋体" w:hAnsi="宋体" w:eastAsia="宋体" w:cs="Times New Roman"/>
                <w:kern w:val="0"/>
                <w:szCs w:val="21"/>
              </w:rPr>
            </w:pPr>
            <w:r>
              <w:rPr>
                <w:rFonts w:hint="eastAsia" w:ascii="宋体" w:hAnsi="宋体" w:eastAsia="宋体" w:cs="Times New Roman"/>
                <w:kern w:val="0"/>
                <w:szCs w:val="21"/>
              </w:rPr>
              <w:t>资金属性</w:t>
            </w:r>
          </w:p>
        </w:tc>
        <w:tc>
          <w:tcPr>
            <w:tcW w:w="3619" w:type="pct"/>
            <w:vAlign w:val="center"/>
          </w:tcPr>
          <w:p w14:paraId="23B5DB27">
            <w:pPr>
              <w:widowControl/>
              <w:rPr>
                <w:rFonts w:ascii="宋体" w:hAnsi="宋体" w:eastAsia="宋体" w:cs="Times New Roman"/>
                <w:kern w:val="0"/>
                <w:szCs w:val="21"/>
              </w:rPr>
            </w:pPr>
            <w:r>
              <w:rPr>
                <w:rFonts w:hint="eastAsia" w:ascii="宋体" w:hAnsi="宋体" w:eastAsia="宋体" w:cs="Times New Roman"/>
                <w:kern w:val="0"/>
                <w:szCs w:val="21"/>
                <w:lang w:val="en-US" w:eastAsia="zh-CN"/>
              </w:rPr>
              <w:t>自筹</w:t>
            </w:r>
            <w:r>
              <w:rPr>
                <w:rFonts w:hint="eastAsia" w:ascii="宋体" w:hAnsi="宋体" w:eastAsia="宋体" w:cs="Times New Roman"/>
                <w:kern w:val="0"/>
                <w:szCs w:val="21"/>
              </w:rPr>
              <w:t>资金</w:t>
            </w:r>
          </w:p>
        </w:tc>
      </w:tr>
      <w:tr w14:paraId="6D091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3A595FB">
            <w:pPr>
              <w:widowControl/>
              <w:jc w:val="center"/>
              <w:rPr>
                <w:rFonts w:ascii="宋体" w:hAnsi="宋体" w:eastAsia="宋体" w:cs="Times New Roman"/>
                <w:kern w:val="0"/>
                <w:szCs w:val="21"/>
              </w:rPr>
            </w:pPr>
            <w:r>
              <w:rPr>
                <w:rFonts w:hint="eastAsia" w:ascii="宋体" w:hAnsi="宋体" w:eastAsia="宋体" w:cs="Times New Roman"/>
                <w:kern w:val="0"/>
                <w:szCs w:val="21"/>
              </w:rPr>
              <w:t>3</w:t>
            </w:r>
          </w:p>
        </w:tc>
        <w:tc>
          <w:tcPr>
            <w:tcW w:w="997" w:type="pct"/>
            <w:vAlign w:val="center"/>
          </w:tcPr>
          <w:p w14:paraId="6277B0F9">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评标办法</w:t>
            </w:r>
          </w:p>
        </w:tc>
        <w:tc>
          <w:tcPr>
            <w:tcW w:w="3619" w:type="pct"/>
          </w:tcPr>
          <w:p w14:paraId="24CD24CA">
            <w:pPr>
              <w:widowControl/>
              <w:jc w:val="left"/>
              <w:rPr>
                <w:rFonts w:ascii="宋体" w:hAnsi="宋体" w:eastAsia="宋体" w:cs="Times New Roman"/>
                <w:color w:val="auto"/>
                <w:kern w:val="0"/>
                <w:szCs w:val="21"/>
              </w:rPr>
            </w:pPr>
            <w:r>
              <w:rPr>
                <w:rFonts w:hint="eastAsia" w:ascii="宋体" w:hAnsi="宋体" w:eastAsia="宋体" w:cs="Times New Roman"/>
                <w:color w:val="auto"/>
                <w:kern w:val="0"/>
                <w:szCs w:val="21"/>
              </w:rPr>
              <w:t>综合评分法</w:t>
            </w:r>
          </w:p>
        </w:tc>
      </w:tr>
      <w:tr w14:paraId="4F93C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CA8DD4C">
            <w:pPr>
              <w:widowControl/>
              <w:jc w:val="center"/>
              <w:rPr>
                <w:rFonts w:ascii="宋体" w:hAnsi="宋体" w:eastAsia="宋体" w:cs="Times New Roman"/>
                <w:kern w:val="0"/>
                <w:szCs w:val="21"/>
              </w:rPr>
            </w:pPr>
            <w:r>
              <w:rPr>
                <w:rFonts w:hint="eastAsia" w:ascii="宋体" w:hAnsi="宋体" w:eastAsia="宋体" w:cs="Times New Roman"/>
                <w:kern w:val="0"/>
                <w:szCs w:val="21"/>
              </w:rPr>
              <w:t>4</w:t>
            </w:r>
          </w:p>
        </w:tc>
        <w:tc>
          <w:tcPr>
            <w:tcW w:w="997" w:type="pct"/>
            <w:vAlign w:val="center"/>
          </w:tcPr>
          <w:p w14:paraId="453E591E">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现场踏勘</w:t>
            </w:r>
          </w:p>
        </w:tc>
        <w:tc>
          <w:tcPr>
            <w:tcW w:w="3619" w:type="pct"/>
          </w:tcPr>
          <w:p w14:paraId="03EDA9B2">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否</w:t>
            </w:r>
          </w:p>
        </w:tc>
      </w:tr>
      <w:tr w14:paraId="59E63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2DF292B">
            <w:pPr>
              <w:widowControl/>
              <w:jc w:val="center"/>
              <w:rPr>
                <w:rFonts w:ascii="宋体" w:hAnsi="宋体" w:eastAsia="宋体" w:cs="Times New Roman"/>
                <w:kern w:val="0"/>
                <w:szCs w:val="21"/>
              </w:rPr>
            </w:pPr>
            <w:r>
              <w:rPr>
                <w:rFonts w:hint="eastAsia" w:ascii="宋体" w:hAnsi="宋体" w:eastAsia="宋体" w:cs="Times New Roman"/>
                <w:kern w:val="0"/>
                <w:szCs w:val="21"/>
              </w:rPr>
              <w:t>5</w:t>
            </w:r>
          </w:p>
        </w:tc>
        <w:tc>
          <w:tcPr>
            <w:tcW w:w="997" w:type="pct"/>
            <w:vAlign w:val="center"/>
          </w:tcPr>
          <w:p w14:paraId="763B5D5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投标有效期</w:t>
            </w:r>
          </w:p>
        </w:tc>
        <w:tc>
          <w:tcPr>
            <w:tcW w:w="3619" w:type="pct"/>
          </w:tcPr>
          <w:p w14:paraId="5E78C339">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从提交投标文件的截止之日起90日历天</w:t>
            </w:r>
            <w:r>
              <w:rPr>
                <w:rFonts w:hint="eastAsia" w:ascii="宋体" w:hAnsi="宋体" w:eastAsia="宋体" w:cs="Times New Roman"/>
                <w:kern w:val="0"/>
                <w:szCs w:val="21"/>
                <w:lang w:eastAsia="zh-Hans"/>
              </w:rPr>
              <w:t>。</w:t>
            </w:r>
          </w:p>
        </w:tc>
      </w:tr>
      <w:tr w14:paraId="6EEB8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84" w:type="pct"/>
            <w:vAlign w:val="center"/>
          </w:tcPr>
          <w:p w14:paraId="7092BB03">
            <w:pPr>
              <w:widowControl/>
              <w:jc w:val="center"/>
              <w:rPr>
                <w:rFonts w:ascii="宋体" w:hAnsi="宋体" w:eastAsia="宋体" w:cs="Times New Roman"/>
                <w:kern w:val="0"/>
                <w:szCs w:val="21"/>
              </w:rPr>
            </w:pPr>
            <w:r>
              <w:rPr>
                <w:rFonts w:hint="eastAsia" w:ascii="宋体" w:hAnsi="宋体" w:eastAsia="宋体" w:cs="Times New Roman"/>
                <w:kern w:val="0"/>
                <w:szCs w:val="21"/>
              </w:rPr>
              <w:t>6</w:t>
            </w:r>
          </w:p>
        </w:tc>
        <w:tc>
          <w:tcPr>
            <w:tcW w:w="997" w:type="pct"/>
            <w:vAlign w:val="center"/>
          </w:tcPr>
          <w:p w14:paraId="481D515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投标保证金</w:t>
            </w:r>
          </w:p>
        </w:tc>
        <w:tc>
          <w:tcPr>
            <w:tcW w:w="3619" w:type="pct"/>
          </w:tcPr>
          <w:p w14:paraId="0BDB161A">
            <w:pPr>
              <w:widowControl/>
              <w:jc w:val="left"/>
              <w:rPr>
                <w:rFonts w:hint="default" w:ascii="宋体" w:hAnsi="宋体" w:eastAsia="宋体" w:cs="Times New Roman"/>
                <w:kern w:val="0"/>
                <w:szCs w:val="21"/>
                <w:lang w:val="en-US" w:eastAsia="zh-CN"/>
              </w:rPr>
            </w:pPr>
            <w:r>
              <w:rPr>
                <w:rFonts w:hint="eastAsia" w:ascii="宋体" w:hAnsi="宋体" w:eastAsia="宋体" w:cs="Times New Roman"/>
                <w:kern w:val="0"/>
                <w:szCs w:val="21"/>
                <w:lang w:val="en-US" w:eastAsia="zh-CN"/>
              </w:rPr>
              <w:t>本项目不收取</w:t>
            </w:r>
            <w:r>
              <w:rPr>
                <w:rFonts w:ascii="宋体" w:hAnsi="宋体" w:eastAsia="宋体" w:cs="Times New Roman"/>
                <w:kern w:val="0"/>
                <w:szCs w:val="21"/>
                <w:lang w:eastAsia="zh-Hans"/>
              </w:rPr>
              <w:t>投标保证金</w:t>
            </w:r>
          </w:p>
        </w:tc>
      </w:tr>
      <w:tr w14:paraId="7E104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DADDD0E">
            <w:pPr>
              <w:widowControl/>
              <w:jc w:val="center"/>
              <w:rPr>
                <w:rFonts w:ascii="宋体" w:hAnsi="宋体" w:eastAsia="宋体" w:cs="Times New Roman"/>
                <w:kern w:val="0"/>
                <w:szCs w:val="21"/>
              </w:rPr>
            </w:pPr>
            <w:r>
              <w:rPr>
                <w:rFonts w:hint="eastAsia" w:ascii="宋体" w:hAnsi="宋体" w:eastAsia="宋体" w:cs="Times New Roman"/>
                <w:kern w:val="0"/>
                <w:szCs w:val="21"/>
              </w:rPr>
              <w:t>7</w:t>
            </w:r>
          </w:p>
        </w:tc>
        <w:tc>
          <w:tcPr>
            <w:tcW w:w="997" w:type="pct"/>
            <w:vAlign w:val="center"/>
          </w:tcPr>
          <w:p w14:paraId="72063B79">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投标文件要求</w:t>
            </w:r>
          </w:p>
        </w:tc>
        <w:tc>
          <w:tcPr>
            <w:tcW w:w="3619" w:type="pct"/>
          </w:tcPr>
          <w:p w14:paraId="7424858B">
            <w:pPr>
              <w:widowControl/>
              <w:jc w:val="left"/>
              <w:rPr>
                <w:rFonts w:ascii="宋体" w:hAnsi="宋体" w:eastAsia="宋体" w:cs="Times New Roman"/>
                <w:kern w:val="0"/>
                <w:szCs w:val="21"/>
                <w:lang w:eastAsia="zh-Hans"/>
              </w:rPr>
            </w:pPr>
            <w:r>
              <w:rPr>
                <w:rFonts w:ascii="宋体" w:hAnsi="宋体" w:eastAsia="宋体" w:cs="Times New Roman"/>
                <w:b/>
                <w:kern w:val="0"/>
                <w:szCs w:val="21"/>
                <w:lang w:eastAsia="zh-Hans"/>
              </w:rPr>
              <w:t>一、电子投标文件：</w:t>
            </w:r>
          </w:p>
          <w:p w14:paraId="3DE569D8">
            <w:pPr>
              <w:widowControl/>
              <w:jc w:val="left"/>
              <w:rPr>
                <w:rFonts w:ascii="宋体" w:hAnsi="宋体" w:eastAsia="宋体" w:cs="Times New Roman"/>
                <w:kern w:val="0"/>
                <w:szCs w:val="21"/>
              </w:rPr>
            </w:pPr>
            <w:r>
              <w:rPr>
                <w:rFonts w:ascii="宋体" w:hAnsi="宋体" w:eastAsia="宋体" w:cs="Times New Roman"/>
                <w:kern w:val="0"/>
                <w:szCs w:val="21"/>
                <w:lang w:eastAsia="zh-Hans"/>
              </w:rPr>
              <w:t>电子</w:t>
            </w:r>
            <w:r>
              <w:rPr>
                <w:rFonts w:hint="eastAsia" w:ascii="宋体" w:hAnsi="宋体" w:eastAsia="宋体" w:cs="Times New Roman"/>
                <w:kern w:val="0"/>
                <w:szCs w:val="21"/>
                <w:lang w:eastAsia="zh-Hans"/>
              </w:rPr>
              <w:t>投标</w:t>
            </w:r>
            <w:r>
              <w:rPr>
                <w:rFonts w:ascii="宋体" w:hAnsi="宋体" w:eastAsia="宋体" w:cs="Times New Roman"/>
                <w:kern w:val="0"/>
                <w:szCs w:val="21"/>
                <w:lang w:eastAsia="zh-Hans"/>
              </w:rPr>
              <w:t>文件U盘(或光盘)</w:t>
            </w:r>
            <w:r>
              <w:rPr>
                <w:rFonts w:hint="eastAsia" w:ascii="宋体" w:hAnsi="宋体" w:eastAsia="宋体" w:cs="Times New Roman"/>
                <w:kern w:val="0"/>
                <w:szCs w:val="21"/>
              </w:rPr>
              <w:t>1</w:t>
            </w:r>
            <w:r>
              <w:rPr>
                <w:rFonts w:ascii="宋体" w:hAnsi="宋体" w:eastAsia="宋体" w:cs="Times New Roman"/>
                <w:kern w:val="0"/>
                <w:szCs w:val="21"/>
                <w:lang w:eastAsia="zh-Hans"/>
              </w:rPr>
              <w:t>份</w:t>
            </w:r>
            <w:r>
              <w:rPr>
                <w:rFonts w:hint="eastAsia" w:ascii="宋体" w:hAnsi="宋体" w:eastAsia="宋体" w:cs="Times New Roman"/>
                <w:kern w:val="0"/>
                <w:szCs w:val="21"/>
                <w:lang w:eastAsia="zh-Hans"/>
              </w:rPr>
              <w:t>。</w:t>
            </w:r>
          </w:p>
          <w:p w14:paraId="722E9ECD">
            <w:pPr>
              <w:widowControl/>
              <w:jc w:val="left"/>
              <w:rPr>
                <w:rFonts w:ascii="宋体" w:hAnsi="宋体" w:eastAsia="宋体" w:cs="Times New Roman"/>
                <w:kern w:val="0"/>
                <w:szCs w:val="21"/>
              </w:rPr>
            </w:pPr>
            <w:r>
              <w:rPr>
                <w:rFonts w:ascii="宋体" w:hAnsi="宋体" w:eastAsia="宋体" w:cs="Times New Roman"/>
                <w:b/>
                <w:kern w:val="0"/>
                <w:szCs w:val="21"/>
                <w:lang w:eastAsia="zh-Hans"/>
              </w:rPr>
              <w:t>二、投标文件：</w:t>
            </w:r>
          </w:p>
          <w:p w14:paraId="0E437443">
            <w:pPr>
              <w:widowControl/>
              <w:jc w:val="left"/>
              <w:rPr>
                <w:rFonts w:ascii="宋体" w:hAnsi="宋体" w:eastAsia="宋体" w:cs="Times New Roman"/>
                <w:kern w:val="0"/>
                <w:szCs w:val="21"/>
              </w:rPr>
            </w:pPr>
            <w:r>
              <w:rPr>
                <w:rFonts w:ascii="宋体" w:hAnsi="宋体" w:eastAsia="宋体" w:cs="Times New Roman"/>
                <w:kern w:val="0"/>
                <w:szCs w:val="21"/>
                <w:lang w:eastAsia="zh-Hans"/>
              </w:rPr>
              <w:t>投标文件正本</w:t>
            </w:r>
            <w:r>
              <w:rPr>
                <w:rFonts w:hint="eastAsia" w:ascii="宋体" w:hAnsi="宋体" w:eastAsia="宋体" w:cs="Times New Roman"/>
                <w:kern w:val="0"/>
                <w:szCs w:val="21"/>
              </w:rPr>
              <w:t>1</w:t>
            </w:r>
            <w:r>
              <w:rPr>
                <w:rFonts w:ascii="宋体" w:hAnsi="宋体" w:eastAsia="宋体" w:cs="Times New Roman"/>
                <w:kern w:val="0"/>
                <w:szCs w:val="21"/>
                <w:lang w:eastAsia="zh-Hans"/>
              </w:rPr>
              <w:t>份，投标文件副本</w:t>
            </w:r>
            <w:r>
              <w:rPr>
                <w:rFonts w:hint="eastAsia" w:ascii="宋体" w:hAnsi="宋体" w:eastAsia="宋体" w:cs="Times New Roman"/>
                <w:kern w:val="0"/>
                <w:szCs w:val="21"/>
              </w:rPr>
              <w:t>5</w:t>
            </w:r>
            <w:r>
              <w:rPr>
                <w:rFonts w:ascii="宋体" w:hAnsi="宋体" w:eastAsia="宋体" w:cs="Times New Roman"/>
                <w:kern w:val="0"/>
                <w:szCs w:val="21"/>
                <w:lang w:eastAsia="zh-Hans"/>
              </w:rPr>
              <w:t>份。</w:t>
            </w:r>
          </w:p>
          <w:p w14:paraId="592934D7">
            <w:pPr>
              <w:widowControl/>
              <w:jc w:val="left"/>
              <w:rPr>
                <w:rFonts w:ascii="宋体" w:hAnsi="宋体" w:eastAsia="宋体" w:cs="Times New Roman"/>
                <w:kern w:val="0"/>
                <w:szCs w:val="21"/>
              </w:rPr>
            </w:pPr>
            <w:r>
              <w:rPr>
                <w:rFonts w:ascii="宋体" w:hAnsi="宋体" w:eastAsia="宋体" w:cs="Times New Roman"/>
                <w:kern w:val="0"/>
                <w:szCs w:val="21"/>
                <w:lang w:eastAsia="zh-Hans"/>
              </w:rPr>
              <w:t>（递交的</w:t>
            </w:r>
            <w:r>
              <w:rPr>
                <w:rFonts w:hint="eastAsia" w:ascii="宋体" w:hAnsi="宋体" w:eastAsia="宋体" w:cs="Times New Roman"/>
                <w:kern w:val="0"/>
                <w:szCs w:val="21"/>
                <w:lang w:eastAsia="zh-Hans"/>
              </w:rPr>
              <w:t>投标</w:t>
            </w:r>
            <w:r>
              <w:rPr>
                <w:rFonts w:ascii="宋体" w:hAnsi="宋体" w:eastAsia="宋体" w:cs="Times New Roman"/>
                <w:kern w:val="0"/>
                <w:szCs w:val="21"/>
                <w:lang w:eastAsia="zh-Hans"/>
              </w:rPr>
              <w:t>文件需密封完好，</w:t>
            </w:r>
            <w:r>
              <w:rPr>
                <w:rFonts w:hint="eastAsia" w:ascii="宋体" w:hAnsi="宋体" w:eastAsia="宋体" w:cs="Times New Roman"/>
                <w:kern w:val="0"/>
                <w:szCs w:val="21"/>
                <w:lang w:eastAsia="zh-Hans"/>
              </w:rPr>
              <w:t>每套投标文件须清楚地标明“正本”或“副本”。若副本与正本不符，以正本为准。</w:t>
            </w:r>
            <w:r>
              <w:rPr>
                <w:rFonts w:ascii="宋体" w:hAnsi="宋体" w:eastAsia="宋体" w:cs="Times New Roman"/>
                <w:kern w:val="0"/>
                <w:szCs w:val="21"/>
                <w:lang w:eastAsia="zh-Hans"/>
              </w:rPr>
              <w:t>）</w:t>
            </w:r>
          </w:p>
          <w:p w14:paraId="727708AC">
            <w:pPr>
              <w:widowControl/>
              <w:jc w:val="left"/>
              <w:rPr>
                <w:rFonts w:ascii="宋体" w:hAnsi="宋体" w:eastAsia="宋体" w:cs="Times New Roman"/>
                <w:b/>
                <w:bCs/>
                <w:kern w:val="0"/>
                <w:szCs w:val="21"/>
              </w:rPr>
            </w:pPr>
            <w:r>
              <w:rPr>
                <w:rFonts w:hint="eastAsia" w:ascii="宋体" w:hAnsi="宋体" w:eastAsia="宋体" w:cs="Times New Roman"/>
                <w:b/>
                <w:bCs/>
                <w:kern w:val="0"/>
                <w:szCs w:val="21"/>
              </w:rPr>
              <w:t>三、唱标信封：</w:t>
            </w:r>
          </w:p>
          <w:p w14:paraId="251A53DE">
            <w:pPr>
              <w:widowControl/>
              <w:jc w:val="left"/>
              <w:rPr>
                <w:rFonts w:ascii="宋体" w:hAnsi="宋体" w:eastAsia="宋体" w:cs="Times New Roman"/>
                <w:kern w:val="0"/>
                <w:szCs w:val="21"/>
              </w:rPr>
            </w:pPr>
            <w:r>
              <w:rPr>
                <w:rFonts w:hint="eastAsia" w:ascii="宋体" w:hAnsi="宋体" w:eastAsia="宋体" w:cs="Times New Roman"/>
                <w:kern w:val="0"/>
                <w:szCs w:val="21"/>
              </w:rPr>
              <w:t>唱标信封1份。</w:t>
            </w:r>
          </w:p>
        </w:tc>
      </w:tr>
      <w:tr w14:paraId="59EDD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0B404AD">
            <w:pPr>
              <w:widowControl/>
              <w:jc w:val="center"/>
              <w:rPr>
                <w:rFonts w:ascii="宋体" w:hAnsi="宋体" w:eastAsia="宋体" w:cs="Times New Roman"/>
                <w:kern w:val="0"/>
                <w:szCs w:val="21"/>
              </w:rPr>
            </w:pPr>
            <w:r>
              <w:rPr>
                <w:rFonts w:hint="eastAsia" w:ascii="宋体" w:hAnsi="宋体" w:eastAsia="宋体" w:cs="Times New Roman"/>
                <w:kern w:val="0"/>
                <w:szCs w:val="21"/>
              </w:rPr>
              <w:t>8</w:t>
            </w:r>
          </w:p>
        </w:tc>
        <w:tc>
          <w:tcPr>
            <w:tcW w:w="997" w:type="pct"/>
            <w:vAlign w:val="center"/>
          </w:tcPr>
          <w:p w14:paraId="25244CAC">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中标候选供应商推荐家数</w:t>
            </w:r>
          </w:p>
        </w:tc>
        <w:tc>
          <w:tcPr>
            <w:tcW w:w="3619" w:type="pct"/>
            <w:vAlign w:val="center"/>
          </w:tcPr>
          <w:p w14:paraId="7C9E2491">
            <w:pPr>
              <w:widowControl/>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2家</w:t>
            </w:r>
          </w:p>
        </w:tc>
      </w:tr>
      <w:tr w14:paraId="603C3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5711C8">
            <w:pPr>
              <w:widowControl/>
              <w:jc w:val="center"/>
              <w:rPr>
                <w:rFonts w:ascii="宋体" w:hAnsi="宋体" w:eastAsia="宋体" w:cs="Times New Roman"/>
                <w:kern w:val="0"/>
                <w:szCs w:val="21"/>
              </w:rPr>
            </w:pPr>
            <w:r>
              <w:rPr>
                <w:rFonts w:hint="eastAsia" w:ascii="宋体" w:hAnsi="宋体" w:eastAsia="宋体" w:cs="Times New Roman"/>
                <w:kern w:val="0"/>
                <w:szCs w:val="21"/>
              </w:rPr>
              <w:t>9</w:t>
            </w:r>
          </w:p>
        </w:tc>
        <w:tc>
          <w:tcPr>
            <w:tcW w:w="997" w:type="pct"/>
            <w:vAlign w:val="center"/>
          </w:tcPr>
          <w:p w14:paraId="6B51D0D0">
            <w:pPr>
              <w:widowControl/>
              <w:jc w:val="left"/>
              <w:rPr>
                <w:rFonts w:ascii="宋体" w:hAnsi="宋体" w:eastAsia="宋体" w:cs="Times New Roman"/>
                <w:color w:val="auto"/>
                <w:kern w:val="0"/>
                <w:szCs w:val="21"/>
                <w:lang w:eastAsia="zh-Hans"/>
              </w:rPr>
            </w:pPr>
            <w:r>
              <w:rPr>
                <w:rFonts w:hint="eastAsia" w:ascii="宋体" w:hAnsi="宋体" w:eastAsia="宋体" w:cs="Times New Roman"/>
                <w:color w:val="auto"/>
                <w:kern w:val="0"/>
                <w:szCs w:val="21"/>
                <w:lang w:eastAsia="zh-CN"/>
              </w:rPr>
              <w:t>中标人</w:t>
            </w:r>
            <w:r>
              <w:rPr>
                <w:rFonts w:ascii="宋体" w:hAnsi="宋体" w:eastAsia="宋体" w:cs="Times New Roman"/>
                <w:color w:val="auto"/>
                <w:kern w:val="0"/>
                <w:szCs w:val="21"/>
                <w:lang w:eastAsia="zh-Hans"/>
              </w:rPr>
              <w:t>数量</w:t>
            </w:r>
          </w:p>
        </w:tc>
        <w:tc>
          <w:tcPr>
            <w:tcW w:w="3619" w:type="pct"/>
            <w:vAlign w:val="center"/>
          </w:tcPr>
          <w:p w14:paraId="3CC4AD61">
            <w:pPr>
              <w:widowControl/>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1家</w:t>
            </w:r>
          </w:p>
        </w:tc>
      </w:tr>
      <w:tr w14:paraId="2AFBF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15B22A2">
            <w:pPr>
              <w:widowControl/>
              <w:jc w:val="center"/>
              <w:rPr>
                <w:rFonts w:ascii="宋体" w:hAnsi="宋体" w:eastAsia="宋体" w:cs="Times New Roman"/>
                <w:kern w:val="0"/>
                <w:szCs w:val="21"/>
              </w:rPr>
            </w:pPr>
            <w:r>
              <w:rPr>
                <w:rFonts w:hint="eastAsia" w:ascii="宋体" w:hAnsi="宋体" w:eastAsia="宋体" w:cs="Times New Roman"/>
                <w:kern w:val="0"/>
                <w:szCs w:val="21"/>
              </w:rPr>
              <w:t>10</w:t>
            </w:r>
          </w:p>
        </w:tc>
        <w:tc>
          <w:tcPr>
            <w:tcW w:w="997" w:type="pct"/>
            <w:vAlign w:val="center"/>
          </w:tcPr>
          <w:p w14:paraId="204C4964">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有效供应商家数</w:t>
            </w:r>
          </w:p>
        </w:tc>
        <w:tc>
          <w:tcPr>
            <w:tcW w:w="3619" w:type="pct"/>
            <w:vAlign w:val="center"/>
          </w:tcPr>
          <w:p w14:paraId="29A83F12">
            <w:pPr>
              <w:widowControl/>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3家</w:t>
            </w:r>
          </w:p>
          <w:p w14:paraId="36886E4B">
            <w:pPr>
              <w:widowControl/>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此人数约定了开标与评标过程中的最低有效供应商家数，当家数不足时项目将不得开标、不得评标或直接废标。</w:t>
            </w:r>
          </w:p>
        </w:tc>
      </w:tr>
      <w:tr w14:paraId="0E4E6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70C6ACC">
            <w:pPr>
              <w:widowControl/>
              <w:jc w:val="center"/>
              <w:rPr>
                <w:rFonts w:ascii="宋体" w:hAnsi="宋体" w:eastAsia="宋体" w:cs="Times New Roman"/>
                <w:kern w:val="0"/>
                <w:szCs w:val="21"/>
              </w:rPr>
            </w:pPr>
            <w:r>
              <w:rPr>
                <w:rFonts w:hint="eastAsia" w:ascii="宋体" w:hAnsi="宋体" w:eastAsia="宋体" w:cs="Times New Roman"/>
                <w:kern w:val="0"/>
                <w:szCs w:val="21"/>
              </w:rPr>
              <w:t>11</w:t>
            </w:r>
          </w:p>
        </w:tc>
        <w:tc>
          <w:tcPr>
            <w:tcW w:w="997" w:type="pct"/>
            <w:vAlign w:val="center"/>
          </w:tcPr>
          <w:p w14:paraId="0269D287">
            <w:pPr>
              <w:widowControl/>
              <w:jc w:val="left"/>
              <w:rPr>
                <w:rFonts w:ascii="宋体" w:hAnsi="宋体" w:eastAsia="宋体" w:cs="Times New Roman"/>
                <w:kern w:val="0"/>
                <w:szCs w:val="21"/>
                <w:lang w:eastAsia="zh-Hans"/>
              </w:rPr>
            </w:pPr>
            <w:r>
              <w:rPr>
                <w:rFonts w:hint="eastAsia" w:ascii="宋体" w:hAnsi="宋体" w:eastAsia="宋体" w:cs="Times New Roman"/>
                <w:kern w:val="0"/>
                <w:szCs w:val="21"/>
                <w:lang w:eastAsia="zh-CN"/>
              </w:rPr>
              <w:t>中标人</w:t>
            </w:r>
            <w:r>
              <w:rPr>
                <w:rFonts w:ascii="宋体" w:hAnsi="宋体" w:eastAsia="宋体" w:cs="Times New Roman"/>
                <w:kern w:val="0"/>
                <w:szCs w:val="21"/>
                <w:lang w:eastAsia="zh-Hans"/>
              </w:rPr>
              <w:t>确定方式</w:t>
            </w:r>
          </w:p>
        </w:tc>
        <w:tc>
          <w:tcPr>
            <w:tcW w:w="3619" w:type="pct"/>
            <w:vAlign w:val="center"/>
          </w:tcPr>
          <w:p w14:paraId="30BE4449">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采购人按照评审报告中推荐的成交候选人确定中标人。</w:t>
            </w:r>
          </w:p>
        </w:tc>
      </w:tr>
      <w:tr w14:paraId="4407B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0532622">
            <w:pPr>
              <w:widowControl/>
              <w:jc w:val="center"/>
              <w:rPr>
                <w:rFonts w:ascii="宋体" w:hAnsi="宋体" w:eastAsia="宋体" w:cs="Times New Roman"/>
                <w:kern w:val="0"/>
                <w:szCs w:val="21"/>
              </w:rPr>
            </w:pPr>
            <w:r>
              <w:rPr>
                <w:rFonts w:hint="eastAsia" w:ascii="宋体" w:hAnsi="宋体" w:eastAsia="宋体" w:cs="Times New Roman"/>
                <w:kern w:val="0"/>
                <w:szCs w:val="21"/>
              </w:rPr>
              <w:t>12</w:t>
            </w:r>
          </w:p>
        </w:tc>
        <w:tc>
          <w:tcPr>
            <w:tcW w:w="997" w:type="pct"/>
            <w:vAlign w:val="center"/>
          </w:tcPr>
          <w:p w14:paraId="40EAE65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代理服务费</w:t>
            </w:r>
          </w:p>
        </w:tc>
        <w:tc>
          <w:tcPr>
            <w:tcW w:w="3619" w:type="pct"/>
            <w:vAlign w:val="center"/>
          </w:tcPr>
          <w:p w14:paraId="39992AB2">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收取。采购机构代理服务收费标准：参照国家计委文件“计价格[2002]1980号文”、“发改办价格[2003]857号文”和“发改价格[2011]534号文”的规定标准执行。</w:t>
            </w:r>
          </w:p>
        </w:tc>
      </w:tr>
      <w:tr w14:paraId="4E2EC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7BB2484">
            <w:pPr>
              <w:widowControl/>
              <w:jc w:val="center"/>
              <w:rPr>
                <w:rFonts w:ascii="宋体" w:hAnsi="宋体" w:eastAsia="宋体" w:cs="Times New Roman"/>
                <w:kern w:val="0"/>
                <w:szCs w:val="21"/>
              </w:rPr>
            </w:pPr>
            <w:r>
              <w:rPr>
                <w:rFonts w:hint="eastAsia" w:ascii="宋体" w:hAnsi="宋体" w:eastAsia="宋体" w:cs="Times New Roman"/>
                <w:kern w:val="0"/>
                <w:szCs w:val="21"/>
              </w:rPr>
              <w:t>13</w:t>
            </w:r>
          </w:p>
        </w:tc>
        <w:tc>
          <w:tcPr>
            <w:tcW w:w="997" w:type="pct"/>
            <w:vAlign w:val="center"/>
          </w:tcPr>
          <w:p w14:paraId="6174E5BF">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代理服务费收取方式</w:t>
            </w:r>
          </w:p>
        </w:tc>
        <w:tc>
          <w:tcPr>
            <w:tcW w:w="3619" w:type="pct"/>
            <w:vAlign w:val="center"/>
          </w:tcPr>
          <w:p w14:paraId="5C9EABB9">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向</w:t>
            </w:r>
            <w:r>
              <w:rPr>
                <w:rFonts w:hint="eastAsia" w:ascii="宋体" w:hAnsi="宋体" w:eastAsia="宋体" w:cs="Times New Roman"/>
                <w:kern w:val="0"/>
                <w:szCs w:val="21"/>
                <w:lang w:eastAsia="zh-CN"/>
              </w:rPr>
              <w:t>中标人</w:t>
            </w:r>
            <w:r>
              <w:rPr>
                <w:rFonts w:ascii="宋体" w:hAnsi="宋体" w:eastAsia="宋体" w:cs="Times New Roman"/>
                <w:kern w:val="0"/>
                <w:szCs w:val="21"/>
                <w:lang w:eastAsia="zh-Hans"/>
              </w:rPr>
              <w:t>收取</w:t>
            </w:r>
          </w:p>
        </w:tc>
      </w:tr>
      <w:tr w14:paraId="45CFC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9" w:hRule="atLeast"/>
        </w:trPr>
        <w:tc>
          <w:tcPr>
            <w:tcW w:w="384" w:type="pct"/>
            <w:vAlign w:val="center"/>
          </w:tcPr>
          <w:p w14:paraId="6C2CC520">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14</w:t>
            </w:r>
          </w:p>
        </w:tc>
        <w:tc>
          <w:tcPr>
            <w:tcW w:w="997" w:type="pct"/>
            <w:vAlign w:val="center"/>
          </w:tcPr>
          <w:p w14:paraId="0C935ACF">
            <w:pPr>
              <w:widowControl/>
              <w:jc w:val="left"/>
              <w:rPr>
                <w:rFonts w:hint="eastAsia" w:ascii="宋体" w:hAnsi="宋体" w:eastAsia="宋体" w:cs="Times New Roman"/>
                <w:kern w:val="0"/>
                <w:szCs w:val="21"/>
              </w:rPr>
            </w:pPr>
            <w:r>
              <w:rPr>
                <w:rFonts w:hint="eastAsia" w:ascii="宋体" w:hAnsi="宋体" w:eastAsia="宋体" w:cs="Times New Roman"/>
                <w:kern w:val="0"/>
                <w:szCs w:val="21"/>
                <w:lang w:eastAsia="zh-Hans"/>
              </w:rPr>
              <w:t>履约担保</w:t>
            </w:r>
          </w:p>
        </w:tc>
        <w:tc>
          <w:tcPr>
            <w:tcW w:w="3619" w:type="pct"/>
            <w:vAlign w:val="center"/>
          </w:tcPr>
          <w:p w14:paraId="2C15E618">
            <w:pPr>
              <w:widowControl/>
              <w:rPr>
                <w:rFonts w:ascii="宋体" w:hAnsi="宋体" w:eastAsia="宋体" w:cs="Times New Roman"/>
                <w:color w:val="auto"/>
                <w:kern w:val="0"/>
                <w:szCs w:val="21"/>
                <w:highlight w:val="none"/>
                <w:lang w:eastAsia="zh-Hans"/>
              </w:rPr>
            </w:pPr>
            <w:r>
              <w:rPr>
                <w:rFonts w:hint="eastAsia" w:ascii="宋体" w:hAnsi="宋体" w:eastAsia="宋体"/>
                <w:color w:val="auto"/>
                <w:szCs w:val="21"/>
                <w:highlight w:val="none"/>
                <w:lang w:val="zh-CN"/>
              </w:rPr>
              <w:t>收取比例：</w:t>
            </w:r>
            <w:r>
              <w:rPr>
                <w:rFonts w:hint="eastAsia" w:ascii="宋体" w:hAnsi="宋体" w:eastAsia="宋体"/>
                <w:color w:val="auto"/>
                <w:szCs w:val="21"/>
                <w:highlight w:val="none"/>
                <w:lang w:val="en-US" w:eastAsia="zh-CN"/>
              </w:rPr>
              <w:t>¥100,000.00元（人民币壹拾万）</w:t>
            </w:r>
            <w:r>
              <w:rPr>
                <w:rFonts w:hint="eastAsia" w:ascii="宋体" w:hAnsi="宋体" w:eastAsia="宋体"/>
                <w:color w:val="auto"/>
                <w:szCs w:val="21"/>
                <w:highlight w:val="none"/>
                <w:lang w:val="zh-CN"/>
              </w:rPr>
              <w:t>。</w:t>
            </w:r>
          </w:p>
          <w:p w14:paraId="0C8C7E82">
            <w:pPr>
              <w:rPr>
                <w:rFonts w:ascii="宋体" w:hAnsi="宋体" w:eastAsia="宋体"/>
                <w:color w:val="auto"/>
                <w:szCs w:val="21"/>
                <w:highlight w:val="none"/>
                <w:lang w:val="zh-CN"/>
              </w:rPr>
            </w:pPr>
            <w:r>
              <w:rPr>
                <w:rFonts w:ascii="宋体" w:hAnsi="宋体" w:eastAsia="宋体"/>
                <w:color w:val="auto"/>
                <w:szCs w:val="21"/>
                <w:highlight w:val="none"/>
                <w:lang w:val="zh-CN"/>
              </w:rPr>
              <w:t>说明：</w:t>
            </w:r>
          </w:p>
          <w:p w14:paraId="2A866C39">
            <w:pPr>
              <w:rPr>
                <w:rFonts w:ascii="宋体" w:hAnsi="宋体" w:eastAsia="宋体"/>
                <w:color w:val="auto"/>
                <w:szCs w:val="21"/>
                <w:highlight w:val="none"/>
                <w:lang w:val="zh-CN"/>
              </w:rPr>
            </w:pPr>
            <w:r>
              <w:rPr>
                <w:rFonts w:ascii="宋体" w:hAnsi="宋体" w:eastAsia="宋体"/>
                <w:color w:val="auto"/>
                <w:szCs w:val="21"/>
                <w:highlight w:val="none"/>
                <w:lang w:val="zh-CN"/>
              </w:rPr>
              <w:t>1、</w:t>
            </w:r>
            <w:r>
              <w:rPr>
                <w:rFonts w:hint="eastAsia" w:ascii="宋体" w:hAnsi="宋体" w:eastAsia="宋体"/>
                <w:color w:val="auto"/>
                <w:szCs w:val="21"/>
                <w:highlight w:val="none"/>
                <w:lang w:val="zh-CN"/>
              </w:rPr>
              <w:t>中标人</w:t>
            </w:r>
            <w:r>
              <w:rPr>
                <w:rFonts w:ascii="宋体" w:hAnsi="宋体" w:eastAsia="宋体"/>
                <w:color w:val="auto"/>
                <w:szCs w:val="21"/>
                <w:highlight w:val="none"/>
                <w:lang w:val="zh-CN"/>
              </w:rPr>
              <w:t>须在签订采购合同后10日内，向采购人提交履约保证金或出具相等担保额度的履约</w:t>
            </w:r>
            <w:r>
              <w:rPr>
                <w:rFonts w:hint="eastAsia" w:ascii="宋体" w:hAnsi="宋体" w:eastAsia="宋体"/>
                <w:color w:val="auto"/>
                <w:szCs w:val="21"/>
                <w:highlight w:val="none"/>
                <w:lang w:val="zh-CN"/>
              </w:rPr>
              <w:t>担</w:t>
            </w:r>
            <w:r>
              <w:rPr>
                <w:rFonts w:ascii="宋体" w:hAnsi="宋体" w:eastAsia="宋体"/>
                <w:color w:val="auto"/>
                <w:szCs w:val="21"/>
                <w:highlight w:val="none"/>
                <w:lang w:val="zh-CN"/>
              </w:rPr>
              <w:t>保</w:t>
            </w:r>
            <w:r>
              <w:rPr>
                <w:rFonts w:hint="eastAsia" w:ascii="宋体" w:hAnsi="宋体" w:eastAsia="宋体"/>
                <w:color w:val="auto"/>
                <w:szCs w:val="21"/>
                <w:highlight w:val="none"/>
                <w:lang w:val="zh-CN"/>
              </w:rPr>
              <w:t>函</w:t>
            </w:r>
            <w:r>
              <w:rPr>
                <w:rFonts w:ascii="宋体" w:hAnsi="宋体" w:eastAsia="宋体"/>
                <w:color w:val="auto"/>
                <w:szCs w:val="21"/>
                <w:highlight w:val="none"/>
                <w:lang w:val="zh-CN"/>
              </w:rPr>
              <w:t>。</w:t>
            </w:r>
          </w:p>
          <w:p w14:paraId="6FD502B0">
            <w:pPr>
              <w:rPr>
                <w:rFonts w:ascii="宋体" w:hAnsi="宋体" w:eastAsia="宋体"/>
                <w:color w:val="auto"/>
                <w:szCs w:val="21"/>
                <w:highlight w:val="none"/>
                <w:lang w:val="zh-CN"/>
              </w:rPr>
            </w:pPr>
            <w:r>
              <w:rPr>
                <w:rFonts w:ascii="宋体" w:hAnsi="宋体" w:eastAsia="宋体"/>
                <w:color w:val="auto"/>
                <w:szCs w:val="21"/>
                <w:highlight w:val="none"/>
                <w:lang w:val="zh-CN"/>
              </w:rPr>
              <w:t>2、</w:t>
            </w:r>
            <w:r>
              <w:rPr>
                <w:rFonts w:hint="eastAsia" w:ascii="宋体" w:hAnsi="宋体" w:eastAsia="宋体"/>
                <w:color w:val="auto"/>
                <w:szCs w:val="21"/>
                <w:highlight w:val="none"/>
                <w:lang w:val="zh-CN"/>
              </w:rPr>
              <w:t>中标人</w:t>
            </w:r>
            <w:r>
              <w:rPr>
                <w:rFonts w:ascii="宋体" w:hAnsi="宋体" w:eastAsia="宋体"/>
                <w:color w:val="auto"/>
                <w:szCs w:val="21"/>
                <w:highlight w:val="none"/>
                <w:lang w:val="zh-CN"/>
              </w:rPr>
              <w:t>因自身原因不能按照招标文件规定签订合同或者没有有效执行合同的，采购人有权没收履约保证金并终止合同。</w:t>
            </w:r>
          </w:p>
          <w:p w14:paraId="0BF8AF72">
            <w:pPr>
              <w:rPr>
                <w:rFonts w:ascii="宋体" w:hAnsi="宋体" w:eastAsia="宋体"/>
                <w:color w:val="auto"/>
                <w:szCs w:val="21"/>
                <w:highlight w:val="none"/>
                <w:lang w:val="zh-CN"/>
              </w:rPr>
            </w:pPr>
            <w:r>
              <w:rPr>
                <w:rFonts w:ascii="宋体" w:hAnsi="宋体" w:eastAsia="宋体"/>
                <w:color w:val="auto"/>
                <w:szCs w:val="21"/>
                <w:highlight w:val="none"/>
                <w:lang w:val="zh-CN"/>
              </w:rPr>
              <w:t>3、</w:t>
            </w:r>
            <w:r>
              <w:rPr>
                <w:rFonts w:hint="eastAsia" w:ascii="宋体" w:hAnsi="宋体" w:eastAsia="宋体"/>
                <w:color w:val="auto"/>
                <w:szCs w:val="21"/>
                <w:highlight w:val="none"/>
                <w:lang w:val="zh-CN"/>
              </w:rPr>
              <w:t>中标人</w:t>
            </w:r>
            <w:r>
              <w:rPr>
                <w:rFonts w:ascii="宋体" w:hAnsi="宋体" w:eastAsia="宋体"/>
                <w:color w:val="auto"/>
                <w:szCs w:val="21"/>
                <w:highlight w:val="none"/>
                <w:lang w:val="zh-CN"/>
              </w:rPr>
              <w:t>派驻人员应严格按照规定认真履行职责，对</w:t>
            </w:r>
            <w:r>
              <w:rPr>
                <w:rFonts w:hint="eastAsia" w:ascii="宋体" w:hAnsi="宋体" w:eastAsia="宋体"/>
                <w:color w:val="auto"/>
                <w:szCs w:val="21"/>
                <w:highlight w:val="none"/>
                <w:lang w:val="zh-CN"/>
              </w:rPr>
              <w:t>中标人</w:t>
            </w:r>
            <w:r>
              <w:rPr>
                <w:rFonts w:ascii="宋体" w:hAnsi="宋体" w:eastAsia="宋体"/>
                <w:color w:val="auto"/>
                <w:szCs w:val="21"/>
                <w:highlight w:val="none"/>
                <w:lang w:val="zh-CN"/>
              </w:rPr>
              <w:t>派驻的工作人员违反服务规定，造成的损失由</w:t>
            </w:r>
            <w:r>
              <w:rPr>
                <w:rFonts w:hint="eastAsia" w:ascii="宋体" w:hAnsi="宋体" w:eastAsia="宋体"/>
                <w:color w:val="auto"/>
                <w:szCs w:val="21"/>
                <w:highlight w:val="none"/>
                <w:lang w:val="zh-CN"/>
              </w:rPr>
              <w:t>中标人</w:t>
            </w:r>
            <w:r>
              <w:rPr>
                <w:rFonts w:ascii="宋体" w:hAnsi="宋体" w:eastAsia="宋体"/>
                <w:color w:val="auto"/>
                <w:szCs w:val="21"/>
                <w:highlight w:val="none"/>
                <w:lang w:val="zh-CN"/>
              </w:rPr>
              <w:t>负责，损失金额超过人民币5万元或者造成不良社会影响的，采购人有权没收履约保证金或按履约保函担保额度索赔保证金并视情况终止合同。</w:t>
            </w:r>
          </w:p>
          <w:p w14:paraId="0C0F662F">
            <w:pPr>
              <w:rPr>
                <w:rFonts w:ascii="宋体" w:hAnsi="宋体" w:eastAsia="宋体" w:cs="Times New Roman"/>
                <w:kern w:val="0"/>
                <w:szCs w:val="21"/>
                <w:lang w:eastAsia="zh-Hans"/>
              </w:rPr>
            </w:pPr>
            <w:r>
              <w:rPr>
                <w:rFonts w:ascii="宋体" w:hAnsi="宋体" w:eastAsia="宋体"/>
                <w:color w:val="auto"/>
                <w:szCs w:val="21"/>
                <w:highlight w:val="none"/>
                <w:lang w:val="zh-CN"/>
              </w:rPr>
              <w:t>4、</w:t>
            </w:r>
            <w:r>
              <w:rPr>
                <w:rFonts w:hint="eastAsia" w:ascii="宋体" w:hAnsi="宋体" w:eastAsia="宋体"/>
                <w:color w:val="auto"/>
                <w:szCs w:val="21"/>
                <w:highlight w:val="none"/>
                <w:lang w:val="zh-CN"/>
              </w:rPr>
              <w:t>中标人的履约保证金在中标人按承诺完全履行合同的约定，服务期满并顺利交接后的</w:t>
            </w:r>
            <w:r>
              <w:rPr>
                <w:rFonts w:ascii="宋体" w:hAnsi="宋体" w:eastAsia="宋体"/>
                <w:color w:val="auto"/>
                <w:szCs w:val="21"/>
                <w:highlight w:val="none"/>
                <w:lang w:val="zh-CN"/>
              </w:rPr>
              <w:t>30个工作日内，由采购人以转账（支票）形式无息归还给</w:t>
            </w:r>
            <w:r>
              <w:rPr>
                <w:rFonts w:hint="eastAsia" w:ascii="宋体" w:hAnsi="宋体" w:eastAsia="宋体"/>
                <w:color w:val="auto"/>
                <w:szCs w:val="21"/>
                <w:highlight w:val="none"/>
                <w:lang w:val="zh-CN"/>
              </w:rPr>
              <w:t>中标人</w:t>
            </w:r>
            <w:r>
              <w:rPr>
                <w:rFonts w:ascii="宋体" w:hAnsi="宋体" w:eastAsia="宋体"/>
                <w:color w:val="auto"/>
                <w:szCs w:val="21"/>
                <w:highlight w:val="none"/>
                <w:lang w:val="zh-CN"/>
              </w:rPr>
              <w:t>或终止履约</w:t>
            </w:r>
            <w:r>
              <w:rPr>
                <w:rFonts w:hint="eastAsia" w:ascii="宋体" w:hAnsi="宋体" w:eastAsia="宋体"/>
                <w:color w:val="auto"/>
                <w:szCs w:val="21"/>
                <w:highlight w:val="none"/>
                <w:lang w:val="zh-CN"/>
              </w:rPr>
              <w:t>担</w:t>
            </w:r>
            <w:r>
              <w:rPr>
                <w:rFonts w:ascii="宋体" w:hAnsi="宋体" w:eastAsia="宋体"/>
                <w:color w:val="auto"/>
                <w:szCs w:val="21"/>
                <w:highlight w:val="none"/>
                <w:lang w:val="zh-CN"/>
              </w:rPr>
              <w:t>保函期限。</w:t>
            </w:r>
          </w:p>
        </w:tc>
      </w:tr>
      <w:bookmarkEnd w:id="20"/>
    </w:tbl>
    <w:p w14:paraId="5685938B">
      <w:pPr>
        <w:pStyle w:val="27"/>
        <w:keepLines/>
        <w:numPr>
          <w:ilvl w:val="0"/>
          <w:numId w:val="49"/>
        </w:numPr>
        <w:spacing w:before="217" w:beforeLines="50"/>
        <w:ind w:left="442" w:hanging="442"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说明</w:t>
      </w:r>
    </w:p>
    <w:p w14:paraId="5D7A1E2D">
      <w:pPr>
        <w:pStyle w:val="27"/>
        <w:widowControl/>
        <w:numPr>
          <w:ilvl w:val="3"/>
          <w:numId w:val="51"/>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总则</w:t>
      </w:r>
    </w:p>
    <w:p w14:paraId="30E486A8">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采购人、采购代理机构及投标人进行的本次</w:t>
      </w:r>
      <w:r>
        <w:rPr>
          <w:rFonts w:ascii="宋体" w:hAnsi="宋体" w:eastAsia="宋体" w:cs="Times New Roman"/>
          <w:color w:val="auto"/>
          <w:kern w:val="0"/>
          <w:szCs w:val="21"/>
          <w:lang w:eastAsia="zh-Hans"/>
        </w:rPr>
        <w:t>采购活动</w:t>
      </w:r>
      <w:r>
        <w:rPr>
          <w:rFonts w:hint="eastAsia" w:ascii="宋体" w:hAnsi="宋体" w:eastAsia="宋体" w:cs="Times New Roman"/>
          <w:color w:val="auto"/>
          <w:kern w:val="0"/>
          <w:szCs w:val="21"/>
          <w:lang w:eastAsia="zh-Hans"/>
        </w:rPr>
        <w:t>参考</w:t>
      </w:r>
      <w:r>
        <w:rPr>
          <w:rFonts w:ascii="宋体" w:hAnsi="宋体" w:eastAsia="宋体" w:cs="Times New Roman"/>
          <w:color w:val="auto"/>
          <w:kern w:val="0"/>
          <w:szCs w:val="21"/>
          <w:lang w:eastAsia="zh-Hans"/>
        </w:rPr>
        <w:t>《中华人</w:t>
      </w:r>
      <w:r>
        <w:rPr>
          <w:rFonts w:ascii="宋体" w:hAnsi="宋体" w:eastAsia="宋体" w:cs="Times New Roman"/>
          <w:kern w:val="0"/>
          <w:szCs w:val="21"/>
          <w:lang w:eastAsia="zh-Hans"/>
        </w:rPr>
        <w:t>民共和国政府采购法》及其配套的法规、规章、政策。</w:t>
      </w:r>
    </w:p>
    <w:p w14:paraId="4A0E9A7F">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投标人应仔细阅读本项目招标公告及招标文件的所有内容（包括变更、补充、澄清以及修改等，且均为招标文件的组成部分），按照招标文件要求以及格式编制投标文件，并保证其真实性，否则一切后果自负。</w:t>
      </w:r>
    </w:p>
    <w:p w14:paraId="2D49CE35">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本次公开招标项目，是以招标公告的方式邀请非特定的投标人参加投标。</w:t>
      </w:r>
    </w:p>
    <w:p w14:paraId="03789974">
      <w:pPr>
        <w:pStyle w:val="27"/>
        <w:widowControl/>
        <w:numPr>
          <w:ilvl w:val="3"/>
          <w:numId w:val="51"/>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适用范围</w:t>
      </w:r>
    </w:p>
    <w:p w14:paraId="44A3B495">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本招标文件仅适用于本次招标公告中所涉及的项目和内容。</w:t>
      </w:r>
    </w:p>
    <w:p w14:paraId="57538FDE">
      <w:pPr>
        <w:pStyle w:val="27"/>
        <w:widowControl/>
        <w:numPr>
          <w:ilvl w:val="3"/>
          <w:numId w:val="51"/>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进口产品</w:t>
      </w:r>
    </w:p>
    <w:p w14:paraId="3BC32C63">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若本项目允许采购进口产品，供应商应保证所投产品可履行合法报通关手续进入中国关境内。</w:t>
      </w:r>
    </w:p>
    <w:p w14:paraId="498AABA7">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若本项目不允许采购进口产品，如供应商所投产品为进口产品，其响应将被认定为响应无效。</w:t>
      </w:r>
    </w:p>
    <w:p w14:paraId="67E80FC4">
      <w:pPr>
        <w:pStyle w:val="27"/>
        <w:widowControl/>
        <w:numPr>
          <w:ilvl w:val="3"/>
          <w:numId w:val="51"/>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投标的费用</w:t>
      </w:r>
    </w:p>
    <w:p w14:paraId="4CB1B3D6">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不论投标结果如何，投标人应承担所有与准备和参加投标有关的费用。采购代理机构和采购人均无义务和责任承担相关费用。</w:t>
      </w:r>
    </w:p>
    <w:p w14:paraId="584CE638">
      <w:pPr>
        <w:pStyle w:val="27"/>
        <w:widowControl/>
        <w:numPr>
          <w:ilvl w:val="3"/>
          <w:numId w:val="51"/>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以联合体形式投标的，应符合以下规定：</w:t>
      </w:r>
    </w:p>
    <w:p w14:paraId="4F4BC43C">
      <w:pPr>
        <w:pStyle w:val="27"/>
        <w:widowControl/>
        <w:numPr>
          <w:ilvl w:val="0"/>
          <w:numId w:val="52"/>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联合体各方均应当满足《中华人民共和国政府采购法》第二十二条规定的条件，并在投标文件中提供联合体各方的相关证明材料。</w:t>
      </w:r>
    </w:p>
    <w:p w14:paraId="450E482B">
      <w:pPr>
        <w:pStyle w:val="27"/>
        <w:widowControl/>
        <w:numPr>
          <w:ilvl w:val="0"/>
          <w:numId w:val="52"/>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14:paraId="4E04BAEA">
      <w:pPr>
        <w:pStyle w:val="27"/>
        <w:widowControl/>
        <w:numPr>
          <w:ilvl w:val="0"/>
          <w:numId w:val="52"/>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对于需交投标保证金的，以牵头方名义缴纳。</w:t>
      </w:r>
    </w:p>
    <w:p w14:paraId="3220C318">
      <w:pPr>
        <w:pStyle w:val="27"/>
        <w:widowControl/>
        <w:numPr>
          <w:ilvl w:val="0"/>
          <w:numId w:val="52"/>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联合体成员存在不良信用记录的，视同联合体存在不良信用记录。</w:t>
      </w:r>
    </w:p>
    <w:p w14:paraId="12F91C66">
      <w:pPr>
        <w:pStyle w:val="27"/>
        <w:widowControl/>
        <w:numPr>
          <w:ilvl w:val="0"/>
          <w:numId w:val="52"/>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3F7EAF21">
      <w:pPr>
        <w:pStyle w:val="27"/>
        <w:widowControl/>
        <w:numPr>
          <w:ilvl w:val="0"/>
          <w:numId w:val="52"/>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联合体各方应当共同与采购人签订采购合同，就合同约定的事项对采购人承担连带责任。</w:t>
      </w:r>
    </w:p>
    <w:p w14:paraId="7A114DF7">
      <w:pPr>
        <w:pStyle w:val="27"/>
        <w:widowControl/>
        <w:numPr>
          <w:ilvl w:val="3"/>
          <w:numId w:val="51"/>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关联企业投标说明</w:t>
      </w:r>
    </w:p>
    <w:p w14:paraId="48228F9A">
      <w:pPr>
        <w:pStyle w:val="27"/>
        <w:widowControl/>
        <w:numPr>
          <w:ilvl w:val="0"/>
          <w:numId w:val="53"/>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对于不接受联合体投标的采购项目（采购包）：法定代表人或单位负责人为同一个人或者存在直接控股、管理关系的不同供应商，不得同时参加同一项目或同一采购包的投标。如同时参加，则其投标将被拒绝。</w:t>
      </w:r>
    </w:p>
    <w:p w14:paraId="78C37400">
      <w:pPr>
        <w:pStyle w:val="27"/>
        <w:widowControl/>
        <w:numPr>
          <w:ilvl w:val="0"/>
          <w:numId w:val="53"/>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14:paraId="7D4617FC">
      <w:pPr>
        <w:pStyle w:val="27"/>
        <w:widowControl/>
        <w:numPr>
          <w:ilvl w:val="3"/>
          <w:numId w:val="51"/>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关于中小微企业投标</w:t>
      </w:r>
    </w:p>
    <w:p w14:paraId="051325A6">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中小微企业响应是指在政府采购活动中，供应商提供的货物均由中小微企业制造、工程均由中小微企业承建或者服务均由中小微企业承接，并在</w:t>
      </w:r>
      <w:r>
        <w:rPr>
          <w:rFonts w:hint="eastAsia" w:ascii="宋体" w:hAnsi="宋体" w:eastAsia="宋体" w:cs="Times New Roman"/>
          <w:kern w:val="0"/>
          <w:szCs w:val="21"/>
          <w:lang w:eastAsia="zh-Hans"/>
        </w:rPr>
        <w:t>投标</w:t>
      </w:r>
      <w:r>
        <w:rPr>
          <w:rFonts w:ascii="宋体" w:hAnsi="宋体" w:eastAsia="宋体" w:cs="Times New Roman"/>
          <w:kern w:val="0"/>
          <w:szCs w:val="21"/>
          <w:lang w:eastAsia="zh-Hans"/>
        </w:rPr>
        <w:t>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中小企业划分见《关于印发中小企业划型标准规定的通知》（工信部联企业〔2011〕300号)。</w:t>
      </w:r>
    </w:p>
    <w:p w14:paraId="4A97F199">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14:paraId="421C5F70">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14:paraId="558611E5">
      <w:pPr>
        <w:pStyle w:val="27"/>
        <w:widowControl/>
        <w:numPr>
          <w:ilvl w:val="3"/>
          <w:numId w:val="51"/>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纪律与保密事项</w:t>
      </w:r>
    </w:p>
    <w:p w14:paraId="48F6C3D4">
      <w:pPr>
        <w:pStyle w:val="27"/>
        <w:widowControl/>
        <w:numPr>
          <w:ilvl w:val="0"/>
          <w:numId w:val="54"/>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投标人不得相互串通投标报价，不得妨碍其他投标人的公平竞争，不得损害采购人或其他投标人的合法权益，投标人不得以向采购人、评标委员会成员行贿或者采取其他不正当手段谋取中标。</w:t>
      </w:r>
    </w:p>
    <w:p w14:paraId="53FAF0A0">
      <w:pPr>
        <w:pStyle w:val="27"/>
        <w:widowControl/>
        <w:numPr>
          <w:ilvl w:val="0"/>
          <w:numId w:val="54"/>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在确定</w:t>
      </w:r>
      <w:r>
        <w:rPr>
          <w:rFonts w:hint="eastAsia" w:ascii="宋体" w:hAnsi="宋体" w:eastAsia="宋体" w:cs="Times New Roman"/>
          <w:kern w:val="0"/>
          <w:szCs w:val="21"/>
          <w:lang w:eastAsia="zh-CN"/>
        </w:rPr>
        <w:t>中标人</w:t>
      </w:r>
      <w:r>
        <w:rPr>
          <w:rFonts w:ascii="宋体" w:hAnsi="宋体" w:eastAsia="宋体" w:cs="Times New Roman"/>
          <w:kern w:val="0"/>
          <w:szCs w:val="21"/>
          <w:lang w:eastAsia="zh-Hans"/>
        </w:rPr>
        <w:t>之前，投标人不得与采购人就投标价格、投标方案等实质性内容进行谈判，也不得私下接触评标委员会成员。</w:t>
      </w:r>
    </w:p>
    <w:p w14:paraId="5CEE174B">
      <w:pPr>
        <w:pStyle w:val="27"/>
        <w:widowControl/>
        <w:numPr>
          <w:ilvl w:val="3"/>
          <w:numId w:val="51"/>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语言文字以及度量衡单位</w:t>
      </w:r>
    </w:p>
    <w:p w14:paraId="62EC4C2E">
      <w:pPr>
        <w:pStyle w:val="27"/>
        <w:widowControl/>
        <w:numPr>
          <w:ilvl w:val="0"/>
          <w:numId w:val="55"/>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690367C3">
      <w:pPr>
        <w:pStyle w:val="27"/>
        <w:widowControl/>
        <w:numPr>
          <w:ilvl w:val="0"/>
          <w:numId w:val="55"/>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除非招标文件的技术规格中另有规定，投标人在投标文件中及其与采购人和采购代理机构的所有往来文件中的计量单位均应采用中华人民共和国法定计量单位。</w:t>
      </w:r>
    </w:p>
    <w:p w14:paraId="456A1BBD">
      <w:pPr>
        <w:pStyle w:val="27"/>
        <w:widowControl/>
        <w:numPr>
          <w:ilvl w:val="0"/>
          <w:numId w:val="55"/>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投标人所提供的货物和服务均应以人民币报价，货币单位：元。</w:t>
      </w:r>
    </w:p>
    <w:p w14:paraId="12B6F9B4">
      <w:pPr>
        <w:pStyle w:val="27"/>
        <w:widowControl/>
        <w:numPr>
          <w:ilvl w:val="3"/>
          <w:numId w:val="51"/>
        </w:numPr>
        <w:ind w:left="284" w:hanging="284" w:firstLineChars="0"/>
        <w:jc w:val="left"/>
        <w:outlineLvl w:val="3"/>
        <w:rPr>
          <w:rFonts w:ascii="宋体" w:hAnsi="宋体" w:eastAsia="宋体" w:cs="Times New Roman"/>
          <w:b/>
          <w:kern w:val="0"/>
          <w:szCs w:val="21"/>
          <w:lang w:eastAsia="zh-Hans"/>
        </w:rPr>
      </w:pPr>
      <w:r>
        <w:rPr>
          <w:rFonts w:ascii="宋体" w:hAnsi="宋体" w:eastAsia="宋体" w:cs="Times New Roman"/>
          <w:b/>
          <w:kern w:val="0"/>
          <w:szCs w:val="21"/>
          <w:lang w:eastAsia="zh-Hans"/>
        </w:rPr>
        <w:t>现场踏勘（如有）</w:t>
      </w:r>
    </w:p>
    <w:p w14:paraId="6B7921E8">
      <w:pPr>
        <w:pStyle w:val="27"/>
        <w:widowControl/>
        <w:numPr>
          <w:ilvl w:val="0"/>
          <w:numId w:val="56"/>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招标文件规定组织踏勘现场的，采购人按招标文件规定的时间、地点组织投标人踏勘项目现场。</w:t>
      </w:r>
    </w:p>
    <w:p w14:paraId="3FC0313F">
      <w:pPr>
        <w:pStyle w:val="27"/>
        <w:widowControl/>
        <w:numPr>
          <w:ilvl w:val="0"/>
          <w:numId w:val="56"/>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投标人自行承担踏勘现场发生的责任、风险和自身费用。</w:t>
      </w:r>
    </w:p>
    <w:p w14:paraId="2394A03C">
      <w:pPr>
        <w:pStyle w:val="27"/>
        <w:widowControl/>
        <w:numPr>
          <w:ilvl w:val="0"/>
          <w:numId w:val="56"/>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采购人在踏勘现场中介绍的资料和数据等，只是为了使投标人能够利用招标人现有的资料。招标人对投标人由此而作出的推论、解释和结论概不负责。</w:t>
      </w:r>
    </w:p>
    <w:p w14:paraId="17D3F158">
      <w:pPr>
        <w:pStyle w:val="27"/>
        <w:widowControl/>
        <w:numPr>
          <w:ilvl w:val="0"/>
          <w:numId w:val="49"/>
        </w:numPr>
        <w:spacing w:before="217" w:beforeLines="50"/>
        <w:ind w:left="442" w:hanging="442"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招标文件的澄清和修改</w:t>
      </w:r>
    </w:p>
    <w:p w14:paraId="230598D3">
      <w:pPr>
        <w:pStyle w:val="27"/>
        <w:widowControl/>
        <w:numPr>
          <w:ilvl w:val="0"/>
          <w:numId w:val="57"/>
        </w:numPr>
        <w:ind w:firstLineChars="0"/>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14:paraId="04923C14">
      <w:pPr>
        <w:pStyle w:val="27"/>
        <w:widowControl/>
        <w:numPr>
          <w:ilvl w:val="0"/>
          <w:numId w:val="57"/>
        </w:numPr>
        <w:ind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14:paraId="3E1D64C7">
      <w:pPr>
        <w:pStyle w:val="27"/>
        <w:widowControl/>
        <w:numPr>
          <w:ilvl w:val="0"/>
          <w:numId w:val="57"/>
        </w:numPr>
        <w:ind w:firstLineChars="0"/>
        <w:jc w:val="left"/>
        <w:rPr>
          <w:rFonts w:ascii="Calibri" w:hAnsi="Calibri" w:eastAsia="宋体" w:cs="Times New Roman"/>
          <w:kern w:val="0"/>
          <w:sz w:val="20"/>
          <w:szCs w:val="20"/>
          <w:lang w:eastAsia="zh-Hans"/>
        </w:rPr>
      </w:pPr>
      <w:r>
        <w:rPr>
          <w:rFonts w:ascii="Calibri" w:hAnsi="Calibri" w:eastAsia="宋体" w:cs="Times New Roman"/>
          <w:kern w:val="0"/>
          <w:szCs w:val="21"/>
          <w:lang w:eastAsia="zh-Hans"/>
        </w:rPr>
        <w:t>投标人在规定的时间内未对招标文件提出疑问、质疑或要求澄清的，将视其为无异议。对招标文件中描述有歧义或前后不一致的地方，评标委员会有权进行评判，但对同一条款的评判应适用于每个投标</w:t>
      </w:r>
      <w:r>
        <w:rPr>
          <w:rFonts w:ascii="Calibri" w:hAnsi="Calibri" w:eastAsia="宋体" w:cs="Times New Roman"/>
          <w:kern w:val="0"/>
          <w:sz w:val="20"/>
          <w:szCs w:val="20"/>
          <w:lang w:eastAsia="zh-Hans"/>
        </w:rPr>
        <w:t>人。</w:t>
      </w:r>
    </w:p>
    <w:p w14:paraId="08AFF6C5">
      <w:pPr>
        <w:pStyle w:val="27"/>
        <w:widowControl/>
        <w:numPr>
          <w:ilvl w:val="0"/>
          <w:numId w:val="49"/>
        </w:numPr>
        <w:spacing w:before="217" w:beforeLines="50"/>
        <w:ind w:left="442" w:hanging="442"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投标要求</w:t>
      </w:r>
    </w:p>
    <w:p w14:paraId="197AA2EC">
      <w:pPr>
        <w:pStyle w:val="27"/>
        <w:widowControl/>
        <w:numPr>
          <w:ilvl w:val="0"/>
          <w:numId w:val="58"/>
        </w:numPr>
        <w:ind w:left="284" w:hanging="284" w:firstLineChars="0"/>
        <w:jc w:val="left"/>
        <w:outlineLvl w:val="3"/>
        <w:rPr>
          <w:rFonts w:ascii="Calibri" w:hAnsi="Calibri" w:eastAsia="宋体" w:cs="Times New Roman"/>
          <w:kern w:val="0"/>
          <w:szCs w:val="21"/>
          <w:lang w:eastAsia="zh-Hans"/>
        </w:rPr>
      </w:pPr>
      <w:r>
        <w:rPr>
          <w:rFonts w:ascii="Calibri" w:hAnsi="Calibri" w:eastAsia="宋体" w:cs="Times New Roman"/>
          <w:b/>
          <w:kern w:val="0"/>
          <w:szCs w:val="21"/>
          <w:lang w:eastAsia="zh-Hans"/>
        </w:rPr>
        <w:t>投标文件的制作</w:t>
      </w:r>
    </w:p>
    <w:p w14:paraId="50E51ECF">
      <w:pPr>
        <w:pStyle w:val="27"/>
        <w:widowControl/>
        <w:numPr>
          <w:ilvl w:val="0"/>
          <w:numId w:val="59"/>
        </w:numPr>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应按照“第二章采购需求”的需求内容、责任范围以及合同条款进行报价。并按“开标一览表”和“分项报价表”规定的格式报出总价和分项价格。投标总价中不得包含招标文件要求以外的内容，否则，在评审时不予核减。</w:t>
      </w:r>
    </w:p>
    <w:p w14:paraId="0DB8A8D7">
      <w:pPr>
        <w:pStyle w:val="27"/>
        <w:widowControl/>
        <w:numPr>
          <w:ilvl w:val="0"/>
          <w:numId w:val="59"/>
        </w:numPr>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投标报价包括本项目采购需求和投入使用的所有费用，包括但不限于主件、标准附件、备品备件、施工、服务、专用工具、安装、调试、检验、培训、运输、保险、税款等。</w:t>
      </w:r>
    </w:p>
    <w:p w14:paraId="129BC949">
      <w:pPr>
        <w:pStyle w:val="27"/>
        <w:widowControl/>
        <w:numPr>
          <w:ilvl w:val="0"/>
          <w:numId w:val="59"/>
        </w:numPr>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如有对多个采购包投标的，要对每个采购包独立制作投标文件。</w:t>
      </w:r>
    </w:p>
    <w:p w14:paraId="4B4BD946">
      <w:pPr>
        <w:pStyle w:val="27"/>
        <w:widowControl/>
        <w:numPr>
          <w:ilvl w:val="0"/>
          <w:numId w:val="59"/>
        </w:numPr>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招标文件中，凡标有“</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的地方均为实质性响应条款，投标人若有一项带“</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的条款未响应或不满足，将按无效投标处理。</w:t>
      </w:r>
    </w:p>
    <w:p w14:paraId="18C2CE35">
      <w:pPr>
        <w:pStyle w:val="27"/>
        <w:widowControl/>
        <w:numPr>
          <w:ilvl w:val="0"/>
          <w:numId w:val="59"/>
        </w:numPr>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投标人必须按招标文件指定的格式填写各种报价，各报价应计算正确。除在招标文件另有规定外（如：报折扣、报优惠率等），计量单位应使用中华人民共和国法定计量单位，以人民币填报所有报价。</w:t>
      </w:r>
    </w:p>
    <w:p w14:paraId="6AB62761">
      <w:pPr>
        <w:pStyle w:val="27"/>
        <w:widowControl/>
        <w:numPr>
          <w:ilvl w:val="0"/>
          <w:numId w:val="59"/>
        </w:numPr>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投标文件以及投标人与采购人、代理机构就有关投标的往来函电均应使用中文。投标人提交的支持性文件和印制的文件可以用另一种语言，但相应内容应翻译成中文，在解释投标文件时以中文文本为准。</w:t>
      </w:r>
    </w:p>
    <w:p w14:paraId="6D649E2E">
      <w:pPr>
        <w:pStyle w:val="27"/>
        <w:widowControl/>
        <w:numPr>
          <w:ilvl w:val="0"/>
          <w:numId w:val="59"/>
        </w:numPr>
        <w:tabs>
          <w:tab w:val="left" w:pos="709"/>
        </w:tabs>
        <w:ind w:left="567" w:hanging="567" w:firstLineChars="0"/>
        <w:jc w:val="left"/>
        <w:rPr>
          <w:rFonts w:ascii="宋体" w:hAnsi="宋体" w:eastAsia="宋体" w:cs="Times New Roman"/>
          <w:kern w:val="0"/>
          <w:szCs w:val="21"/>
          <w:shd w:val="clear" w:color="auto" w:fill="FFC000"/>
          <w:lang w:eastAsia="zh-Hans"/>
        </w:rPr>
      </w:pPr>
      <w:r>
        <w:rPr>
          <w:rFonts w:ascii="宋体" w:hAnsi="宋体" w:eastAsia="宋体" w:cs="Times New Roman"/>
          <w:kern w:val="0"/>
          <w:szCs w:val="21"/>
          <w:lang w:eastAsia="zh-Hans"/>
        </w:rPr>
        <w:t>投标人应按招标文件的规定及附件要求的内容和格式完整地填写和提供资料。投标人必须对投标文件所提供的全部资料的真实性承担法律责任，并无条件接受采购人和监督管理部门对其中任何资料进行核实（核对原件）的要求。采购人核对发现有不一致或供应商无正当理由不按时提供原件的，应当书面知会代理机构，并书面报告</w:t>
      </w:r>
      <w:r>
        <w:rPr>
          <w:rFonts w:hint="eastAsia" w:ascii="宋体" w:hAnsi="宋体" w:eastAsia="宋体" w:cs="Times New Roman"/>
          <w:kern w:val="0"/>
          <w:szCs w:val="21"/>
          <w:lang w:val="en-US" w:eastAsia="zh-CN"/>
        </w:rPr>
        <w:t>采购人有关</w:t>
      </w:r>
      <w:r>
        <w:rPr>
          <w:rFonts w:hint="eastAsia" w:ascii="宋体" w:hAnsi="宋体" w:eastAsia="宋体" w:cs="Times New Roman"/>
          <w:kern w:val="0"/>
          <w:szCs w:val="21"/>
          <w:lang w:eastAsia="zh-Hans"/>
        </w:rPr>
        <w:t>监督管理部门</w:t>
      </w:r>
      <w:r>
        <w:rPr>
          <w:rFonts w:ascii="宋体" w:hAnsi="宋体" w:eastAsia="宋体" w:cs="Times New Roman"/>
          <w:kern w:val="0"/>
          <w:szCs w:val="21"/>
          <w:lang w:eastAsia="zh-Hans"/>
        </w:rPr>
        <w:t>。</w:t>
      </w:r>
    </w:p>
    <w:p w14:paraId="204880C2">
      <w:pPr>
        <w:pStyle w:val="27"/>
        <w:widowControl/>
        <w:numPr>
          <w:ilvl w:val="0"/>
          <w:numId w:val="58"/>
        </w:numPr>
        <w:ind w:left="284" w:hanging="284" w:firstLineChars="0"/>
        <w:jc w:val="left"/>
        <w:outlineLvl w:val="3"/>
        <w:rPr>
          <w:rFonts w:ascii="Calibri" w:hAnsi="Calibri" w:eastAsia="宋体" w:cs="Times New Roman"/>
          <w:kern w:val="0"/>
          <w:sz w:val="20"/>
          <w:szCs w:val="20"/>
          <w:lang w:eastAsia="zh-Hans"/>
        </w:rPr>
      </w:pPr>
      <w:r>
        <w:rPr>
          <w:rFonts w:hint="eastAsia" w:ascii="Calibri" w:hAnsi="Calibri" w:eastAsia="宋体" w:cs="Times New Roman"/>
          <w:b/>
          <w:kern w:val="0"/>
          <w:szCs w:val="21"/>
          <w:lang w:eastAsia="zh-Hans"/>
        </w:rPr>
        <w:t>投标文件的式样和签署</w:t>
      </w:r>
    </w:p>
    <w:p w14:paraId="089CD0AB">
      <w:pPr>
        <w:pStyle w:val="27"/>
        <w:widowControl/>
        <w:numPr>
          <w:ilvl w:val="0"/>
          <w:numId w:val="60"/>
        </w:numPr>
        <w:ind w:firstLineChars="0"/>
        <w:jc w:val="left"/>
        <w:outlineLvl w:val="3"/>
        <w:rPr>
          <w:rFonts w:ascii="宋体" w:hAnsi="宋体" w:eastAsia="宋体" w:cs="Times New Roman"/>
          <w:kern w:val="0"/>
          <w:szCs w:val="21"/>
          <w:lang w:eastAsia="zh-Hans"/>
        </w:rPr>
      </w:pPr>
      <w:r>
        <w:rPr>
          <w:rFonts w:hint="eastAsia" w:ascii="宋体" w:hAnsi="宋体" w:eastAsia="宋体" w:cs="Times New Roman"/>
          <w:kern w:val="0"/>
          <w:szCs w:val="21"/>
          <w:lang w:eastAsia="zh-Hans"/>
        </w:rPr>
        <w:t>投标文件的式样：投标人应准备一份投标文件正本、电子投标文件、唱标信封和</w:t>
      </w:r>
      <w:r>
        <w:rPr>
          <w:rFonts w:ascii="宋体" w:hAnsi="宋体" w:eastAsia="宋体" w:cs="Times New Roman"/>
          <w:b/>
          <w:bCs/>
          <w:kern w:val="0"/>
          <w:szCs w:val="21"/>
          <w:u w:val="single"/>
          <w:lang w:eastAsia="zh-Hans"/>
        </w:rPr>
        <w:t>详见须知前附表</w:t>
      </w:r>
      <w:r>
        <w:rPr>
          <w:rFonts w:ascii="宋体" w:hAnsi="宋体" w:eastAsia="宋体" w:cs="Times New Roman"/>
          <w:kern w:val="0"/>
          <w:szCs w:val="21"/>
          <w:lang w:eastAsia="zh-Hans"/>
        </w:rPr>
        <w:t>中规定数目的副本，投标文件的副本可采用正本的复印件。每套投标文件须清楚地标明“正本”或“副本”。若副本与正本不符，以正本为准。</w:t>
      </w:r>
    </w:p>
    <w:p w14:paraId="787AF337">
      <w:pPr>
        <w:pStyle w:val="27"/>
        <w:widowControl/>
        <w:numPr>
          <w:ilvl w:val="0"/>
          <w:numId w:val="60"/>
        </w:numPr>
        <w:ind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投标文件的签署：</w:t>
      </w:r>
    </w:p>
    <w:p w14:paraId="0129EC5D">
      <w:pPr>
        <w:pStyle w:val="27"/>
        <w:widowControl/>
        <w:numPr>
          <w:ilvl w:val="0"/>
          <w:numId w:val="61"/>
        </w:numPr>
        <w:ind w:left="567" w:hanging="567"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文件的正本需打印或用不褪色墨水书写，投标文件要求签名的由法定代表人或经其正式授权的代表签字，投标文件要求盖章的需加盖投标人公章，副本可由正本复印而成，与正本具有同等法律效力。授权代表须将以书面形式出具的《法定代表人授权委托书》附在投标文件中。</w:t>
      </w:r>
    </w:p>
    <w:p w14:paraId="397306BD">
      <w:pPr>
        <w:pStyle w:val="27"/>
        <w:widowControl/>
        <w:numPr>
          <w:ilvl w:val="0"/>
          <w:numId w:val="61"/>
        </w:numPr>
        <w:ind w:left="567" w:hanging="567"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投标文件中的任何重要的插字、涂改和增删，必须由法定代表人或经其正式授权的代表在旁边签署</w:t>
      </w:r>
    </w:p>
    <w:p w14:paraId="6E2EE6EA">
      <w:pPr>
        <w:pStyle w:val="27"/>
        <w:widowControl/>
        <w:numPr>
          <w:ilvl w:val="0"/>
          <w:numId w:val="60"/>
        </w:numPr>
        <w:ind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投标文件的“正本”及所有“副本”的封面及骑缝均须由投标人加盖投标人公章。</w:t>
      </w:r>
    </w:p>
    <w:p w14:paraId="365508CF">
      <w:pPr>
        <w:widowControl/>
        <w:jc w:val="left"/>
        <w:outlineLvl w:val="3"/>
        <w:rPr>
          <w:rFonts w:ascii="Calibri" w:hAnsi="Calibri" w:eastAsia="宋体" w:cs="Times New Roman"/>
          <w:kern w:val="0"/>
          <w:szCs w:val="21"/>
        </w:rPr>
      </w:pPr>
    </w:p>
    <w:p w14:paraId="3E910E9D">
      <w:pPr>
        <w:pStyle w:val="27"/>
        <w:widowControl/>
        <w:numPr>
          <w:ilvl w:val="0"/>
          <w:numId w:val="58"/>
        </w:numPr>
        <w:ind w:left="284" w:hanging="284" w:firstLineChars="0"/>
        <w:jc w:val="left"/>
        <w:outlineLvl w:val="3"/>
        <w:rPr>
          <w:rFonts w:ascii="宋体" w:hAnsi="宋体" w:eastAsia="宋体"/>
          <w:b/>
          <w:bCs/>
          <w:color w:val="000000" w:themeColor="text1"/>
          <w:szCs w:val="21"/>
          <w14:textFill>
            <w14:solidFill>
              <w14:schemeClr w14:val="tx1"/>
            </w14:solidFill>
          </w14:textFill>
        </w:rPr>
      </w:pPr>
      <w:r>
        <w:rPr>
          <w:rFonts w:hint="eastAsia" w:ascii="Calibri" w:hAnsi="Calibri" w:eastAsia="宋体" w:cs="Times New Roman"/>
          <w:b/>
          <w:kern w:val="0"/>
          <w:szCs w:val="21"/>
          <w:lang w:eastAsia="zh-Hans"/>
        </w:rPr>
        <w:t>投标文件的递交</w:t>
      </w:r>
    </w:p>
    <w:p w14:paraId="5DEA7C0B">
      <w:pPr>
        <w:pStyle w:val="27"/>
        <w:numPr>
          <w:ilvl w:val="0"/>
          <w:numId w:val="62"/>
        </w:numPr>
        <w:ind w:firstLineChars="0"/>
        <w:rPr>
          <w:rFonts w:ascii="宋体" w:hAnsi="宋体" w:eastAsia="宋体"/>
          <w:b/>
          <w:color w:val="000000" w:themeColor="text1"/>
          <w:szCs w:val="21"/>
          <w14:textFill>
            <w14:solidFill>
              <w14:schemeClr w14:val="tx1"/>
            </w14:solidFill>
          </w14:textFill>
        </w:rPr>
      </w:pPr>
      <w:bookmarkStart w:id="21" w:name="_Toc357676131"/>
      <w:r>
        <w:rPr>
          <w:rFonts w:hint="eastAsia" w:ascii="宋体" w:hAnsi="宋体" w:eastAsia="宋体"/>
          <w:b/>
          <w:color w:val="000000" w:themeColor="text1"/>
          <w:szCs w:val="21"/>
          <w14:textFill>
            <w14:solidFill>
              <w14:schemeClr w14:val="tx1"/>
            </w14:solidFill>
          </w14:textFill>
        </w:rPr>
        <w:t>投标文件的装订、密封和标记</w:t>
      </w:r>
      <w:bookmarkEnd w:id="21"/>
    </w:p>
    <w:p w14:paraId="07A59821">
      <w:pPr>
        <w:pStyle w:val="27"/>
        <w:numPr>
          <w:ilvl w:val="0"/>
          <w:numId w:val="63"/>
        </w:numPr>
        <w:tabs>
          <w:tab w:val="left" w:pos="851"/>
        </w:tabs>
        <w:ind w:left="567" w:hanging="567" w:firstLineChars="0"/>
        <w:rPr>
          <w:rFonts w:ascii="宋体" w:hAnsi="宋体" w:eastAsia="宋体"/>
          <w:bCs/>
          <w:szCs w:val="21"/>
        </w:rPr>
      </w:pPr>
      <w:r>
        <w:rPr>
          <w:rFonts w:hint="eastAsia" w:ascii="宋体" w:hAnsi="宋体" w:eastAsia="宋体"/>
          <w:bCs/>
          <w:color w:val="000000" w:themeColor="text1"/>
          <w:szCs w:val="21"/>
          <w14:textFill>
            <w14:solidFill>
              <w14:schemeClr w14:val="tx1"/>
            </w14:solidFill>
          </w14:textFill>
        </w:rPr>
        <w:t>投标人应当对投标文件进行装订（所有文件均不允许采用活动夹方式装订），如投标人对</w:t>
      </w:r>
      <w:r>
        <w:rPr>
          <w:rFonts w:hint="eastAsia" w:ascii="宋体" w:hAnsi="宋体" w:eastAsia="宋体"/>
          <w:bCs/>
          <w:szCs w:val="21"/>
        </w:rPr>
        <w:t>招标文件多个包组进行投标的，其投标文件的编制应按每个包的要求分别装订和封装。</w:t>
      </w:r>
    </w:p>
    <w:tbl>
      <w:tblPr>
        <w:tblStyle w:val="1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5"/>
        <w:gridCol w:w="2625"/>
        <w:gridCol w:w="1720"/>
        <w:gridCol w:w="4206"/>
      </w:tblGrid>
      <w:tr w14:paraId="358CD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6" w:type="pct"/>
            <w:vAlign w:val="center"/>
          </w:tcPr>
          <w:p w14:paraId="76C9CD34">
            <w:pPr>
              <w:jc w:val="center"/>
              <w:rPr>
                <w:rFonts w:ascii="宋体" w:hAnsi="宋体" w:eastAsia="宋体"/>
                <w:b/>
                <w:szCs w:val="21"/>
              </w:rPr>
            </w:pPr>
            <w:r>
              <w:rPr>
                <w:rFonts w:hint="eastAsia" w:ascii="宋体" w:hAnsi="宋体" w:eastAsia="宋体"/>
                <w:b/>
                <w:szCs w:val="21"/>
              </w:rPr>
              <w:t>序号</w:t>
            </w:r>
          </w:p>
        </w:tc>
        <w:tc>
          <w:tcPr>
            <w:tcW w:w="1413" w:type="pct"/>
            <w:vAlign w:val="center"/>
          </w:tcPr>
          <w:p w14:paraId="36D22BF8">
            <w:pPr>
              <w:jc w:val="center"/>
              <w:rPr>
                <w:rFonts w:ascii="宋体" w:hAnsi="宋体" w:eastAsia="宋体"/>
                <w:b/>
                <w:szCs w:val="21"/>
              </w:rPr>
            </w:pPr>
            <w:r>
              <w:rPr>
                <w:rFonts w:hint="eastAsia" w:ascii="宋体" w:hAnsi="宋体" w:eastAsia="宋体"/>
                <w:b/>
                <w:szCs w:val="21"/>
              </w:rPr>
              <w:t>文件名称</w:t>
            </w:r>
          </w:p>
        </w:tc>
        <w:tc>
          <w:tcPr>
            <w:tcW w:w="926" w:type="pct"/>
            <w:vAlign w:val="center"/>
          </w:tcPr>
          <w:p w14:paraId="37ED881C">
            <w:pPr>
              <w:jc w:val="center"/>
              <w:rPr>
                <w:rFonts w:ascii="宋体" w:hAnsi="宋体" w:eastAsia="宋体"/>
                <w:b/>
                <w:szCs w:val="21"/>
              </w:rPr>
            </w:pPr>
            <w:r>
              <w:rPr>
                <w:rFonts w:hint="eastAsia" w:ascii="宋体" w:hAnsi="宋体" w:eastAsia="宋体"/>
                <w:b/>
                <w:szCs w:val="21"/>
              </w:rPr>
              <w:t>装订</w:t>
            </w:r>
          </w:p>
        </w:tc>
        <w:tc>
          <w:tcPr>
            <w:tcW w:w="2264" w:type="pct"/>
            <w:vAlign w:val="center"/>
          </w:tcPr>
          <w:p w14:paraId="2E8B6ACC">
            <w:pPr>
              <w:jc w:val="center"/>
              <w:rPr>
                <w:rFonts w:ascii="宋体" w:hAnsi="宋体" w:eastAsia="宋体"/>
                <w:b/>
                <w:szCs w:val="21"/>
              </w:rPr>
            </w:pPr>
            <w:r>
              <w:rPr>
                <w:rFonts w:hint="eastAsia" w:ascii="宋体" w:hAnsi="宋体" w:eastAsia="宋体"/>
                <w:b/>
                <w:szCs w:val="21"/>
              </w:rPr>
              <w:t>包装</w:t>
            </w:r>
          </w:p>
        </w:tc>
      </w:tr>
      <w:tr w14:paraId="2371D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14:paraId="7760F9AD">
            <w:pPr>
              <w:jc w:val="center"/>
              <w:rPr>
                <w:rFonts w:ascii="宋体" w:hAnsi="宋体" w:eastAsia="宋体"/>
                <w:szCs w:val="21"/>
              </w:rPr>
            </w:pPr>
            <w:r>
              <w:rPr>
                <w:rFonts w:hint="eastAsia" w:ascii="宋体" w:hAnsi="宋体" w:eastAsia="宋体"/>
                <w:szCs w:val="21"/>
              </w:rPr>
              <w:t>1</w:t>
            </w:r>
          </w:p>
        </w:tc>
        <w:tc>
          <w:tcPr>
            <w:tcW w:w="1413" w:type="pct"/>
            <w:vAlign w:val="center"/>
          </w:tcPr>
          <w:p w14:paraId="5E574EB8">
            <w:pPr>
              <w:jc w:val="center"/>
              <w:rPr>
                <w:rFonts w:ascii="宋体" w:hAnsi="宋体" w:eastAsia="宋体"/>
                <w:szCs w:val="21"/>
              </w:rPr>
            </w:pPr>
            <w:r>
              <w:rPr>
                <w:rFonts w:hint="eastAsia" w:ascii="宋体" w:hAnsi="宋体" w:eastAsia="宋体"/>
                <w:szCs w:val="21"/>
              </w:rPr>
              <w:t>投标文件</w:t>
            </w:r>
          </w:p>
        </w:tc>
        <w:tc>
          <w:tcPr>
            <w:tcW w:w="926" w:type="pct"/>
            <w:vAlign w:val="center"/>
          </w:tcPr>
          <w:p w14:paraId="5673BFD6">
            <w:pPr>
              <w:jc w:val="center"/>
              <w:rPr>
                <w:rFonts w:ascii="宋体" w:hAnsi="宋体" w:eastAsia="宋体"/>
                <w:szCs w:val="21"/>
              </w:rPr>
            </w:pPr>
            <w:r>
              <w:rPr>
                <w:rFonts w:hint="eastAsia" w:ascii="宋体" w:hAnsi="宋体" w:eastAsia="宋体"/>
                <w:szCs w:val="21"/>
              </w:rPr>
              <w:t>独立装订</w:t>
            </w:r>
          </w:p>
        </w:tc>
        <w:tc>
          <w:tcPr>
            <w:tcW w:w="2264" w:type="pct"/>
            <w:vAlign w:val="center"/>
          </w:tcPr>
          <w:p w14:paraId="31934A29">
            <w:pPr>
              <w:jc w:val="center"/>
              <w:rPr>
                <w:rFonts w:ascii="宋体" w:hAnsi="宋体" w:eastAsia="宋体"/>
                <w:szCs w:val="21"/>
              </w:rPr>
            </w:pPr>
            <w:r>
              <w:rPr>
                <w:rFonts w:hint="eastAsia" w:ascii="宋体" w:hAnsi="宋体" w:eastAsia="宋体"/>
                <w:szCs w:val="21"/>
              </w:rPr>
              <w:t>正本、副本一起密封包装</w:t>
            </w:r>
          </w:p>
          <w:p w14:paraId="7A90E36D">
            <w:pPr>
              <w:jc w:val="center"/>
              <w:rPr>
                <w:rFonts w:ascii="宋体" w:hAnsi="宋体" w:eastAsia="宋体"/>
                <w:szCs w:val="21"/>
              </w:rPr>
            </w:pPr>
            <w:r>
              <w:rPr>
                <w:rFonts w:hint="eastAsia" w:ascii="宋体" w:hAnsi="宋体" w:eastAsia="宋体"/>
                <w:szCs w:val="21"/>
              </w:rPr>
              <w:t>(内附电子投标文件)</w:t>
            </w:r>
          </w:p>
        </w:tc>
      </w:tr>
      <w:tr w14:paraId="486D4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396" w:type="pct"/>
            <w:vAlign w:val="center"/>
          </w:tcPr>
          <w:p w14:paraId="61AAB0B2">
            <w:pPr>
              <w:jc w:val="center"/>
              <w:rPr>
                <w:rFonts w:ascii="宋体" w:hAnsi="宋体" w:eastAsia="宋体"/>
                <w:szCs w:val="21"/>
              </w:rPr>
            </w:pPr>
            <w:r>
              <w:rPr>
                <w:rFonts w:ascii="宋体" w:hAnsi="宋体" w:eastAsia="宋体"/>
                <w:szCs w:val="21"/>
              </w:rPr>
              <w:t>2</w:t>
            </w:r>
          </w:p>
        </w:tc>
        <w:tc>
          <w:tcPr>
            <w:tcW w:w="1413" w:type="pct"/>
            <w:vAlign w:val="center"/>
          </w:tcPr>
          <w:p w14:paraId="6C498650">
            <w:pPr>
              <w:jc w:val="center"/>
              <w:rPr>
                <w:rFonts w:ascii="宋体" w:hAnsi="宋体" w:eastAsia="宋体"/>
                <w:szCs w:val="21"/>
              </w:rPr>
            </w:pPr>
            <w:r>
              <w:rPr>
                <w:rFonts w:hint="eastAsia" w:ascii="宋体" w:hAnsi="宋体" w:eastAsia="宋体"/>
                <w:szCs w:val="21"/>
              </w:rPr>
              <w:t>唱标信封</w:t>
            </w:r>
          </w:p>
        </w:tc>
        <w:tc>
          <w:tcPr>
            <w:tcW w:w="926" w:type="pct"/>
            <w:vAlign w:val="center"/>
          </w:tcPr>
          <w:p w14:paraId="5BB2893F">
            <w:pPr>
              <w:jc w:val="center"/>
              <w:rPr>
                <w:rFonts w:ascii="宋体" w:hAnsi="宋体" w:eastAsia="宋体"/>
                <w:szCs w:val="21"/>
              </w:rPr>
            </w:pPr>
            <w:r>
              <w:rPr>
                <w:rFonts w:hint="eastAsia" w:ascii="宋体" w:hAnsi="宋体" w:eastAsia="宋体"/>
                <w:szCs w:val="21"/>
              </w:rPr>
              <w:t>独立装订</w:t>
            </w:r>
          </w:p>
        </w:tc>
        <w:tc>
          <w:tcPr>
            <w:tcW w:w="2264" w:type="pct"/>
            <w:vAlign w:val="center"/>
          </w:tcPr>
          <w:p w14:paraId="6B481C29">
            <w:pPr>
              <w:jc w:val="center"/>
              <w:rPr>
                <w:rFonts w:ascii="宋体" w:hAnsi="宋体" w:eastAsia="宋体"/>
                <w:szCs w:val="21"/>
              </w:rPr>
            </w:pPr>
            <w:r>
              <w:rPr>
                <w:rFonts w:hint="eastAsia" w:ascii="宋体" w:hAnsi="宋体" w:eastAsia="宋体"/>
                <w:szCs w:val="21"/>
              </w:rPr>
              <w:t>单独密封包装</w:t>
            </w:r>
          </w:p>
        </w:tc>
      </w:tr>
    </w:tbl>
    <w:p w14:paraId="2473E1C4">
      <w:pPr>
        <w:pStyle w:val="27"/>
        <w:numPr>
          <w:ilvl w:val="0"/>
          <w:numId w:val="63"/>
        </w:numPr>
        <w:tabs>
          <w:tab w:val="left" w:pos="851"/>
        </w:tabs>
        <w:ind w:left="567" w:hanging="567" w:firstLineChars="0"/>
        <w:rPr>
          <w:rFonts w:ascii="宋体" w:hAnsi="宋体" w:eastAsia="宋体"/>
          <w:bCs/>
          <w:szCs w:val="21"/>
        </w:rPr>
      </w:pPr>
      <w:r>
        <w:rPr>
          <w:rFonts w:hint="eastAsia" w:ascii="宋体" w:hAnsi="宋体" w:eastAsia="宋体"/>
          <w:bCs/>
          <w:szCs w:val="21"/>
        </w:rPr>
        <w:t>电子投标文件</w:t>
      </w:r>
      <w:bookmarkStart w:id="22" w:name="_Hlk86740118"/>
      <w:r>
        <w:rPr>
          <w:rFonts w:hint="eastAsia" w:ascii="宋体" w:hAnsi="宋体" w:eastAsia="宋体"/>
          <w:bCs/>
          <w:szCs w:val="21"/>
        </w:rPr>
        <w:t>须同时提交以下文件</w:t>
      </w:r>
      <w:bookmarkEnd w:id="22"/>
      <w:r>
        <w:rPr>
          <w:rFonts w:hint="eastAsia" w:ascii="宋体" w:hAnsi="宋体" w:eastAsia="宋体"/>
          <w:bCs/>
          <w:szCs w:val="21"/>
        </w:rPr>
        <w:t>：</w:t>
      </w:r>
      <w:bookmarkStart w:id="23" w:name="_Hlk86740096"/>
      <w:r>
        <w:rPr>
          <w:rFonts w:hint="eastAsia" w:ascii="宋体" w:hAnsi="宋体" w:eastAsia="宋体"/>
          <w:bCs/>
          <w:szCs w:val="21"/>
        </w:rPr>
        <w:t>①可编辑的WORD或 EXCEL 格式文件。②按招标文件要求签署、盖章后的正本投标文件扫描成PDF格式文件。</w:t>
      </w:r>
      <w:r>
        <w:rPr>
          <w:rFonts w:ascii="宋体" w:hAnsi="宋体" w:eastAsia="宋体"/>
          <w:bCs/>
          <w:szCs w:val="21"/>
        </w:rPr>
        <w:t>电子文件</w:t>
      </w:r>
      <w:r>
        <w:rPr>
          <w:rFonts w:hint="eastAsia" w:ascii="宋体" w:hAnsi="宋体" w:eastAsia="宋体"/>
          <w:bCs/>
          <w:szCs w:val="21"/>
        </w:rPr>
        <w:t>由</w:t>
      </w:r>
      <w:r>
        <w:rPr>
          <w:rFonts w:ascii="宋体" w:hAnsi="宋体" w:eastAsia="宋体"/>
          <w:bCs/>
          <w:szCs w:val="21"/>
        </w:rPr>
        <w:t>光盘</w:t>
      </w:r>
      <w:r>
        <w:rPr>
          <w:rFonts w:hint="eastAsia" w:ascii="宋体" w:hAnsi="宋体" w:eastAsia="宋体"/>
          <w:bCs/>
          <w:szCs w:val="21"/>
        </w:rPr>
        <w:t>或U盘</w:t>
      </w:r>
      <w:r>
        <w:rPr>
          <w:rFonts w:ascii="宋体" w:hAnsi="宋体" w:eastAsia="宋体"/>
          <w:bCs/>
          <w:szCs w:val="21"/>
        </w:rPr>
        <w:t>储存</w:t>
      </w:r>
      <w:bookmarkEnd w:id="23"/>
      <w:r>
        <w:rPr>
          <w:rFonts w:hint="eastAsia" w:ascii="宋体" w:hAnsi="宋体" w:eastAsia="宋体"/>
          <w:bCs/>
          <w:szCs w:val="21"/>
        </w:rPr>
        <w:t>。</w:t>
      </w:r>
    </w:p>
    <w:p w14:paraId="0CA8DBE5">
      <w:pPr>
        <w:pStyle w:val="27"/>
        <w:numPr>
          <w:ilvl w:val="0"/>
          <w:numId w:val="63"/>
        </w:numPr>
        <w:tabs>
          <w:tab w:val="left" w:pos="851"/>
        </w:tabs>
        <w:ind w:left="567" w:hanging="567" w:firstLineChars="0"/>
        <w:rPr>
          <w:rFonts w:ascii="宋体" w:hAnsi="宋体" w:eastAsia="宋体"/>
          <w:bCs/>
          <w:szCs w:val="21"/>
        </w:rPr>
      </w:pPr>
      <w:r>
        <w:rPr>
          <w:rFonts w:hint="eastAsia" w:ascii="宋体" w:hAnsi="宋体" w:eastAsia="宋体"/>
          <w:bCs/>
          <w:szCs w:val="21"/>
        </w:rPr>
        <w:t>为方便开标唱标，投标人应将开标一览表、分项报价表（如适用）、法定代表人身份证明书或法定代表人授权委托书一起密封提交，若联合体投标，应将各方共同签署的《联合体投标协议》一并提交；并在信封上标明“唱标信封”的字样。</w:t>
      </w:r>
    </w:p>
    <w:p w14:paraId="4508A2CD">
      <w:pPr>
        <w:pStyle w:val="27"/>
        <w:widowControl/>
        <w:numPr>
          <w:ilvl w:val="0"/>
          <w:numId w:val="58"/>
        </w:numPr>
        <w:ind w:left="284" w:hanging="284" w:firstLineChars="0"/>
        <w:jc w:val="left"/>
        <w:outlineLvl w:val="3"/>
        <w:rPr>
          <w:rFonts w:ascii="宋体" w:hAnsi="宋体" w:eastAsia="宋体"/>
          <w:b/>
          <w:color w:val="000000" w:themeColor="text1"/>
          <w:szCs w:val="21"/>
          <w14:textFill>
            <w14:solidFill>
              <w14:schemeClr w14:val="tx1"/>
            </w14:solidFill>
          </w14:textFill>
        </w:rPr>
      </w:pPr>
      <w:r>
        <w:rPr>
          <w:rFonts w:hint="eastAsia" w:ascii="Calibri" w:hAnsi="Calibri" w:eastAsia="宋体" w:cs="Times New Roman"/>
          <w:b/>
          <w:kern w:val="0"/>
          <w:szCs w:val="21"/>
          <w:lang w:eastAsia="zh-Hans"/>
        </w:rPr>
        <w:t>投标文件包装密封</w:t>
      </w:r>
    </w:p>
    <w:p w14:paraId="775A7EAB">
      <w:pPr>
        <w:pStyle w:val="27"/>
        <w:numPr>
          <w:ilvl w:val="0"/>
          <w:numId w:val="64"/>
        </w:numPr>
        <w:tabs>
          <w:tab w:val="left" w:pos="426"/>
        </w:tabs>
        <w:ind w:left="567" w:hanging="567"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投标人应将投标文件密封包装；</w:t>
      </w:r>
    </w:p>
    <w:p w14:paraId="65BA4B0C">
      <w:pPr>
        <w:pStyle w:val="27"/>
        <w:numPr>
          <w:ilvl w:val="0"/>
          <w:numId w:val="64"/>
        </w:numPr>
        <w:tabs>
          <w:tab w:val="left" w:pos="426"/>
        </w:tabs>
        <w:ind w:left="567" w:hanging="567"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不足以造成投标文件可从外包装内散出而导致投标文件泄密的，不认定为投标文件未密封。</w:t>
      </w:r>
    </w:p>
    <w:p w14:paraId="36DDFEFA">
      <w:pPr>
        <w:pStyle w:val="27"/>
        <w:numPr>
          <w:ilvl w:val="0"/>
          <w:numId w:val="64"/>
        </w:numPr>
        <w:tabs>
          <w:tab w:val="left" w:pos="426"/>
        </w:tabs>
        <w:ind w:left="567" w:hanging="567"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包装封套均应注明：</w:t>
      </w:r>
    </w:p>
    <w:p w14:paraId="7D8B7AB5">
      <w:pPr>
        <w:pStyle w:val="27"/>
        <w:ind w:left="567" w:firstLine="0" w:firstLineChars="0"/>
        <w:rPr>
          <w:rFonts w:ascii="宋体" w:hAnsi="宋体" w:eastAsia="宋体"/>
          <w:color w:val="000000" w:themeColor="text1"/>
          <w:szCs w:val="21"/>
          <w:u w:val="single"/>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收件人名称：</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广东智汇城市招标采购有限公司</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 xml:space="preserve">  </w:t>
      </w:r>
    </w:p>
    <w:p w14:paraId="6AEF734D">
      <w:pPr>
        <w:pStyle w:val="27"/>
        <w:ind w:left="567" w:firstLine="0"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投标人名称：</w:t>
      </w:r>
      <w:r>
        <w:rPr>
          <w:rFonts w:ascii="宋体" w:hAnsi="宋体" w:eastAsia="宋体"/>
          <w:color w:val="000000" w:themeColor="text1"/>
          <w:szCs w:val="21"/>
          <w:u w:val="single"/>
          <w14:textFill>
            <w14:solidFill>
              <w14:schemeClr w14:val="tx1"/>
            </w14:solidFill>
          </w14:textFill>
        </w:rPr>
        <w:t xml:space="preserve">                                </w:t>
      </w:r>
    </w:p>
    <w:p w14:paraId="7F27536B">
      <w:pPr>
        <w:pStyle w:val="27"/>
        <w:ind w:left="567" w:firstLine="0"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项目名称：</w:t>
      </w:r>
      <w:r>
        <w:rPr>
          <w:rFonts w:ascii="宋体" w:hAnsi="宋体" w:eastAsia="宋体"/>
          <w:bCs/>
          <w:color w:val="000000" w:themeColor="text1"/>
          <w:szCs w:val="21"/>
          <w:u w:val="single"/>
          <w14:textFill>
            <w14:solidFill>
              <w14:schemeClr w14:val="tx1"/>
            </w14:solidFill>
          </w14:textFill>
        </w:rPr>
        <w:t xml:space="preserve">        （详见投标邀请）   </w:t>
      </w:r>
      <w:r>
        <w:rPr>
          <w:rFonts w:hint="eastAsia" w:ascii="宋体" w:hAnsi="宋体" w:eastAsia="宋体"/>
          <w:bCs/>
          <w:color w:val="000000" w:themeColor="text1"/>
          <w:szCs w:val="21"/>
          <w:u w:val="single"/>
          <w14:textFill>
            <w14:solidFill>
              <w14:schemeClr w14:val="tx1"/>
            </w14:solidFill>
          </w14:textFill>
        </w:rPr>
        <w:t xml:space="preserve"> </w:t>
      </w:r>
      <w:r>
        <w:rPr>
          <w:rFonts w:ascii="宋体" w:hAnsi="宋体" w:eastAsia="宋体"/>
          <w:bCs/>
          <w:color w:val="000000" w:themeColor="text1"/>
          <w:szCs w:val="21"/>
          <w:u w:val="single"/>
          <w14:textFill>
            <w14:solidFill>
              <w14:schemeClr w14:val="tx1"/>
            </w14:solidFill>
          </w14:textFill>
        </w:rPr>
        <w:t xml:space="preserve">      </w:t>
      </w:r>
    </w:p>
    <w:p w14:paraId="22B83937">
      <w:pPr>
        <w:pStyle w:val="27"/>
        <w:ind w:left="567" w:firstLine="0"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项目编号：</w:t>
      </w:r>
      <w:r>
        <w:rPr>
          <w:rFonts w:ascii="宋体" w:hAnsi="宋体" w:eastAsia="宋体"/>
          <w:bCs/>
          <w:color w:val="000000" w:themeColor="text1"/>
          <w:szCs w:val="21"/>
          <w:u w:val="single"/>
          <w14:textFill>
            <w14:solidFill>
              <w14:schemeClr w14:val="tx1"/>
            </w14:solidFill>
          </w14:textFill>
        </w:rPr>
        <w:t xml:space="preserve">        （详见投标邀请）        </w:t>
      </w:r>
      <w:r>
        <w:rPr>
          <w:rFonts w:hint="eastAsia" w:ascii="宋体" w:hAnsi="宋体" w:eastAsia="宋体"/>
          <w:bCs/>
          <w:color w:val="000000" w:themeColor="text1"/>
          <w:szCs w:val="21"/>
          <w:u w:val="single"/>
          <w14:textFill>
            <w14:solidFill>
              <w14:schemeClr w14:val="tx1"/>
            </w14:solidFill>
          </w14:textFill>
        </w:rPr>
        <w:t xml:space="preserve"> </w:t>
      </w:r>
      <w:r>
        <w:rPr>
          <w:rFonts w:ascii="宋体" w:hAnsi="宋体" w:eastAsia="宋体"/>
          <w:bCs/>
          <w:color w:val="000000" w:themeColor="text1"/>
          <w:szCs w:val="21"/>
          <w:u w:val="single"/>
          <w14:textFill>
            <w14:solidFill>
              <w14:schemeClr w14:val="tx1"/>
            </w14:solidFill>
          </w14:textFill>
        </w:rPr>
        <w:t xml:space="preserve"> </w:t>
      </w:r>
    </w:p>
    <w:p w14:paraId="1077CAE0">
      <w:pPr>
        <w:pStyle w:val="27"/>
        <w:ind w:left="567" w:firstLine="0"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注明：“</w:t>
      </w:r>
      <w:r>
        <w:rPr>
          <w:rFonts w:hint="eastAsia" w:ascii="宋体" w:hAnsi="宋体" w:eastAsia="宋体"/>
          <w:bCs/>
          <w:color w:val="000000" w:themeColor="text1"/>
          <w:szCs w:val="21"/>
          <w:u w:val="single"/>
          <w14:textFill>
            <w14:solidFill>
              <w14:schemeClr w14:val="tx1"/>
            </w14:solidFill>
          </w14:textFill>
        </w:rPr>
        <w:t>于</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年</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月</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日北京时间</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 xml:space="preserve"> </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14:textFill>
            <w14:solidFill>
              <w14:schemeClr w14:val="tx1"/>
            </w14:solidFill>
          </w14:textFill>
        </w:rPr>
        <w:t>（详见投标邀请）之前不得启封”的字样。</w:t>
      </w:r>
    </w:p>
    <w:p w14:paraId="2644F5A9">
      <w:pPr>
        <w:widowControl/>
        <w:ind w:firstLine="404" w:firstLineChars="200"/>
        <w:jc w:val="left"/>
        <w:outlineLvl w:val="3"/>
        <w:rPr>
          <w:rFonts w:ascii="Calibri" w:hAnsi="Calibri" w:eastAsia="宋体" w:cs="Times New Roman"/>
          <w:kern w:val="0"/>
          <w:szCs w:val="21"/>
        </w:rPr>
      </w:pPr>
      <w:r>
        <w:rPr>
          <w:rFonts w:hint="eastAsia" w:ascii="宋体" w:hAnsi="宋体" w:eastAsia="宋体"/>
          <w:bCs/>
          <w:color w:val="000000" w:themeColor="text1"/>
          <w:spacing w:val="-4"/>
          <w:szCs w:val="21"/>
          <w14:textFill>
            <w14:solidFill>
              <w14:schemeClr w14:val="tx1"/>
            </w14:solidFill>
          </w14:textFill>
        </w:rPr>
        <w:t>如果未按本须知上款要求加写标记和密封，采购代理机构对误投或提前启封概不负责。</w:t>
      </w:r>
    </w:p>
    <w:p w14:paraId="1DF40DA3">
      <w:pPr>
        <w:pStyle w:val="27"/>
        <w:widowControl/>
        <w:numPr>
          <w:ilvl w:val="0"/>
          <w:numId w:val="58"/>
        </w:numPr>
        <w:spacing w:before="217" w:beforeLines="50"/>
        <w:ind w:left="284" w:hanging="284"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投标文件的修改、撤回与撤销</w:t>
      </w:r>
    </w:p>
    <w:p w14:paraId="6C97C593">
      <w:pPr>
        <w:pStyle w:val="27"/>
        <w:widowControl/>
        <w:numPr>
          <w:ilvl w:val="0"/>
          <w:numId w:val="65"/>
        </w:numPr>
        <w:ind w:firstLineChars="0"/>
        <w:jc w:val="left"/>
        <w:rPr>
          <w:rFonts w:ascii="Calibri" w:hAnsi="Calibri" w:eastAsia="宋体" w:cs="Times New Roman"/>
          <w:kern w:val="0"/>
          <w:szCs w:val="21"/>
        </w:rPr>
      </w:pPr>
      <w:r>
        <w:rPr>
          <w:rFonts w:ascii="Calibri" w:hAnsi="Calibri" w:eastAsia="宋体" w:cs="Times New Roman"/>
          <w:kern w:val="0"/>
          <w:szCs w:val="21"/>
        </w:rPr>
        <w:t>投标人在投标截止时间前，可以对所递交的投标文件进行补充、修改或者撤回，并书面通知采购代理机构。补充、修改的内容应当按照招标文件要求签署、盖章，密封后，作为投标文件的组成部分。</w:t>
      </w:r>
    </w:p>
    <w:p w14:paraId="4DC67FEC">
      <w:pPr>
        <w:pStyle w:val="27"/>
        <w:widowControl/>
        <w:numPr>
          <w:ilvl w:val="0"/>
          <w:numId w:val="65"/>
        </w:numPr>
        <w:ind w:firstLineChars="0"/>
        <w:jc w:val="left"/>
        <w:rPr>
          <w:rFonts w:ascii="Calibri" w:hAnsi="Calibri" w:eastAsia="宋体" w:cs="Times New Roman"/>
          <w:kern w:val="0"/>
          <w:szCs w:val="21"/>
        </w:rPr>
      </w:pPr>
      <w:r>
        <w:rPr>
          <w:rFonts w:ascii="Calibri" w:hAnsi="Calibri" w:eastAsia="宋体" w:cs="Times New Roman"/>
          <w:kern w:val="0"/>
          <w:szCs w:val="21"/>
        </w:rPr>
        <w:t>在投标截止时间之后，投标人不得对其投标文件做任何修改和补充。</w:t>
      </w:r>
    </w:p>
    <w:p w14:paraId="44C880E8">
      <w:pPr>
        <w:pStyle w:val="27"/>
        <w:widowControl/>
        <w:numPr>
          <w:ilvl w:val="0"/>
          <w:numId w:val="65"/>
        </w:numPr>
        <w:ind w:firstLineChars="0"/>
        <w:jc w:val="left"/>
        <w:rPr>
          <w:rFonts w:ascii="Calibri" w:hAnsi="Calibri" w:eastAsia="宋体" w:cs="Times New Roman"/>
          <w:kern w:val="0"/>
          <w:sz w:val="20"/>
          <w:szCs w:val="20"/>
        </w:rPr>
      </w:pPr>
      <w:r>
        <w:rPr>
          <w:rFonts w:ascii="Calibri" w:hAnsi="Calibri" w:eastAsia="宋体" w:cs="Times New Roman"/>
          <w:kern w:val="0"/>
          <w:szCs w:val="21"/>
        </w:rPr>
        <w:t>在提交投标文件截止时间至投标有效期满之前，投标人不得撤回其投标文件。</w:t>
      </w:r>
    </w:p>
    <w:p w14:paraId="5B06180D">
      <w:pPr>
        <w:pStyle w:val="27"/>
        <w:widowControl/>
        <w:numPr>
          <w:ilvl w:val="0"/>
          <w:numId w:val="58"/>
        </w:numPr>
        <w:spacing w:before="217" w:beforeLines="50"/>
        <w:ind w:left="284" w:hanging="284"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投标保证金</w:t>
      </w:r>
      <w:r>
        <w:rPr>
          <w:rFonts w:hint="eastAsia" w:ascii="Calibri" w:hAnsi="Calibri" w:eastAsia="宋体" w:cs="Times New Roman"/>
          <w:b/>
          <w:kern w:val="0"/>
          <w:szCs w:val="21"/>
          <w:lang w:eastAsia="zh-CN"/>
        </w:rPr>
        <w:t>（</w:t>
      </w:r>
      <w:r>
        <w:rPr>
          <w:rFonts w:hint="eastAsia" w:ascii="Calibri" w:hAnsi="Calibri" w:eastAsia="宋体" w:cs="Times New Roman"/>
          <w:b/>
          <w:kern w:val="0"/>
          <w:szCs w:val="21"/>
          <w:lang w:val="en-US" w:eastAsia="zh-CN"/>
        </w:rPr>
        <w:t>本项目不收取</w:t>
      </w:r>
      <w:r>
        <w:rPr>
          <w:rFonts w:hint="eastAsia" w:ascii="Calibri" w:hAnsi="Calibri" w:eastAsia="宋体" w:cs="Times New Roman"/>
          <w:b/>
          <w:kern w:val="0"/>
          <w:szCs w:val="21"/>
          <w:lang w:eastAsia="zh-CN"/>
        </w:rPr>
        <w:t>）</w:t>
      </w:r>
    </w:p>
    <w:p w14:paraId="13D58769">
      <w:pPr>
        <w:pStyle w:val="27"/>
        <w:widowControl/>
        <w:numPr>
          <w:ilvl w:val="0"/>
          <w:numId w:val="66"/>
        </w:numPr>
        <w:ind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投标保证金的缴纳</w:t>
      </w:r>
    </w:p>
    <w:p w14:paraId="5909AF1A">
      <w:pPr>
        <w:pStyle w:val="27"/>
        <w:widowControl/>
        <w:numPr>
          <w:ilvl w:val="0"/>
          <w:numId w:val="67"/>
        </w:numPr>
        <w:ind w:left="567" w:hanging="567" w:firstLineChars="0"/>
        <w:jc w:val="left"/>
        <w:rPr>
          <w:rFonts w:ascii="宋体" w:hAnsi="宋体" w:eastAsia="宋体" w:cs="Times New Roman"/>
          <w:color w:val="auto"/>
          <w:kern w:val="0"/>
          <w:szCs w:val="21"/>
          <w:lang w:eastAsia="zh-Hans"/>
        </w:rPr>
      </w:pPr>
      <w:r>
        <w:rPr>
          <w:rFonts w:ascii="宋体" w:hAnsi="宋体" w:eastAsia="宋体" w:cs="Times New Roman"/>
          <w:kern w:val="0"/>
          <w:szCs w:val="21"/>
          <w:lang w:eastAsia="zh-Hans"/>
        </w:rPr>
        <w:t>投标人在提交投标文件时，应按投标人须知前附表规定的金额和缴纳要求缴纳投标保证金，并作为其投标文件的组成部</w:t>
      </w:r>
      <w:r>
        <w:rPr>
          <w:rFonts w:ascii="宋体" w:hAnsi="宋体" w:eastAsia="宋体" w:cs="Times New Roman"/>
          <w:color w:val="auto"/>
          <w:kern w:val="0"/>
          <w:szCs w:val="21"/>
          <w:lang w:eastAsia="zh-Hans"/>
        </w:rPr>
        <w:t>分。</w:t>
      </w:r>
    </w:p>
    <w:p w14:paraId="09E9AB64">
      <w:pPr>
        <w:pStyle w:val="27"/>
        <w:widowControl/>
        <w:numPr>
          <w:ilvl w:val="0"/>
          <w:numId w:val="67"/>
        </w:numPr>
        <w:ind w:left="567" w:hanging="567"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如采用转账、支票、本票、汇票形式提交的，投标保证金从投标人基本账户递交；请各投标人在投标文件递交截止时间前按</w:t>
      </w:r>
      <w:bookmarkStart w:id="24" w:name="_Hlk169879945"/>
      <w:r>
        <w:rPr>
          <w:rFonts w:ascii="宋体" w:hAnsi="宋体" w:eastAsia="宋体" w:cs="Times New Roman"/>
          <w:color w:val="auto"/>
          <w:kern w:val="0"/>
          <w:szCs w:val="21"/>
          <w:u w:val="single"/>
          <w:lang w:eastAsia="zh-Hans"/>
        </w:rPr>
        <w:t>须知前附表</w:t>
      </w:r>
      <w:r>
        <w:rPr>
          <w:rFonts w:ascii="宋体" w:hAnsi="宋体" w:eastAsia="宋体" w:cs="Times New Roman"/>
          <w:color w:val="auto"/>
          <w:kern w:val="0"/>
          <w:szCs w:val="21"/>
          <w:lang w:eastAsia="zh-Hans"/>
        </w:rPr>
        <w:t>规定的金额递交至</w:t>
      </w:r>
      <w:r>
        <w:rPr>
          <w:rFonts w:hint="eastAsia" w:ascii="宋体" w:hAnsi="宋体" w:eastAsia="宋体" w:cs="Times New Roman"/>
          <w:color w:val="auto"/>
          <w:kern w:val="0"/>
          <w:szCs w:val="21"/>
          <w:lang w:eastAsia="zh-Hans"/>
        </w:rPr>
        <w:t>采购代理机构</w:t>
      </w:r>
      <w:r>
        <w:rPr>
          <w:rFonts w:ascii="宋体" w:hAnsi="宋体" w:eastAsia="宋体" w:cs="Times New Roman"/>
          <w:color w:val="auto"/>
          <w:kern w:val="0"/>
          <w:szCs w:val="21"/>
          <w:lang w:eastAsia="zh-Hans"/>
        </w:rPr>
        <w:t>，到账情况以开标时</w:t>
      </w:r>
      <w:r>
        <w:rPr>
          <w:rFonts w:hint="eastAsia" w:ascii="宋体" w:hAnsi="宋体" w:eastAsia="宋体" w:cs="Times New Roman"/>
          <w:color w:val="auto"/>
          <w:kern w:val="0"/>
          <w:szCs w:val="21"/>
          <w:lang w:eastAsia="zh-Hans"/>
        </w:rPr>
        <w:t>采购代理机构</w:t>
      </w:r>
      <w:r>
        <w:rPr>
          <w:rFonts w:ascii="宋体" w:hAnsi="宋体" w:eastAsia="宋体" w:cs="Times New Roman"/>
          <w:color w:val="auto"/>
          <w:kern w:val="0"/>
          <w:szCs w:val="21"/>
          <w:lang w:eastAsia="zh-Hans"/>
        </w:rPr>
        <w:t>查询的信息为准。</w:t>
      </w:r>
    </w:p>
    <w:bookmarkEnd w:id="24"/>
    <w:p w14:paraId="08ED3A20">
      <w:pPr>
        <w:pStyle w:val="27"/>
        <w:widowControl/>
        <w:numPr>
          <w:ilvl w:val="0"/>
          <w:numId w:val="67"/>
        </w:numPr>
        <w:ind w:left="567" w:hanging="567" w:firstLineChars="0"/>
        <w:jc w:val="left"/>
        <w:rPr>
          <w:rFonts w:ascii="宋体" w:hAnsi="宋体" w:eastAsia="宋体" w:cs="Times New Roman"/>
          <w:kern w:val="0"/>
          <w:szCs w:val="21"/>
          <w:lang w:eastAsia="zh-Hans"/>
        </w:rPr>
      </w:pPr>
      <w:r>
        <w:rPr>
          <w:rFonts w:ascii="Calibri" w:hAnsi="Calibri" w:eastAsia="宋体" w:cs="Times New Roman"/>
          <w:kern w:val="0"/>
          <w:szCs w:val="21"/>
          <w:lang w:eastAsia="zh-Hans"/>
        </w:rPr>
        <w:t>如采用金融机构、专业担保机构开具的投标担保函、投标保证保险函等形式提交投标保证金的，投标担保函须开具给采购人，并与投标文件一同递交。</w:t>
      </w:r>
    </w:p>
    <w:p w14:paraId="39B77C9D">
      <w:pPr>
        <w:pStyle w:val="27"/>
        <w:widowControl/>
        <w:numPr>
          <w:ilvl w:val="0"/>
          <w:numId w:val="66"/>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投标保证金的退还：</w:t>
      </w:r>
    </w:p>
    <w:p w14:paraId="581BB39B">
      <w:pPr>
        <w:pStyle w:val="27"/>
        <w:widowControl/>
        <w:numPr>
          <w:ilvl w:val="0"/>
          <w:numId w:val="68"/>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投标人在投标截止时间前放弃投标的，自所投采购包结果公告发出后5个工作日内退还。</w:t>
      </w:r>
    </w:p>
    <w:p w14:paraId="32B29E50">
      <w:pPr>
        <w:pStyle w:val="27"/>
        <w:widowControl/>
        <w:numPr>
          <w:ilvl w:val="0"/>
          <w:numId w:val="68"/>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未中标的投标人投标保证金，自中标通知书发出之日起5个工作日内退还。</w:t>
      </w:r>
    </w:p>
    <w:p w14:paraId="5414F91D">
      <w:pPr>
        <w:pStyle w:val="27"/>
        <w:widowControl/>
        <w:numPr>
          <w:ilvl w:val="0"/>
          <w:numId w:val="68"/>
        </w:numPr>
        <w:tabs>
          <w:tab w:val="left" w:pos="567"/>
        </w:tabs>
        <w:ind w:firstLineChars="0"/>
        <w:jc w:val="left"/>
        <w:rPr>
          <w:rFonts w:ascii="宋体" w:hAnsi="宋体" w:eastAsia="宋体" w:cs="Times New Roman"/>
          <w:kern w:val="0"/>
          <w:szCs w:val="21"/>
          <w:lang w:eastAsia="zh-Hans"/>
        </w:rPr>
      </w:pPr>
      <w:r>
        <w:rPr>
          <w:rFonts w:hint="eastAsia" w:ascii="宋体" w:hAnsi="宋体" w:eastAsia="宋体" w:cs="Times New Roman"/>
          <w:kern w:val="0"/>
          <w:szCs w:val="21"/>
          <w:lang w:eastAsia="zh-CN"/>
        </w:rPr>
        <w:t>中标人</w:t>
      </w:r>
      <w:r>
        <w:rPr>
          <w:rFonts w:ascii="宋体" w:hAnsi="宋体" w:eastAsia="宋体" w:cs="Times New Roman"/>
          <w:kern w:val="0"/>
          <w:szCs w:val="21"/>
          <w:lang w:eastAsia="zh-Hans"/>
        </w:rPr>
        <w:t>的投标保证金，自采购合同签订之日起5个工作日内退还。</w:t>
      </w:r>
    </w:p>
    <w:p w14:paraId="43A59FF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备注：但因投标人自身原因导致无法及时退还的除外。</w:t>
      </w:r>
    </w:p>
    <w:p w14:paraId="43F64C5A">
      <w:pPr>
        <w:pStyle w:val="27"/>
        <w:widowControl/>
        <w:numPr>
          <w:ilvl w:val="0"/>
          <w:numId w:val="66"/>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 有下列情形之一的，投标保证金将不予退还：</w:t>
      </w:r>
    </w:p>
    <w:p w14:paraId="1EAE9C0F">
      <w:pPr>
        <w:pStyle w:val="27"/>
        <w:widowControl/>
        <w:numPr>
          <w:ilvl w:val="0"/>
          <w:numId w:val="69"/>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提供虚假材料谋取中标、成交的；</w:t>
      </w:r>
    </w:p>
    <w:p w14:paraId="14C63438">
      <w:pPr>
        <w:pStyle w:val="27"/>
        <w:widowControl/>
        <w:numPr>
          <w:ilvl w:val="0"/>
          <w:numId w:val="69"/>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投标人在招标文件规定的投标有效期内撤销其投标；</w:t>
      </w:r>
    </w:p>
    <w:p w14:paraId="2901C0DC">
      <w:pPr>
        <w:pStyle w:val="27"/>
        <w:widowControl/>
        <w:numPr>
          <w:ilvl w:val="0"/>
          <w:numId w:val="69"/>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中标后，无正当理由放弃中标资格；</w:t>
      </w:r>
    </w:p>
    <w:p w14:paraId="41509EB1">
      <w:pPr>
        <w:pStyle w:val="27"/>
        <w:widowControl/>
        <w:numPr>
          <w:ilvl w:val="0"/>
          <w:numId w:val="69"/>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中标后，无正当理由不与采购人签订合同；</w:t>
      </w:r>
    </w:p>
    <w:p w14:paraId="3AD81154">
      <w:pPr>
        <w:pStyle w:val="27"/>
        <w:widowControl/>
        <w:numPr>
          <w:ilvl w:val="0"/>
          <w:numId w:val="69"/>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法律法规和招标文件规定的其他情形。</w:t>
      </w:r>
    </w:p>
    <w:p w14:paraId="0E1DA8E6">
      <w:pPr>
        <w:pStyle w:val="27"/>
        <w:widowControl/>
        <w:numPr>
          <w:ilvl w:val="0"/>
          <w:numId w:val="58"/>
        </w:numPr>
        <w:spacing w:before="217" w:beforeLines="50"/>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投标有效期</w:t>
      </w:r>
    </w:p>
    <w:p w14:paraId="641D263F">
      <w:pPr>
        <w:pStyle w:val="27"/>
        <w:widowControl/>
        <w:numPr>
          <w:ilvl w:val="0"/>
          <w:numId w:val="70"/>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投标有效期内投标人撤销投标文件的，采购人或者采购代理机构可以不退还投标保证金（如有）。采用投标保函方式替代保证金的，采购人或者采购代理机构可以向担保机构索赔保证金。</w:t>
      </w:r>
    </w:p>
    <w:p w14:paraId="4C81FB7C">
      <w:pPr>
        <w:pStyle w:val="27"/>
        <w:widowControl/>
        <w:numPr>
          <w:ilvl w:val="0"/>
          <w:numId w:val="70"/>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14:paraId="3199A59B">
      <w:pPr>
        <w:pStyle w:val="27"/>
        <w:widowControl/>
        <w:numPr>
          <w:ilvl w:val="0"/>
          <w:numId w:val="58"/>
        </w:numPr>
        <w:spacing w:before="217" w:beforeLines="50"/>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样品（演示）</w:t>
      </w:r>
    </w:p>
    <w:p w14:paraId="75980878">
      <w:pPr>
        <w:pStyle w:val="27"/>
        <w:widowControl/>
        <w:numPr>
          <w:ilvl w:val="0"/>
          <w:numId w:val="71"/>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招标文件规定投标人提交样品的，样品属于投标文件的组成部分。样品的生产、运输、安装、保全等一切费用由投标人自理。</w:t>
      </w:r>
    </w:p>
    <w:p w14:paraId="1BB0D4AB">
      <w:pPr>
        <w:pStyle w:val="27"/>
        <w:widowControl/>
        <w:numPr>
          <w:ilvl w:val="0"/>
          <w:numId w:val="71"/>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投标截止时间前，投标人应将样品送达至指定地点。若需要现场演示的，投标人应提前做好演示准备（包括演示设备）。</w:t>
      </w:r>
    </w:p>
    <w:p w14:paraId="6B53EDEB">
      <w:pPr>
        <w:pStyle w:val="27"/>
        <w:widowControl/>
        <w:numPr>
          <w:ilvl w:val="0"/>
          <w:numId w:val="71"/>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采购结果公告发布后，</w:t>
      </w:r>
      <w:r>
        <w:rPr>
          <w:rFonts w:hint="eastAsia" w:ascii="宋体" w:hAnsi="宋体" w:eastAsia="宋体" w:cs="Times New Roman"/>
          <w:kern w:val="0"/>
          <w:szCs w:val="21"/>
          <w:lang w:eastAsia="zh-CN"/>
        </w:rPr>
        <w:t>中标人</w:t>
      </w:r>
      <w:r>
        <w:rPr>
          <w:rFonts w:ascii="宋体" w:hAnsi="宋体" w:eastAsia="宋体" w:cs="Times New Roman"/>
          <w:kern w:val="0"/>
          <w:szCs w:val="21"/>
          <w:lang w:eastAsia="zh-Hans"/>
        </w:rPr>
        <w:t>的样品由采购人封存，作为履约验收的依据之一。未</w:t>
      </w:r>
      <w:r>
        <w:rPr>
          <w:rFonts w:hint="eastAsia" w:ascii="宋体" w:hAnsi="宋体" w:eastAsia="宋体" w:cs="Times New Roman"/>
          <w:kern w:val="0"/>
          <w:szCs w:val="21"/>
          <w:lang w:eastAsia="zh-CN"/>
        </w:rPr>
        <w:t>中标人</w:t>
      </w:r>
      <w:r>
        <w:rPr>
          <w:rFonts w:ascii="宋体" w:hAnsi="宋体" w:eastAsia="宋体" w:cs="Times New Roman"/>
          <w:kern w:val="0"/>
          <w:szCs w:val="21"/>
          <w:lang w:eastAsia="zh-Hans"/>
        </w:rPr>
        <w:t>在接到采购代理机构通知后，应按规定时间尽快自行取回样品，否则视同供应商不再认领，代理机构有权进行处理。</w:t>
      </w:r>
    </w:p>
    <w:p w14:paraId="0DDB3108">
      <w:pPr>
        <w:pStyle w:val="27"/>
        <w:widowControl/>
        <w:numPr>
          <w:ilvl w:val="0"/>
          <w:numId w:val="58"/>
        </w:numPr>
        <w:spacing w:before="217" w:beforeLines="50"/>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除招标文件另有规定外，有下列情形之一的，投标无效：</w:t>
      </w:r>
    </w:p>
    <w:p w14:paraId="41A7535F">
      <w:pPr>
        <w:pStyle w:val="27"/>
        <w:widowControl/>
        <w:numPr>
          <w:ilvl w:val="0"/>
          <w:numId w:val="72"/>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投标文件未按照招标文件要求签署、盖章；</w:t>
      </w:r>
    </w:p>
    <w:p w14:paraId="2AA22EAE">
      <w:pPr>
        <w:pStyle w:val="27"/>
        <w:widowControl/>
        <w:numPr>
          <w:ilvl w:val="0"/>
          <w:numId w:val="72"/>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不符合招标文件中规定的资格要求；</w:t>
      </w:r>
    </w:p>
    <w:p w14:paraId="372C942D">
      <w:pPr>
        <w:pStyle w:val="27"/>
        <w:widowControl/>
        <w:numPr>
          <w:ilvl w:val="0"/>
          <w:numId w:val="72"/>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投标报价超过招标文件中规定的预算金额或最高限价；</w:t>
      </w:r>
    </w:p>
    <w:p w14:paraId="135B29C2">
      <w:pPr>
        <w:pStyle w:val="27"/>
        <w:widowControl/>
        <w:numPr>
          <w:ilvl w:val="0"/>
          <w:numId w:val="72"/>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投标文件含有采购人不能接受的附加条件；</w:t>
      </w:r>
    </w:p>
    <w:p w14:paraId="54912838">
      <w:pPr>
        <w:pStyle w:val="27"/>
        <w:widowControl/>
        <w:numPr>
          <w:ilvl w:val="0"/>
          <w:numId w:val="72"/>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有关法律、法规和规章及招标文件规定的其他无效情形。</w:t>
      </w:r>
    </w:p>
    <w:p w14:paraId="5FC0DB76">
      <w:pPr>
        <w:pStyle w:val="27"/>
        <w:widowControl/>
        <w:numPr>
          <w:ilvl w:val="0"/>
          <w:numId w:val="49"/>
        </w:numPr>
        <w:spacing w:before="217" w:beforeLines="50"/>
        <w:ind w:left="442" w:hanging="442" w:firstLineChars="0"/>
        <w:jc w:val="left"/>
        <w:outlineLvl w:val="3"/>
        <w:rPr>
          <w:rFonts w:ascii="宋体" w:hAnsi="宋体" w:eastAsia="宋体" w:cs="Times New Roman"/>
          <w:b/>
          <w:kern w:val="0"/>
          <w:szCs w:val="21"/>
          <w:lang w:eastAsia="zh-Hans"/>
        </w:rPr>
      </w:pPr>
      <w:r>
        <w:rPr>
          <w:rFonts w:ascii="宋体" w:hAnsi="宋体" w:eastAsia="宋体" w:cs="Times New Roman"/>
          <w:b/>
          <w:kern w:val="0"/>
          <w:szCs w:val="21"/>
          <w:lang w:eastAsia="zh-Hans"/>
        </w:rPr>
        <w:t>开标、评标和定标</w:t>
      </w:r>
    </w:p>
    <w:p w14:paraId="04B02605">
      <w:pPr>
        <w:pStyle w:val="27"/>
        <w:widowControl/>
        <w:numPr>
          <w:ilvl w:val="3"/>
          <w:numId w:val="73"/>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开标</w:t>
      </w:r>
    </w:p>
    <w:p w14:paraId="73D25B4C">
      <w:pPr>
        <w:pStyle w:val="27"/>
        <w:widowControl/>
        <w:numPr>
          <w:ilvl w:val="0"/>
          <w:numId w:val="74"/>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采购代理机构按投标邀请中规定的日期、时间和地点组织公开开标。开标时邀请所有投标人代表参加。参加开标的法定代表人或其授权代表携带有效身份证签名报到以证明其出席。</w:t>
      </w:r>
    </w:p>
    <w:p w14:paraId="6600EA0B">
      <w:pPr>
        <w:pStyle w:val="27"/>
        <w:widowControl/>
        <w:numPr>
          <w:ilvl w:val="0"/>
          <w:numId w:val="74"/>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开标由采购代理机构主持，邀请投标人参加。评标委员会成员不得参加开标活动。</w:t>
      </w:r>
    </w:p>
    <w:p w14:paraId="61E4F461">
      <w:pPr>
        <w:pStyle w:val="27"/>
        <w:widowControl/>
        <w:numPr>
          <w:ilvl w:val="0"/>
          <w:numId w:val="74"/>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投标人不足3家的，不得开标。</w:t>
      </w:r>
    </w:p>
    <w:p w14:paraId="05C138A6">
      <w:pPr>
        <w:pStyle w:val="27"/>
        <w:widowControl/>
        <w:numPr>
          <w:ilvl w:val="0"/>
          <w:numId w:val="74"/>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开标时，由投标人或其推选的代表检查投标文件的密封情况；经确认无误后，由采购人或采购代理机构工作人员当众拆封，宣布投标人名称、投标价格和招标文件规定的需要宣布的其他内容。</w:t>
      </w:r>
    </w:p>
    <w:p w14:paraId="57B662D0">
      <w:pPr>
        <w:pStyle w:val="27"/>
        <w:widowControl/>
        <w:numPr>
          <w:ilvl w:val="0"/>
          <w:numId w:val="74"/>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开标过程应当由采购人或者采购代理机构负责记录，由参加开标的各投标人代表和相关工作人员签字确认。</w:t>
      </w:r>
    </w:p>
    <w:p w14:paraId="5B0019EF">
      <w:pPr>
        <w:pStyle w:val="27"/>
        <w:widowControl/>
        <w:numPr>
          <w:ilvl w:val="0"/>
          <w:numId w:val="74"/>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14:paraId="602F47EC">
      <w:pPr>
        <w:pStyle w:val="27"/>
        <w:widowControl/>
        <w:numPr>
          <w:ilvl w:val="0"/>
          <w:numId w:val="74"/>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投标人未参加开标的，视同认可开标结果。</w:t>
      </w:r>
    </w:p>
    <w:p w14:paraId="10E714A2">
      <w:pPr>
        <w:pStyle w:val="27"/>
        <w:widowControl/>
        <w:numPr>
          <w:ilvl w:val="3"/>
          <w:numId w:val="73"/>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评审（详见第四章）</w:t>
      </w:r>
    </w:p>
    <w:p w14:paraId="0C0F53E9">
      <w:pPr>
        <w:pStyle w:val="27"/>
        <w:widowControl/>
        <w:numPr>
          <w:ilvl w:val="3"/>
          <w:numId w:val="73"/>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定标</w:t>
      </w:r>
    </w:p>
    <w:p w14:paraId="4312C8F1">
      <w:pPr>
        <w:pStyle w:val="27"/>
        <w:widowControl/>
        <w:numPr>
          <w:ilvl w:val="0"/>
          <w:numId w:val="75"/>
        </w:numPr>
        <w:ind w:left="426" w:hanging="426"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中标公告：</w:t>
      </w:r>
    </w:p>
    <w:p w14:paraId="411FA44D">
      <w:pPr>
        <w:pStyle w:val="27"/>
        <w:widowControl/>
        <w:numPr>
          <w:ilvl w:val="0"/>
          <w:numId w:val="76"/>
        </w:numPr>
        <w:ind w:left="709" w:hanging="709" w:firstLineChars="0"/>
        <w:jc w:val="left"/>
        <w:rPr>
          <w:rFonts w:ascii="宋体" w:hAnsi="宋体" w:eastAsia="宋体" w:cs="Times New Roman"/>
          <w:kern w:val="0"/>
          <w:szCs w:val="21"/>
        </w:rPr>
      </w:pPr>
      <w:r>
        <w:rPr>
          <w:rFonts w:hint="eastAsia" w:ascii="宋体" w:hAnsi="宋体" w:eastAsia="宋体" w:cs="Times New Roman"/>
          <w:kern w:val="0"/>
          <w:szCs w:val="21"/>
        </w:rPr>
        <w:t>采购人或者采购代理机构应当自中标人确定之日起</w:t>
      </w:r>
      <w:r>
        <w:rPr>
          <w:rFonts w:ascii="宋体" w:hAnsi="宋体" w:eastAsia="宋体" w:cs="Times New Roman"/>
          <w:kern w:val="0"/>
          <w:szCs w:val="21"/>
        </w:rPr>
        <w:t>2个工作日内在</w:t>
      </w:r>
      <w:bookmarkStart w:id="25" w:name="_Hlk169881051"/>
      <w:r>
        <w:rPr>
          <w:rFonts w:ascii="宋体" w:hAnsi="宋体" w:eastAsia="宋体" w:cs="Times New Roman"/>
          <w:kern w:val="0"/>
          <w:szCs w:val="21"/>
        </w:rPr>
        <w:t>指定媒体</w:t>
      </w:r>
      <w:bookmarkEnd w:id="25"/>
      <w:r>
        <w:rPr>
          <w:rFonts w:ascii="宋体" w:hAnsi="宋体" w:eastAsia="宋体" w:cs="Times New Roman"/>
          <w:kern w:val="0"/>
          <w:szCs w:val="21"/>
        </w:rPr>
        <w:t>公告中标结果和发出中标通知书，公告期为1个工作日。</w:t>
      </w:r>
    </w:p>
    <w:p w14:paraId="00414DA4">
      <w:pPr>
        <w:pStyle w:val="27"/>
        <w:widowControl/>
        <w:numPr>
          <w:ilvl w:val="0"/>
          <w:numId w:val="75"/>
        </w:numPr>
        <w:ind w:left="426" w:hanging="426"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中标通知书：</w:t>
      </w:r>
    </w:p>
    <w:p w14:paraId="7C6B63E4">
      <w:pPr>
        <w:pStyle w:val="27"/>
        <w:widowControl/>
        <w:numPr>
          <w:ilvl w:val="0"/>
          <w:numId w:val="77"/>
        </w:numPr>
        <w:tabs>
          <w:tab w:val="left" w:pos="567"/>
        </w:tabs>
        <w:ind w:hanging="2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中标通知书对中标人和采购人具有同等法律效力。</w:t>
      </w:r>
    </w:p>
    <w:p w14:paraId="042EBF13">
      <w:pPr>
        <w:pStyle w:val="27"/>
        <w:widowControl/>
        <w:numPr>
          <w:ilvl w:val="0"/>
          <w:numId w:val="77"/>
        </w:numPr>
        <w:tabs>
          <w:tab w:val="left" w:pos="567"/>
        </w:tabs>
        <w:ind w:hanging="2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中标通知书发出后，采购人不得违法改变中标结果，中标人无正当理由不得放弃中标。</w:t>
      </w:r>
    </w:p>
    <w:p w14:paraId="644C478B">
      <w:pPr>
        <w:pStyle w:val="27"/>
        <w:widowControl/>
        <w:numPr>
          <w:ilvl w:val="0"/>
          <w:numId w:val="77"/>
        </w:numPr>
        <w:tabs>
          <w:tab w:val="left" w:pos="567"/>
        </w:tabs>
        <w:ind w:hanging="2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中标通知书将作为授予合同资格的合法依据，是合同的一个组成部分。</w:t>
      </w:r>
    </w:p>
    <w:p w14:paraId="1D36A752">
      <w:pPr>
        <w:pStyle w:val="27"/>
        <w:widowControl/>
        <w:numPr>
          <w:ilvl w:val="0"/>
          <w:numId w:val="49"/>
        </w:numPr>
        <w:spacing w:before="217" w:beforeLines="50"/>
        <w:ind w:left="442" w:hanging="442" w:firstLineChars="0"/>
        <w:jc w:val="left"/>
        <w:outlineLvl w:val="3"/>
        <w:rPr>
          <w:rFonts w:ascii="宋体" w:hAnsi="宋体" w:eastAsia="宋体" w:cs="Times New Roman"/>
          <w:b/>
          <w:kern w:val="0"/>
          <w:szCs w:val="21"/>
          <w:lang w:eastAsia="zh-Hans"/>
        </w:rPr>
      </w:pPr>
      <w:r>
        <w:rPr>
          <w:rFonts w:ascii="宋体" w:hAnsi="宋体" w:eastAsia="宋体" w:cs="Times New Roman"/>
          <w:b/>
          <w:kern w:val="0"/>
          <w:szCs w:val="21"/>
          <w:lang w:eastAsia="zh-Hans"/>
        </w:rPr>
        <w:t>询问、质疑与投诉</w:t>
      </w:r>
    </w:p>
    <w:p w14:paraId="54BDC809">
      <w:pPr>
        <w:pStyle w:val="27"/>
        <w:widowControl/>
        <w:numPr>
          <w:ilvl w:val="3"/>
          <w:numId w:val="78"/>
        </w:numPr>
        <w:tabs>
          <w:tab w:val="left" w:pos="426"/>
          <w:tab w:val="left" w:pos="709"/>
          <w:tab w:val="left" w:pos="993"/>
          <w:tab w:val="left" w:pos="1418"/>
        </w:tabs>
        <w:ind w:hanging="1760" w:firstLineChars="0"/>
        <w:jc w:val="left"/>
        <w:outlineLvl w:val="3"/>
        <w:rPr>
          <w:rFonts w:ascii="宋体" w:hAnsi="宋体" w:eastAsia="宋体" w:cs="Times New Roman"/>
          <w:b/>
          <w:kern w:val="0"/>
          <w:szCs w:val="21"/>
          <w:lang w:eastAsia="zh-Hans"/>
        </w:rPr>
      </w:pPr>
      <w:r>
        <w:rPr>
          <w:rFonts w:ascii="宋体" w:hAnsi="宋体" w:eastAsia="宋体" w:cs="Times New Roman"/>
          <w:b/>
          <w:kern w:val="0"/>
          <w:szCs w:val="21"/>
          <w:lang w:eastAsia="zh-Hans"/>
        </w:rPr>
        <w:t>询问</w:t>
      </w:r>
    </w:p>
    <w:p w14:paraId="0FAFD38B">
      <w:pPr>
        <w:pStyle w:val="27"/>
        <w:widowControl/>
        <w:numPr>
          <w:ilvl w:val="0"/>
          <w:numId w:val="79"/>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对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投标邀请函》中“采购人、采购代理机构的名称、地址和联系方式”。</w:t>
      </w:r>
    </w:p>
    <w:p w14:paraId="67533FE7">
      <w:pPr>
        <w:pStyle w:val="27"/>
        <w:widowControl/>
        <w:numPr>
          <w:ilvl w:val="3"/>
          <w:numId w:val="78"/>
        </w:numPr>
        <w:tabs>
          <w:tab w:val="left" w:pos="426"/>
          <w:tab w:val="left" w:pos="709"/>
          <w:tab w:val="left" w:pos="993"/>
          <w:tab w:val="left" w:pos="1418"/>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质疑</w:t>
      </w:r>
    </w:p>
    <w:p w14:paraId="7FC77AE6">
      <w:pPr>
        <w:pStyle w:val="27"/>
        <w:widowControl/>
        <w:numPr>
          <w:ilvl w:val="0"/>
          <w:numId w:val="80"/>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2C7450CB">
      <w:pPr>
        <w:pStyle w:val="27"/>
        <w:widowControl/>
        <w:numPr>
          <w:ilvl w:val="0"/>
          <w:numId w:val="81"/>
        </w:numPr>
        <w:tabs>
          <w:tab w:val="left" w:pos="709"/>
        </w:tabs>
        <w:ind w:firstLineChars="0"/>
        <w:jc w:val="left"/>
        <w:rPr>
          <w:rFonts w:ascii="宋体" w:hAnsi="宋体" w:eastAsia="宋体" w:cs="Times New Roman"/>
          <w:kern w:val="0"/>
          <w:szCs w:val="21"/>
        </w:rPr>
      </w:pPr>
      <w:r>
        <w:rPr>
          <w:rFonts w:ascii="宋体" w:hAnsi="宋体" w:eastAsia="宋体" w:cs="Times New Roman"/>
          <w:kern w:val="0"/>
          <w:szCs w:val="21"/>
          <w:lang w:eastAsia="zh-Hans"/>
        </w:rPr>
        <w:t>对招标文件提出质疑的，为获取招标文件之日或者招标文件公告期限届满之日；</w:t>
      </w:r>
    </w:p>
    <w:p w14:paraId="24197C5E">
      <w:pPr>
        <w:pStyle w:val="27"/>
        <w:widowControl/>
        <w:numPr>
          <w:ilvl w:val="0"/>
          <w:numId w:val="81"/>
        </w:numPr>
        <w:tabs>
          <w:tab w:val="left" w:pos="709"/>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对采购过程提出质疑的，为各采购程序环节结束之日；</w:t>
      </w:r>
    </w:p>
    <w:p w14:paraId="00C4D840">
      <w:pPr>
        <w:pStyle w:val="27"/>
        <w:widowControl/>
        <w:numPr>
          <w:ilvl w:val="0"/>
          <w:numId w:val="81"/>
        </w:numPr>
        <w:tabs>
          <w:tab w:val="left" w:pos="709"/>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对中标结果提出质疑的，为中标结果公告期限届满之日。</w:t>
      </w:r>
    </w:p>
    <w:p w14:paraId="1AA8C846">
      <w:pPr>
        <w:pStyle w:val="27"/>
        <w:widowControl/>
        <w:numPr>
          <w:ilvl w:val="0"/>
          <w:numId w:val="80"/>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质疑函应当包括下列主要内容：</w:t>
      </w:r>
    </w:p>
    <w:p w14:paraId="5817E1AC">
      <w:pPr>
        <w:pStyle w:val="27"/>
        <w:widowControl/>
        <w:numPr>
          <w:ilvl w:val="0"/>
          <w:numId w:val="82"/>
        </w:numPr>
        <w:tabs>
          <w:tab w:val="left" w:pos="709"/>
        </w:tabs>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质疑供应商和相关供应商的名称、地址、邮编、联系人及联系电话等；</w:t>
      </w:r>
    </w:p>
    <w:p w14:paraId="27396A53">
      <w:pPr>
        <w:pStyle w:val="27"/>
        <w:widowControl/>
        <w:numPr>
          <w:ilvl w:val="0"/>
          <w:numId w:val="82"/>
        </w:numPr>
        <w:tabs>
          <w:tab w:val="left" w:pos="709"/>
        </w:tabs>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质疑项目名称及编号、具体明确的质疑事项和与质疑事项相关的请求；</w:t>
      </w:r>
    </w:p>
    <w:p w14:paraId="46841003">
      <w:pPr>
        <w:pStyle w:val="27"/>
        <w:widowControl/>
        <w:numPr>
          <w:ilvl w:val="0"/>
          <w:numId w:val="82"/>
        </w:numPr>
        <w:tabs>
          <w:tab w:val="left" w:pos="709"/>
        </w:tabs>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认为采购文件、采购过程、中标和成交结果使自己的合法权益受到损害的法律依据、事实依据、相关证明材料及证据来源；</w:t>
      </w:r>
    </w:p>
    <w:p w14:paraId="786C4E01">
      <w:pPr>
        <w:pStyle w:val="27"/>
        <w:widowControl/>
        <w:numPr>
          <w:ilvl w:val="0"/>
          <w:numId w:val="82"/>
        </w:numPr>
        <w:tabs>
          <w:tab w:val="left" w:pos="709"/>
        </w:tabs>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提出质疑的日期。</w:t>
      </w:r>
    </w:p>
    <w:p w14:paraId="743836A0">
      <w:pPr>
        <w:pStyle w:val="27"/>
        <w:widowControl/>
        <w:numPr>
          <w:ilvl w:val="0"/>
          <w:numId w:val="80"/>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质疑函应当署名。质疑供应商为自然人的，应当由本人签字；质疑供应商为法人或者其他组织的，应当由法定代表人、主要负责人，或者其授权代表签字或者盖章，并加盖公章。</w:t>
      </w:r>
    </w:p>
    <w:p w14:paraId="68C56799">
      <w:pPr>
        <w:pStyle w:val="27"/>
        <w:widowControl/>
        <w:numPr>
          <w:ilvl w:val="0"/>
          <w:numId w:val="80"/>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以联合体形式参加采购活动的，其质疑应当由联合体成员委托主体提出。</w:t>
      </w:r>
    </w:p>
    <w:p w14:paraId="064A7798">
      <w:pPr>
        <w:pStyle w:val="27"/>
        <w:widowControl/>
        <w:numPr>
          <w:ilvl w:val="0"/>
          <w:numId w:val="80"/>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监督管理部门依法处理。</w:t>
      </w:r>
    </w:p>
    <w:p w14:paraId="4B25D179">
      <w:pPr>
        <w:pStyle w:val="27"/>
        <w:widowControl/>
        <w:numPr>
          <w:ilvl w:val="0"/>
          <w:numId w:val="80"/>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质疑联系方式如下：</w:t>
      </w:r>
    </w:p>
    <w:p w14:paraId="04E1EE58">
      <w:pPr>
        <w:widowControl/>
        <w:ind w:firstLine="480"/>
        <w:jc w:val="left"/>
        <w:rPr>
          <w:rFonts w:hint="default" w:ascii="宋体" w:hAnsi="宋体" w:eastAsia="宋体" w:cs="Times New Roman"/>
          <w:color w:val="auto"/>
          <w:kern w:val="0"/>
          <w:szCs w:val="21"/>
          <w:lang w:val="en-US" w:eastAsia="zh-CN"/>
        </w:rPr>
      </w:pPr>
      <w:r>
        <w:rPr>
          <w:rFonts w:ascii="宋体" w:hAnsi="宋体" w:eastAsia="宋体" w:cs="Times New Roman"/>
          <w:color w:val="auto"/>
          <w:kern w:val="0"/>
          <w:szCs w:val="21"/>
          <w:lang w:eastAsia="zh-Hans"/>
        </w:rPr>
        <w:t>质疑联系人：</w:t>
      </w:r>
      <w:r>
        <w:rPr>
          <w:rFonts w:hint="eastAsia" w:ascii="宋体" w:hAnsi="宋体" w:eastAsia="宋体" w:cs="Times New Roman"/>
          <w:color w:val="auto"/>
          <w:kern w:val="0"/>
          <w:szCs w:val="21"/>
          <w:lang w:val="en-US" w:eastAsia="zh-CN"/>
        </w:rPr>
        <w:t>黄小姐</w:t>
      </w:r>
    </w:p>
    <w:p w14:paraId="6A816235">
      <w:pPr>
        <w:widowControl/>
        <w:ind w:firstLine="480"/>
        <w:jc w:val="left"/>
        <w:rPr>
          <w:rFonts w:ascii="宋体" w:hAnsi="宋体" w:eastAsia="宋体" w:cs="Times New Roman"/>
          <w:color w:val="auto"/>
          <w:kern w:val="0"/>
          <w:szCs w:val="21"/>
          <w:lang w:eastAsia="zh-Hans"/>
        </w:rPr>
      </w:pPr>
      <w:bookmarkStart w:id="26" w:name="_Hlk170237862"/>
      <w:r>
        <w:rPr>
          <w:rFonts w:ascii="宋体" w:hAnsi="宋体" w:eastAsia="宋体" w:cs="Times New Roman"/>
          <w:color w:val="auto"/>
          <w:kern w:val="0"/>
          <w:szCs w:val="21"/>
          <w:lang w:eastAsia="zh-Hans"/>
        </w:rPr>
        <w:t>电话：（0769）22367009</w:t>
      </w:r>
    </w:p>
    <w:p w14:paraId="50A95697">
      <w:pPr>
        <w:widowControl/>
        <w:ind w:firstLine="48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邮箱：zhcity_gd@163.com</w:t>
      </w:r>
    </w:p>
    <w:p w14:paraId="0B6BB28E">
      <w:pPr>
        <w:widowControl/>
        <w:ind w:firstLine="480"/>
        <w:jc w:val="left"/>
        <w:rPr>
          <w:rFonts w:hint="eastAsia" w:ascii="宋体" w:hAnsi="宋体" w:eastAsia="宋体" w:cs="Times New Roman"/>
          <w:color w:val="auto"/>
          <w:kern w:val="0"/>
          <w:szCs w:val="21"/>
          <w:lang w:eastAsia="zh-CN"/>
        </w:rPr>
      </w:pPr>
      <w:r>
        <w:rPr>
          <w:rFonts w:ascii="宋体" w:hAnsi="宋体" w:eastAsia="宋体" w:cs="Times New Roman"/>
          <w:color w:val="auto"/>
          <w:kern w:val="0"/>
          <w:szCs w:val="21"/>
          <w:lang w:eastAsia="zh-Hans"/>
        </w:rPr>
        <w:t>地址：</w:t>
      </w:r>
      <w:r>
        <w:rPr>
          <w:rFonts w:hint="eastAsia" w:ascii="宋体" w:hAnsi="宋体" w:eastAsia="宋体" w:cs="Times New Roman"/>
          <w:color w:val="auto"/>
          <w:kern w:val="0"/>
          <w:szCs w:val="21"/>
          <w:lang w:eastAsia="zh-CN"/>
        </w:rPr>
        <w:t>东莞市南城街道雅园产业园区路5号1栋1楼</w:t>
      </w:r>
    </w:p>
    <w:p w14:paraId="3DADAC68">
      <w:pPr>
        <w:widowControl/>
        <w:ind w:firstLine="48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邮编：523000</w:t>
      </w:r>
      <w:bookmarkEnd w:id="26"/>
    </w:p>
    <w:p w14:paraId="4ABBDBCF">
      <w:pPr>
        <w:widowControl/>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3.投诉</w:t>
      </w:r>
    </w:p>
    <w:p w14:paraId="23EC7FB9">
      <w:pPr>
        <w:pStyle w:val="27"/>
        <w:widowControl/>
        <w:numPr>
          <w:ilvl w:val="0"/>
          <w:numId w:val="83"/>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质疑人对采购人或采购代理机构的质疑答复不满意或在规定时间内未得到答复的，可以在答复期满后15个工作日内，向本项目监督管理部门提起投诉。</w:t>
      </w:r>
    </w:p>
    <w:p w14:paraId="7D73C36D">
      <w:pPr>
        <w:pStyle w:val="27"/>
        <w:widowControl/>
        <w:numPr>
          <w:ilvl w:val="0"/>
          <w:numId w:val="49"/>
        </w:numPr>
        <w:spacing w:before="217" w:beforeLines="50"/>
        <w:ind w:left="442" w:hanging="442" w:firstLineChars="0"/>
        <w:jc w:val="left"/>
        <w:outlineLvl w:val="3"/>
        <w:rPr>
          <w:rFonts w:ascii="宋体" w:hAnsi="宋体" w:eastAsia="宋体" w:cs="Times New Roman"/>
          <w:color w:val="auto"/>
          <w:kern w:val="0"/>
          <w:szCs w:val="21"/>
        </w:rPr>
      </w:pPr>
      <w:r>
        <w:rPr>
          <w:rFonts w:ascii="宋体" w:hAnsi="宋体" w:eastAsia="宋体" w:cs="Times New Roman"/>
          <w:b/>
          <w:color w:val="auto"/>
          <w:kern w:val="0"/>
          <w:szCs w:val="21"/>
          <w:lang w:eastAsia="zh-Hans"/>
        </w:rPr>
        <w:t>履约担保</w:t>
      </w:r>
    </w:p>
    <w:p w14:paraId="550A4FCD">
      <w:pPr>
        <w:pStyle w:val="27"/>
        <w:widowControl/>
        <w:numPr>
          <w:ilvl w:val="0"/>
          <w:numId w:val="84"/>
        </w:numPr>
        <w:ind w:left="442" w:hanging="442" w:firstLineChars="0"/>
        <w:jc w:val="left"/>
        <w:outlineLvl w:val="3"/>
        <w:rPr>
          <w:rFonts w:ascii="宋体" w:hAnsi="宋体" w:eastAsia="宋体" w:cs="Times New Roman"/>
          <w:color w:val="auto"/>
          <w:kern w:val="0"/>
          <w:szCs w:val="21"/>
        </w:rPr>
      </w:pPr>
      <w:r>
        <w:rPr>
          <w:rFonts w:hint="eastAsia" w:ascii="宋体" w:hAnsi="宋体" w:eastAsia="宋体" w:cs="Times New Roman"/>
          <w:color w:val="auto"/>
          <w:kern w:val="0"/>
          <w:szCs w:val="21"/>
          <w:lang w:eastAsia="zh-CN"/>
        </w:rPr>
        <w:t>中标人</w:t>
      </w:r>
      <w:r>
        <w:rPr>
          <w:rFonts w:ascii="宋体" w:hAnsi="宋体" w:eastAsia="宋体" w:cs="Times New Roman"/>
          <w:color w:val="auto"/>
          <w:kern w:val="0"/>
          <w:szCs w:val="21"/>
        </w:rPr>
        <w:t>应按须知前附表要求向采购人缴纳履约担保（如采用保函形式，格式详见招标文件第</w:t>
      </w:r>
      <w:r>
        <w:rPr>
          <w:rFonts w:hint="eastAsia" w:ascii="宋体" w:hAnsi="宋体" w:eastAsia="宋体" w:cs="Times New Roman"/>
          <w:color w:val="auto"/>
          <w:kern w:val="0"/>
          <w:szCs w:val="21"/>
        </w:rPr>
        <w:t>六章</w:t>
      </w:r>
      <w:r>
        <w:rPr>
          <w:rFonts w:ascii="宋体" w:hAnsi="宋体" w:eastAsia="宋体" w:cs="Times New Roman"/>
          <w:color w:val="auto"/>
          <w:kern w:val="0"/>
          <w:szCs w:val="21"/>
        </w:rPr>
        <w:t>投标文件格式</w:t>
      </w:r>
      <w:r>
        <w:rPr>
          <w:rFonts w:hint="eastAsia" w:ascii="宋体" w:hAnsi="宋体" w:eastAsia="宋体" w:cs="Times New Roman"/>
          <w:color w:val="auto"/>
          <w:kern w:val="0"/>
          <w:szCs w:val="21"/>
        </w:rPr>
        <w:t>-履约担保</w:t>
      </w:r>
      <w:r>
        <w:rPr>
          <w:rFonts w:ascii="宋体" w:hAnsi="宋体" w:eastAsia="宋体" w:cs="Times New Roman"/>
          <w:color w:val="auto"/>
          <w:kern w:val="0"/>
          <w:szCs w:val="21"/>
        </w:rPr>
        <w:t>）。履约担保可以采用银行转账或</w:t>
      </w:r>
      <w:r>
        <w:rPr>
          <w:rFonts w:hint="eastAsia" w:ascii="宋体" w:hAnsi="宋体" w:eastAsia="宋体" w:cs="Times New Roman"/>
          <w:color w:val="auto"/>
          <w:kern w:val="0"/>
          <w:szCs w:val="21"/>
        </w:rPr>
        <w:t>支票、汇票、本票或者金融机构、担保机构出具的保函等非现金形式提交。</w:t>
      </w:r>
    </w:p>
    <w:p w14:paraId="509714C7">
      <w:pPr>
        <w:pStyle w:val="27"/>
        <w:widowControl/>
        <w:numPr>
          <w:ilvl w:val="0"/>
          <w:numId w:val="84"/>
        </w:numPr>
        <w:ind w:firstLineChars="0"/>
        <w:jc w:val="left"/>
        <w:outlineLvl w:val="3"/>
        <w:rPr>
          <w:rFonts w:hint="eastAsia" w:ascii="宋体" w:hAnsi="宋体" w:eastAsia="宋体" w:cs="Times New Roman"/>
          <w:color w:val="auto"/>
          <w:kern w:val="0"/>
          <w:szCs w:val="21"/>
        </w:rPr>
      </w:pPr>
      <w:r>
        <w:rPr>
          <w:rFonts w:ascii="宋体" w:hAnsi="宋体" w:eastAsia="宋体" w:cs="Times New Roman"/>
          <w:color w:val="auto"/>
          <w:kern w:val="0"/>
          <w:szCs w:val="21"/>
        </w:rPr>
        <w:t>在整个项目验收合格后，</w:t>
      </w:r>
      <w:r>
        <w:rPr>
          <w:rFonts w:hint="eastAsia" w:ascii="宋体" w:hAnsi="宋体" w:eastAsia="宋体" w:cs="Times New Roman"/>
          <w:color w:val="auto"/>
          <w:kern w:val="0"/>
          <w:szCs w:val="21"/>
          <w:lang w:eastAsia="zh-CN"/>
        </w:rPr>
        <w:t>中标人</w:t>
      </w:r>
      <w:r>
        <w:rPr>
          <w:rFonts w:ascii="宋体" w:hAnsi="宋体" w:eastAsia="宋体" w:cs="Times New Roman"/>
          <w:color w:val="auto"/>
          <w:kern w:val="0"/>
          <w:szCs w:val="21"/>
        </w:rPr>
        <w:t>向采购人提交退回履约保证金的申请，采购人办理履约保证金退还手续，将履约保证金退回原</w:t>
      </w:r>
      <w:r>
        <w:rPr>
          <w:rFonts w:hint="eastAsia" w:ascii="宋体" w:hAnsi="宋体" w:eastAsia="宋体" w:cs="Times New Roman"/>
          <w:color w:val="auto"/>
          <w:kern w:val="0"/>
          <w:szCs w:val="21"/>
          <w:lang w:eastAsia="zh-CN"/>
        </w:rPr>
        <w:t>中标人</w:t>
      </w:r>
      <w:r>
        <w:rPr>
          <w:rFonts w:ascii="宋体" w:hAnsi="宋体" w:eastAsia="宋体" w:cs="Times New Roman"/>
          <w:color w:val="auto"/>
          <w:kern w:val="0"/>
          <w:szCs w:val="21"/>
        </w:rPr>
        <w:t>的汇入账户。</w:t>
      </w:r>
    </w:p>
    <w:p w14:paraId="61A7EB8B">
      <w:pPr>
        <w:pStyle w:val="27"/>
        <w:widowControl/>
        <w:numPr>
          <w:ilvl w:val="0"/>
          <w:numId w:val="49"/>
        </w:numPr>
        <w:spacing w:before="217" w:beforeLines="50"/>
        <w:ind w:left="442" w:hanging="442"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合同签订和履行</w:t>
      </w:r>
    </w:p>
    <w:p w14:paraId="02041DF9">
      <w:pPr>
        <w:pStyle w:val="27"/>
        <w:widowControl/>
        <w:numPr>
          <w:ilvl w:val="3"/>
          <w:numId w:val="85"/>
        </w:numPr>
        <w:tabs>
          <w:tab w:val="left" w:pos="426"/>
          <w:tab w:val="left" w:pos="709"/>
          <w:tab w:val="left" w:pos="1134"/>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合同签订</w:t>
      </w:r>
    </w:p>
    <w:p w14:paraId="4A81814F">
      <w:pPr>
        <w:pStyle w:val="27"/>
        <w:widowControl/>
        <w:numPr>
          <w:ilvl w:val="0"/>
          <w:numId w:val="86"/>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采购人应当自《中标通知书》发出之日起三十日内，按照招标文件和</w:t>
      </w:r>
      <w:r>
        <w:rPr>
          <w:rFonts w:hint="eastAsia" w:ascii="宋体" w:hAnsi="宋体" w:eastAsia="宋体" w:cs="Times New Roman"/>
          <w:kern w:val="0"/>
          <w:szCs w:val="21"/>
          <w:lang w:eastAsia="zh-CN"/>
        </w:rPr>
        <w:t>中标人</w:t>
      </w:r>
      <w:r>
        <w:rPr>
          <w:rFonts w:ascii="宋体" w:hAnsi="宋体" w:eastAsia="宋体" w:cs="Times New Roman"/>
          <w:kern w:val="0"/>
          <w:szCs w:val="21"/>
          <w:lang w:eastAsia="zh-Hans"/>
        </w:rPr>
        <w:t>投标文件的约定，与</w:t>
      </w:r>
      <w:r>
        <w:rPr>
          <w:rFonts w:hint="eastAsia" w:ascii="宋体" w:hAnsi="宋体" w:eastAsia="宋体" w:cs="Times New Roman"/>
          <w:kern w:val="0"/>
          <w:szCs w:val="21"/>
          <w:lang w:eastAsia="zh-CN"/>
        </w:rPr>
        <w:t>中标人</w:t>
      </w:r>
      <w:r>
        <w:rPr>
          <w:rFonts w:ascii="宋体" w:hAnsi="宋体" w:eastAsia="宋体" w:cs="Times New Roman"/>
          <w:kern w:val="0"/>
          <w:szCs w:val="21"/>
          <w:lang w:eastAsia="zh-Hans"/>
        </w:rPr>
        <w:t>签订合同。所签订的合同不得对招标文件和</w:t>
      </w:r>
      <w:r>
        <w:rPr>
          <w:rFonts w:hint="eastAsia" w:ascii="宋体" w:hAnsi="宋体" w:eastAsia="宋体" w:cs="Times New Roman"/>
          <w:kern w:val="0"/>
          <w:szCs w:val="21"/>
          <w:lang w:eastAsia="zh-CN"/>
        </w:rPr>
        <w:t>中标人</w:t>
      </w:r>
      <w:r>
        <w:rPr>
          <w:rFonts w:ascii="宋体" w:hAnsi="宋体" w:eastAsia="宋体" w:cs="Times New Roman"/>
          <w:kern w:val="0"/>
          <w:szCs w:val="21"/>
          <w:lang w:eastAsia="zh-Hans"/>
        </w:rPr>
        <w:t>投标文件作实质性修改。</w:t>
      </w:r>
    </w:p>
    <w:p w14:paraId="227A774A">
      <w:pPr>
        <w:pStyle w:val="27"/>
        <w:widowControl/>
        <w:numPr>
          <w:ilvl w:val="0"/>
          <w:numId w:val="86"/>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采购人不得提出试用合格等任何不合理的要求作为签订合同的条件，且不得与</w:t>
      </w:r>
      <w:r>
        <w:rPr>
          <w:rFonts w:hint="eastAsia" w:ascii="宋体" w:hAnsi="宋体" w:eastAsia="宋体" w:cs="Times New Roman"/>
          <w:kern w:val="0"/>
          <w:szCs w:val="21"/>
          <w:lang w:eastAsia="zh-CN"/>
        </w:rPr>
        <w:t>中标人</w:t>
      </w:r>
      <w:r>
        <w:rPr>
          <w:rFonts w:ascii="宋体" w:hAnsi="宋体" w:eastAsia="宋体" w:cs="Times New Roman"/>
          <w:kern w:val="0"/>
          <w:szCs w:val="21"/>
          <w:lang w:eastAsia="zh-Hans"/>
        </w:rPr>
        <w:t>私下订立背离合同实质性内容的协议。</w:t>
      </w:r>
    </w:p>
    <w:p w14:paraId="4F3F062F">
      <w:pPr>
        <w:pStyle w:val="27"/>
        <w:widowControl/>
        <w:numPr>
          <w:ilvl w:val="3"/>
          <w:numId w:val="85"/>
        </w:numPr>
        <w:tabs>
          <w:tab w:val="left" w:pos="426"/>
          <w:tab w:val="left" w:pos="709"/>
          <w:tab w:val="left" w:pos="1134"/>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合同的履行</w:t>
      </w:r>
    </w:p>
    <w:p w14:paraId="63899B25">
      <w:pPr>
        <w:pStyle w:val="27"/>
        <w:widowControl/>
        <w:numPr>
          <w:ilvl w:val="0"/>
          <w:numId w:val="87"/>
        </w:numPr>
        <w:ind w:firstLineChars="0"/>
        <w:jc w:val="left"/>
        <w:rPr>
          <w:rFonts w:ascii="宋体" w:hAnsi="宋体" w:eastAsia="宋体" w:cs="Times New Roman"/>
          <w:color w:val="auto"/>
          <w:kern w:val="0"/>
          <w:szCs w:val="21"/>
          <w:lang w:eastAsia="zh-Hans"/>
        </w:rPr>
      </w:pPr>
      <w:bookmarkStart w:id="27" w:name="_Hlk170237916"/>
      <w:r>
        <w:rPr>
          <w:rFonts w:ascii="宋体" w:hAnsi="宋体" w:eastAsia="宋体" w:cs="Times New Roman"/>
          <w:kern w:val="0"/>
          <w:szCs w:val="21"/>
          <w:lang w:eastAsia="zh-Hans"/>
        </w:rPr>
        <w:t>采购合同订立后，合同各方不得擅自变更、中</w:t>
      </w:r>
      <w:r>
        <w:rPr>
          <w:rFonts w:ascii="宋体" w:hAnsi="宋体" w:eastAsia="宋体" w:cs="Times New Roman"/>
          <w:color w:val="auto"/>
          <w:kern w:val="0"/>
          <w:szCs w:val="21"/>
          <w:lang w:eastAsia="zh-Hans"/>
        </w:rPr>
        <w:t>止或者终止合同。采购合同需要变更的，采购人应将有关合同变更内容，以书面形式报</w:t>
      </w:r>
      <w:r>
        <w:rPr>
          <w:rFonts w:hint="eastAsia" w:ascii="宋体" w:hAnsi="宋体" w:eastAsia="宋体" w:cs="Times New Roman"/>
          <w:color w:val="auto"/>
          <w:kern w:val="0"/>
          <w:szCs w:val="21"/>
          <w:lang w:val="en-US" w:eastAsia="zh-CN"/>
        </w:rPr>
        <w:t>采购人有关</w:t>
      </w:r>
      <w:r>
        <w:rPr>
          <w:rFonts w:hint="eastAsia" w:ascii="宋体" w:hAnsi="宋体" w:eastAsia="宋体" w:cs="Times New Roman"/>
          <w:color w:val="auto"/>
          <w:kern w:val="0"/>
          <w:szCs w:val="21"/>
          <w:lang w:eastAsia="zh-Hans"/>
        </w:rPr>
        <w:t>部门</w:t>
      </w:r>
      <w:r>
        <w:rPr>
          <w:rFonts w:ascii="宋体" w:hAnsi="宋体" w:eastAsia="宋体" w:cs="Times New Roman"/>
          <w:color w:val="auto"/>
          <w:kern w:val="0"/>
          <w:szCs w:val="21"/>
          <w:lang w:eastAsia="zh-Hans"/>
        </w:rPr>
        <w:t>备案；因特殊情况需要中止或终止合同的，采购人应将中止或终止合同的理由以及相应措施，以书面形式报</w:t>
      </w:r>
      <w:r>
        <w:rPr>
          <w:rFonts w:hint="eastAsia" w:ascii="宋体" w:hAnsi="宋体" w:eastAsia="宋体" w:cs="Times New Roman"/>
          <w:color w:val="auto"/>
          <w:kern w:val="0"/>
          <w:szCs w:val="21"/>
          <w:lang w:val="en-US" w:eastAsia="zh-CN"/>
        </w:rPr>
        <w:t>采购人有关</w:t>
      </w:r>
      <w:r>
        <w:rPr>
          <w:rFonts w:hint="eastAsia" w:ascii="宋体" w:hAnsi="宋体" w:eastAsia="宋体" w:cs="Times New Roman"/>
          <w:color w:val="auto"/>
          <w:kern w:val="0"/>
          <w:szCs w:val="21"/>
          <w:lang w:eastAsia="zh-Hans"/>
        </w:rPr>
        <w:t>部门</w:t>
      </w:r>
      <w:r>
        <w:rPr>
          <w:rFonts w:ascii="宋体" w:hAnsi="宋体" w:eastAsia="宋体" w:cs="Times New Roman"/>
          <w:color w:val="auto"/>
          <w:kern w:val="0"/>
          <w:szCs w:val="21"/>
          <w:lang w:eastAsia="zh-Hans"/>
        </w:rPr>
        <w:t>备案。</w:t>
      </w:r>
      <w:bookmarkEnd w:id="27"/>
    </w:p>
    <w:p w14:paraId="7DB3A8A0">
      <w:pPr>
        <w:pStyle w:val="27"/>
        <w:widowControl/>
        <w:numPr>
          <w:ilvl w:val="0"/>
          <w:numId w:val="87"/>
        </w:numPr>
        <w:ind w:firstLineChars="0"/>
        <w:jc w:val="left"/>
        <w:rPr>
          <w:rFonts w:ascii="宋体" w:hAnsi="宋体" w:eastAsia="宋体" w:cs="Times New Roman"/>
          <w:kern w:val="0"/>
          <w:szCs w:val="21"/>
          <w:lang w:eastAsia="zh-Hans"/>
        </w:rPr>
      </w:pPr>
      <w:r>
        <w:rPr>
          <w:rFonts w:ascii="宋体" w:hAnsi="宋体" w:eastAsia="宋体" w:cs="Times New Roman"/>
          <w:color w:val="auto"/>
          <w:kern w:val="0"/>
          <w:szCs w:val="21"/>
          <w:lang w:eastAsia="zh-Hans"/>
        </w:rPr>
        <w:t>采购合同履行中，采购人需追加与合同标的相同的货物、工程</w:t>
      </w:r>
      <w:r>
        <w:rPr>
          <w:rFonts w:ascii="宋体" w:hAnsi="宋体" w:eastAsia="宋体" w:cs="Times New Roman"/>
          <w:kern w:val="0"/>
          <w:szCs w:val="21"/>
          <w:lang w:eastAsia="zh-Hans"/>
        </w:rPr>
        <w:t>或者服务的，在不改变合同其他条款的前提下，可以与中标人签订补充合同，但所补充合同的采购金额不得超过原合同采购金额的百分之十。</w:t>
      </w:r>
      <w:bookmarkStart w:id="28" w:name="_Hlk170237986"/>
      <w:r>
        <w:rPr>
          <w:rFonts w:ascii="宋体" w:hAnsi="宋体" w:eastAsia="宋体" w:cs="Times New Roman"/>
          <w:kern w:val="0"/>
          <w:szCs w:val="21"/>
          <w:lang w:eastAsia="zh-Hans"/>
        </w:rPr>
        <w:t>签订补充合同的必须按规定备案。</w:t>
      </w:r>
    </w:p>
    <w:bookmarkEnd w:id="28"/>
    <w:p w14:paraId="7058F3DD">
      <w:pPr>
        <w:pageBreakBefore/>
        <w:widowControl/>
        <w:jc w:val="center"/>
        <w:outlineLvl w:val="1"/>
        <w:rPr>
          <w:rFonts w:ascii="Calibri" w:hAnsi="Calibri" w:eastAsia="宋体" w:cs="Times New Roman"/>
          <w:kern w:val="0"/>
          <w:sz w:val="20"/>
          <w:szCs w:val="20"/>
          <w:lang w:eastAsia="zh-Hans"/>
        </w:rPr>
      </w:pPr>
      <w:bookmarkStart w:id="29" w:name="_Toc169807543"/>
      <w:bookmarkStart w:id="30" w:name="_Toc169799781"/>
      <w:r>
        <w:rPr>
          <w:rFonts w:ascii="Calibri" w:hAnsi="Calibri" w:eastAsia="宋体" w:cs="Times New Roman"/>
          <w:b/>
          <w:kern w:val="0"/>
          <w:sz w:val="36"/>
          <w:szCs w:val="20"/>
          <w:lang w:eastAsia="zh-Hans"/>
        </w:rPr>
        <w:t>第四章 评标</w:t>
      </w:r>
      <w:bookmarkEnd w:id="29"/>
      <w:bookmarkEnd w:id="30"/>
    </w:p>
    <w:p w14:paraId="1F905B4D">
      <w:pPr>
        <w:pStyle w:val="27"/>
        <w:numPr>
          <w:ilvl w:val="0"/>
          <w:numId w:val="88"/>
        </w:numPr>
        <w:ind w:firstLineChars="0"/>
        <w:rPr>
          <w:rFonts w:ascii="宋体" w:hAnsi="宋体" w:eastAsia="宋体"/>
          <w:b/>
          <w:bCs/>
        </w:rPr>
      </w:pPr>
      <w:r>
        <w:rPr>
          <w:rFonts w:ascii="宋体" w:hAnsi="宋体" w:eastAsia="宋体"/>
          <w:b/>
          <w:bCs/>
        </w:rPr>
        <w:t>评标要求</w:t>
      </w:r>
    </w:p>
    <w:p w14:paraId="000B4FC0">
      <w:pPr>
        <w:pStyle w:val="27"/>
        <w:widowControl/>
        <w:numPr>
          <w:ilvl w:val="3"/>
          <w:numId w:val="89"/>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评标方法</w:t>
      </w:r>
    </w:p>
    <w:p w14:paraId="7D12ED5E">
      <w:pPr>
        <w:pStyle w:val="27"/>
        <w:widowControl/>
        <w:numPr>
          <w:ilvl w:val="0"/>
          <w:numId w:val="90"/>
        </w:numPr>
        <w:ind w:firstLineChars="0"/>
        <w:jc w:val="left"/>
        <w:rPr>
          <w:rFonts w:ascii="宋体" w:hAnsi="宋体" w:eastAsia="宋体" w:cs="Times New Roman"/>
          <w:kern w:val="0"/>
          <w:szCs w:val="21"/>
        </w:rPr>
      </w:pPr>
      <w:r>
        <w:rPr>
          <w:rFonts w:ascii="宋体" w:hAnsi="宋体" w:eastAsia="宋体" w:cs="Times New Roman"/>
          <w:kern w:val="0"/>
          <w:szCs w:val="21"/>
        </w:rPr>
        <w:t>本项目按照</w:t>
      </w:r>
      <w:r>
        <w:rPr>
          <w:rFonts w:hint="eastAsia" w:ascii="宋体" w:hAnsi="宋体" w:eastAsia="宋体" w:cs="Times New Roman"/>
          <w:kern w:val="0"/>
          <w:szCs w:val="21"/>
        </w:rPr>
        <w:t>综合评分法</w:t>
      </w:r>
      <w:r>
        <w:rPr>
          <w:rFonts w:ascii="宋体" w:hAnsi="宋体" w:eastAsia="宋体" w:cs="Times New Roman"/>
          <w:kern w:val="0"/>
          <w:szCs w:val="21"/>
        </w:rPr>
        <w:t>的评标方法进行评审</w:t>
      </w:r>
    </w:p>
    <w:p w14:paraId="4CFF23C2">
      <w:pPr>
        <w:pStyle w:val="27"/>
        <w:widowControl/>
        <w:numPr>
          <w:ilvl w:val="0"/>
          <w:numId w:val="90"/>
        </w:numPr>
        <w:ind w:firstLineChars="0"/>
        <w:jc w:val="left"/>
        <w:rPr>
          <w:rFonts w:ascii="宋体" w:hAnsi="宋体" w:eastAsia="宋体" w:cs="Times New Roman"/>
          <w:kern w:val="0"/>
          <w:szCs w:val="21"/>
        </w:rPr>
      </w:pPr>
      <w:r>
        <w:rPr>
          <w:rFonts w:ascii="宋体" w:hAnsi="宋体" w:eastAsia="宋体" w:cs="Times New Roman"/>
          <w:kern w:val="0"/>
          <w:szCs w:val="21"/>
          <w:lang w:eastAsia="zh-Hans"/>
        </w:rPr>
        <w:t>综合评分法,是指投标文件满足招标文件全部实质性要求，且按照评审因素的量化指标评审得分最高的投标人为中标候选人的评标方法。（最低报价不是中标的唯一依据。）</w:t>
      </w:r>
    </w:p>
    <w:p w14:paraId="730BAD5B">
      <w:pPr>
        <w:pStyle w:val="27"/>
        <w:widowControl/>
        <w:numPr>
          <w:ilvl w:val="3"/>
          <w:numId w:val="89"/>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评标原则</w:t>
      </w:r>
    </w:p>
    <w:p w14:paraId="644A3CC7">
      <w:pPr>
        <w:pStyle w:val="27"/>
        <w:widowControl/>
        <w:numPr>
          <w:ilvl w:val="0"/>
          <w:numId w:val="91"/>
        </w:numPr>
        <w:tabs>
          <w:tab w:val="left" w:pos="426"/>
          <w:tab w:val="left" w:pos="709"/>
          <w:tab w:val="left" w:pos="993"/>
        </w:tabs>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评标活动遵循公平、公正、科学和择优的原则，以招标文件和投标文件为评标的基本依据，并按照招标文件规定的评标方法和评标标准进行评标。</w:t>
      </w:r>
    </w:p>
    <w:p w14:paraId="763316F0">
      <w:pPr>
        <w:pStyle w:val="27"/>
        <w:widowControl/>
        <w:numPr>
          <w:ilvl w:val="0"/>
          <w:numId w:val="91"/>
        </w:numPr>
        <w:tabs>
          <w:tab w:val="left" w:pos="426"/>
          <w:tab w:val="left" w:pos="709"/>
          <w:tab w:val="left" w:pos="993"/>
        </w:tabs>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具体评标事项由评标委员会负责，并按招标文件的规定办法进行评审。</w:t>
      </w:r>
    </w:p>
    <w:p w14:paraId="34C8B732">
      <w:pPr>
        <w:pStyle w:val="27"/>
        <w:widowControl/>
        <w:numPr>
          <w:ilvl w:val="0"/>
          <w:numId w:val="91"/>
        </w:numPr>
        <w:tabs>
          <w:tab w:val="left" w:pos="426"/>
          <w:tab w:val="left" w:pos="709"/>
          <w:tab w:val="left" w:pos="993"/>
        </w:tabs>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合格投标人不足须知前附表中约定的有效供应商家数的，不得评标。</w:t>
      </w:r>
    </w:p>
    <w:p w14:paraId="1328CF1C">
      <w:pPr>
        <w:pStyle w:val="27"/>
        <w:widowControl/>
        <w:numPr>
          <w:ilvl w:val="3"/>
          <w:numId w:val="89"/>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评标委员会</w:t>
      </w:r>
    </w:p>
    <w:p w14:paraId="1A36B4E5">
      <w:pPr>
        <w:pStyle w:val="27"/>
        <w:widowControl/>
        <w:numPr>
          <w:ilvl w:val="0"/>
          <w:numId w:val="92"/>
        </w:numPr>
        <w:tabs>
          <w:tab w:val="left" w:pos="284"/>
          <w:tab w:val="left" w:pos="426"/>
          <w:tab w:val="left" w:pos="851"/>
          <w:tab w:val="left" w:pos="1134"/>
          <w:tab w:val="left" w:pos="1560"/>
        </w:tabs>
        <w:ind w:hanging="2240" w:firstLineChars="0"/>
        <w:jc w:val="left"/>
        <w:rPr>
          <w:rFonts w:ascii="宋体" w:hAnsi="宋体" w:eastAsia="宋体" w:cs="Times New Roman"/>
          <w:kern w:val="0"/>
          <w:szCs w:val="21"/>
        </w:rPr>
      </w:pPr>
      <w:r>
        <w:rPr>
          <w:rFonts w:ascii="宋体" w:hAnsi="宋体" w:eastAsia="宋体" w:cs="Times New Roman"/>
          <w:kern w:val="0"/>
          <w:szCs w:val="21"/>
        </w:rPr>
        <w:t>本次招标依法组建评标委员会。</w:t>
      </w:r>
    </w:p>
    <w:p w14:paraId="2A82B383">
      <w:pPr>
        <w:pStyle w:val="27"/>
        <w:widowControl/>
        <w:numPr>
          <w:ilvl w:val="0"/>
          <w:numId w:val="92"/>
        </w:numPr>
        <w:tabs>
          <w:tab w:val="left" w:pos="284"/>
          <w:tab w:val="left" w:pos="426"/>
          <w:tab w:val="left" w:pos="851"/>
          <w:tab w:val="left" w:pos="1134"/>
          <w:tab w:val="left" w:pos="1560"/>
        </w:tabs>
        <w:ind w:left="426" w:hanging="426" w:firstLineChars="0"/>
        <w:jc w:val="left"/>
        <w:rPr>
          <w:rFonts w:ascii="宋体" w:hAnsi="宋体" w:eastAsia="宋体" w:cs="Times New Roman"/>
          <w:kern w:val="0"/>
          <w:szCs w:val="21"/>
        </w:rPr>
      </w:pPr>
      <w:r>
        <w:rPr>
          <w:rFonts w:ascii="宋体" w:hAnsi="宋体" w:eastAsia="宋体" w:cs="Times New Roman"/>
          <w:kern w:val="0"/>
          <w:szCs w:val="21"/>
        </w:rPr>
        <w:t>评标委员会成员名单在评标结果公告前应当保密。评审专家有下列情形之一的，受到邀请应主动提出回避，采购当事人也可以要求该评审专家回避：</w:t>
      </w:r>
    </w:p>
    <w:p w14:paraId="6336B898">
      <w:pPr>
        <w:pStyle w:val="27"/>
        <w:widowControl/>
        <w:numPr>
          <w:ilvl w:val="0"/>
          <w:numId w:val="93"/>
        </w:numPr>
        <w:tabs>
          <w:tab w:val="left" w:pos="709"/>
          <w:tab w:val="left" w:pos="851"/>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参加采购活动前3年内与供应商存在劳动关系；</w:t>
      </w:r>
    </w:p>
    <w:p w14:paraId="2BCB6405">
      <w:pPr>
        <w:pStyle w:val="27"/>
        <w:widowControl/>
        <w:numPr>
          <w:ilvl w:val="0"/>
          <w:numId w:val="93"/>
        </w:numPr>
        <w:tabs>
          <w:tab w:val="left" w:pos="709"/>
          <w:tab w:val="left" w:pos="851"/>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参加采购活动前3年内担任供应商的董事、监事；</w:t>
      </w:r>
    </w:p>
    <w:p w14:paraId="796525B9">
      <w:pPr>
        <w:pStyle w:val="27"/>
        <w:widowControl/>
        <w:numPr>
          <w:ilvl w:val="0"/>
          <w:numId w:val="93"/>
        </w:numPr>
        <w:tabs>
          <w:tab w:val="left" w:pos="709"/>
          <w:tab w:val="left" w:pos="851"/>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参加采购活动前3年内是供应商的控股股东或者实际控制人；</w:t>
      </w:r>
    </w:p>
    <w:p w14:paraId="0CA88AFA">
      <w:pPr>
        <w:pStyle w:val="27"/>
        <w:widowControl/>
        <w:numPr>
          <w:ilvl w:val="0"/>
          <w:numId w:val="93"/>
        </w:numPr>
        <w:tabs>
          <w:tab w:val="left" w:pos="709"/>
          <w:tab w:val="left" w:pos="851"/>
          <w:tab w:val="left" w:pos="1418"/>
        </w:tabs>
        <w:ind w:left="709" w:hanging="709" w:firstLineChars="0"/>
        <w:jc w:val="left"/>
        <w:rPr>
          <w:rFonts w:ascii="宋体" w:hAnsi="宋体" w:eastAsia="宋体" w:cs="Times New Roman"/>
          <w:spacing w:val="-4"/>
          <w:kern w:val="0"/>
          <w:szCs w:val="21"/>
        </w:rPr>
      </w:pPr>
      <w:r>
        <w:rPr>
          <w:rFonts w:ascii="宋体" w:hAnsi="宋体" w:eastAsia="宋体" w:cs="Times New Roman"/>
          <w:spacing w:val="-4"/>
          <w:kern w:val="0"/>
          <w:szCs w:val="21"/>
        </w:rPr>
        <w:t>与供应商的法定代表人或者负责人有夫妻、直系血亲、三代以内旁系血亲或者近姻亲关系；</w:t>
      </w:r>
    </w:p>
    <w:p w14:paraId="16FF92C4">
      <w:pPr>
        <w:pStyle w:val="27"/>
        <w:widowControl/>
        <w:numPr>
          <w:ilvl w:val="0"/>
          <w:numId w:val="93"/>
        </w:numPr>
        <w:tabs>
          <w:tab w:val="left" w:pos="709"/>
          <w:tab w:val="left" w:pos="851"/>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与供应商有其他可能影响采购活动公平、公正进行的关系。</w:t>
      </w:r>
    </w:p>
    <w:p w14:paraId="65AE34BB">
      <w:pPr>
        <w:pStyle w:val="27"/>
        <w:widowControl/>
        <w:numPr>
          <w:ilvl w:val="0"/>
          <w:numId w:val="92"/>
        </w:numPr>
        <w:tabs>
          <w:tab w:val="left" w:pos="284"/>
          <w:tab w:val="left" w:pos="426"/>
          <w:tab w:val="left" w:pos="851"/>
          <w:tab w:val="left" w:pos="1134"/>
          <w:tab w:val="left" w:pos="1560"/>
        </w:tabs>
        <w:ind w:left="426" w:hanging="426" w:firstLineChars="0"/>
        <w:jc w:val="left"/>
        <w:rPr>
          <w:rFonts w:ascii="宋体" w:hAnsi="宋体" w:eastAsia="宋体" w:cs="Times New Roman"/>
          <w:kern w:val="0"/>
          <w:szCs w:val="21"/>
        </w:rPr>
      </w:pPr>
      <w:r>
        <w:rPr>
          <w:rFonts w:ascii="宋体" w:hAnsi="宋体" w:eastAsia="宋体" w:cs="Times New Roman"/>
          <w:kern w:val="0"/>
          <w:szCs w:val="21"/>
        </w:rPr>
        <w:t>评标委员会负责具体评标事务，并独立履行下列职责：</w:t>
      </w:r>
    </w:p>
    <w:p w14:paraId="7D20F3CB">
      <w:pPr>
        <w:pStyle w:val="27"/>
        <w:widowControl/>
        <w:numPr>
          <w:ilvl w:val="0"/>
          <w:numId w:val="94"/>
        </w:numPr>
        <w:tabs>
          <w:tab w:val="left" w:pos="709"/>
          <w:tab w:val="left" w:pos="851"/>
          <w:tab w:val="left" w:pos="1134"/>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审查、评价投标文件是否符合招标文件的商务、技术等实质性要求；</w:t>
      </w:r>
    </w:p>
    <w:p w14:paraId="08DBB929">
      <w:pPr>
        <w:pStyle w:val="27"/>
        <w:widowControl/>
        <w:numPr>
          <w:ilvl w:val="0"/>
          <w:numId w:val="94"/>
        </w:numPr>
        <w:tabs>
          <w:tab w:val="left" w:pos="709"/>
          <w:tab w:val="left" w:pos="851"/>
          <w:tab w:val="left" w:pos="1134"/>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要求投标人对投标文件有关事项作出澄清或者说明；</w:t>
      </w:r>
    </w:p>
    <w:p w14:paraId="07333D05">
      <w:pPr>
        <w:pStyle w:val="27"/>
        <w:widowControl/>
        <w:numPr>
          <w:ilvl w:val="0"/>
          <w:numId w:val="94"/>
        </w:numPr>
        <w:tabs>
          <w:tab w:val="left" w:pos="709"/>
          <w:tab w:val="left" w:pos="851"/>
          <w:tab w:val="left" w:pos="1134"/>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对投标文件进行比较和评价；</w:t>
      </w:r>
    </w:p>
    <w:p w14:paraId="7C9254EA">
      <w:pPr>
        <w:pStyle w:val="27"/>
        <w:widowControl/>
        <w:numPr>
          <w:ilvl w:val="0"/>
          <w:numId w:val="94"/>
        </w:numPr>
        <w:tabs>
          <w:tab w:val="left" w:pos="709"/>
          <w:tab w:val="left" w:pos="851"/>
          <w:tab w:val="left" w:pos="1134"/>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确定中标候选人名单，以及根据采购人委托直接确定中标人；</w:t>
      </w:r>
    </w:p>
    <w:p w14:paraId="7D635E67">
      <w:pPr>
        <w:pStyle w:val="27"/>
        <w:widowControl/>
        <w:numPr>
          <w:ilvl w:val="0"/>
          <w:numId w:val="94"/>
        </w:numPr>
        <w:tabs>
          <w:tab w:val="left" w:pos="709"/>
          <w:tab w:val="left" w:pos="851"/>
          <w:tab w:val="left" w:pos="1134"/>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向采购人、采购代理机构或者有关部门报告评标中发现的违法行为。</w:t>
      </w:r>
    </w:p>
    <w:p w14:paraId="2761D361">
      <w:pPr>
        <w:pStyle w:val="27"/>
        <w:widowControl/>
        <w:numPr>
          <w:ilvl w:val="0"/>
          <w:numId w:val="94"/>
        </w:numPr>
        <w:tabs>
          <w:tab w:val="left" w:pos="709"/>
          <w:tab w:val="left" w:pos="851"/>
          <w:tab w:val="left" w:pos="1134"/>
          <w:tab w:val="left" w:pos="1418"/>
          <w:tab w:val="left" w:pos="1701"/>
        </w:tabs>
        <w:ind w:left="709" w:hanging="709" w:firstLineChars="0"/>
        <w:jc w:val="left"/>
        <w:rPr>
          <w:rFonts w:ascii="宋体" w:hAnsi="宋体" w:eastAsia="宋体" w:cs="Times New Roman"/>
          <w:kern w:val="0"/>
          <w:szCs w:val="21"/>
        </w:rPr>
      </w:pPr>
      <w:r>
        <w:rPr>
          <w:rFonts w:ascii="宋体" w:hAnsi="宋体" w:eastAsia="宋体" w:cs="Times New Roman"/>
          <w:kern w:val="0"/>
          <w:szCs w:val="21"/>
        </w:rPr>
        <w:t>对于投标文件中含义不明确、同类问题表述不一致或者有明显文字和计算错误的内容，评标委员会应当以书面形式要求投标人作出必要的澄清、说明或者补正。</w:t>
      </w:r>
    </w:p>
    <w:p w14:paraId="24AEEE07">
      <w:pPr>
        <w:pStyle w:val="27"/>
        <w:widowControl/>
        <w:numPr>
          <w:ilvl w:val="0"/>
          <w:numId w:val="94"/>
        </w:numPr>
        <w:tabs>
          <w:tab w:val="left" w:pos="709"/>
          <w:tab w:val="left" w:pos="851"/>
          <w:tab w:val="left" w:pos="1134"/>
          <w:tab w:val="left" w:pos="1418"/>
          <w:tab w:val="left" w:pos="1701"/>
        </w:tabs>
        <w:ind w:left="709" w:hanging="709" w:firstLineChars="0"/>
        <w:jc w:val="left"/>
        <w:rPr>
          <w:rFonts w:ascii="宋体" w:hAnsi="宋体" w:eastAsia="宋体" w:cs="Times New Roman"/>
          <w:kern w:val="0"/>
          <w:szCs w:val="21"/>
        </w:rPr>
      </w:pPr>
      <w:r>
        <w:rPr>
          <w:rFonts w:ascii="宋体" w:hAnsi="宋体" w:eastAsia="宋体" w:cs="Times New Roman"/>
          <w:kern w:val="0"/>
          <w:szCs w:val="21"/>
        </w:rPr>
        <w:t>评标委员会成员对需要共同认定的事项存在争议的，应当按照少数服从多数的原则作出结论。持不同意见的评标委员会成员应当在评标报告上签署不同意见及理由，否则视为同意评标报告。</w:t>
      </w:r>
    </w:p>
    <w:p w14:paraId="2AA83D76">
      <w:pPr>
        <w:pStyle w:val="27"/>
        <w:widowControl/>
        <w:numPr>
          <w:ilvl w:val="0"/>
          <w:numId w:val="94"/>
        </w:numPr>
        <w:tabs>
          <w:tab w:val="left" w:pos="567"/>
          <w:tab w:val="left" w:pos="709"/>
          <w:tab w:val="left" w:pos="1134"/>
          <w:tab w:val="left" w:pos="1418"/>
          <w:tab w:val="left" w:pos="1701"/>
        </w:tabs>
        <w:ind w:left="709" w:hanging="709" w:firstLineChars="0"/>
        <w:jc w:val="left"/>
        <w:rPr>
          <w:rFonts w:ascii="宋体" w:hAnsi="宋体" w:eastAsia="宋体" w:cs="Times New Roman"/>
          <w:kern w:val="0"/>
          <w:szCs w:val="21"/>
        </w:rPr>
      </w:pPr>
      <w:r>
        <w:rPr>
          <w:rFonts w:ascii="宋体" w:hAnsi="宋体" w:eastAsia="宋体" w:cs="Times New Roman"/>
          <w:kern w:val="0"/>
          <w:szCs w:val="21"/>
        </w:rPr>
        <w:t>参与评标工作的所有人员必须遵守《中华人民共和国政府采购法》、《中华人民共和国政府采购法实施条例》、财政部《政府采购货物和服务招标投标管理办法》及相关法律、法规的规定，以确保评标的公平、公正。</w:t>
      </w:r>
    </w:p>
    <w:p w14:paraId="087B6B85">
      <w:pPr>
        <w:pStyle w:val="27"/>
        <w:widowControl/>
        <w:numPr>
          <w:ilvl w:val="3"/>
          <w:numId w:val="89"/>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有下列情形之一的，视为投标人串通投标，其投标无效</w:t>
      </w:r>
      <w:r>
        <w:rPr>
          <w:rFonts w:hint="eastAsia" w:ascii="宋体" w:hAnsi="宋体" w:eastAsia="宋体" w:cs="Times New Roman"/>
          <w:b/>
          <w:kern w:val="0"/>
          <w:szCs w:val="21"/>
          <w:lang w:eastAsia="zh-Hans"/>
        </w:rPr>
        <w:t>：</w:t>
      </w:r>
    </w:p>
    <w:p w14:paraId="10FC83CC">
      <w:pPr>
        <w:pStyle w:val="27"/>
        <w:numPr>
          <w:ilvl w:val="0"/>
          <w:numId w:val="95"/>
        </w:numPr>
        <w:tabs>
          <w:tab w:val="left" w:pos="426"/>
          <w:tab w:val="left" w:pos="1276"/>
        </w:tabs>
        <w:ind w:hanging="2240" w:firstLineChars="0"/>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不同投标人的投标文件由同一单位或者个人编制；</w:t>
      </w:r>
    </w:p>
    <w:p w14:paraId="4258DDB6">
      <w:pPr>
        <w:pStyle w:val="27"/>
        <w:numPr>
          <w:ilvl w:val="0"/>
          <w:numId w:val="95"/>
        </w:numPr>
        <w:tabs>
          <w:tab w:val="left" w:pos="426"/>
          <w:tab w:val="left" w:pos="1276"/>
        </w:tabs>
        <w:ind w:hanging="2240" w:firstLineChars="0"/>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不同投标人委托同一单位或者个人办理投标事宜；</w:t>
      </w:r>
    </w:p>
    <w:p w14:paraId="663E5639">
      <w:pPr>
        <w:pStyle w:val="27"/>
        <w:numPr>
          <w:ilvl w:val="0"/>
          <w:numId w:val="95"/>
        </w:numPr>
        <w:tabs>
          <w:tab w:val="left" w:pos="426"/>
          <w:tab w:val="left" w:pos="1276"/>
        </w:tabs>
        <w:ind w:hanging="2240" w:firstLineChars="0"/>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不同投标人的投标文件载明的项目管理成员或者联系人员为同一人；</w:t>
      </w:r>
    </w:p>
    <w:p w14:paraId="007EB103">
      <w:pPr>
        <w:pStyle w:val="27"/>
        <w:numPr>
          <w:ilvl w:val="0"/>
          <w:numId w:val="95"/>
        </w:numPr>
        <w:tabs>
          <w:tab w:val="left" w:pos="426"/>
          <w:tab w:val="left" w:pos="1276"/>
        </w:tabs>
        <w:ind w:hanging="2240" w:firstLineChars="0"/>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不同投标人的投标文件异常一致或者投标报价呈规律性差异；</w:t>
      </w:r>
    </w:p>
    <w:p w14:paraId="17596D93">
      <w:pPr>
        <w:pStyle w:val="27"/>
        <w:numPr>
          <w:ilvl w:val="0"/>
          <w:numId w:val="95"/>
        </w:numPr>
        <w:tabs>
          <w:tab w:val="left" w:pos="426"/>
          <w:tab w:val="left" w:pos="1276"/>
        </w:tabs>
        <w:ind w:hanging="2240" w:firstLineChars="0"/>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不同投标人的投标文件相互混装；</w:t>
      </w:r>
    </w:p>
    <w:p w14:paraId="47D9FE45">
      <w:pPr>
        <w:pStyle w:val="27"/>
        <w:numPr>
          <w:ilvl w:val="0"/>
          <w:numId w:val="95"/>
        </w:numPr>
        <w:tabs>
          <w:tab w:val="left" w:pos="426"/>
          <w:tab w:val="left" w:pos="1276"/>
        </w:tabs>
        <w:ind w:hanging="2240" w:firstLineChars="0"/>
        <w:jc w:val="left"/>
        <w:rPr>
          <w:rFonts w:ascii="宋体" w:hAnsi="宋体" w:eastAsia="宋体" w:cs="Times New Roman"/>
          <w:kern w:val="0"/>
          <w:szCs w:val="21"/>
          <w:lang w:eastAsia="zh-Hans"/>
        </w:rPr>
      </w:pPr>
      <w:r>
        <w:rPr>
          <w:rFonts w:hint="eastAsia" w:ascii="宋体" w:hAnsi="宋体" w:eastAsia="宋体"/>
          <w:color w:val="000000" w:themeColor="text1"/>
          <w:szCs w:val="21"/>
          <w14:textFill>
            <w14:solidFill>
              <w14:schemeClr w14:val="tx1"/>
            </w14:solidFill>
          </w14:textFill>
        </w:rPr>
        <w:t>不同投标人的投标保证金从同一单位或者个人的账户转出。</w:t>
      </w:r>
    </w:p>
    <w:p w14:paraId="7354DA2F">
      <w:pPr>
        <w:pStyle w:val="27"/>
        <w:widowControl/>
        <w:numPr>
          <w:ilvl w:val="3"/>
          <w:numId w:val="89"/>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投标无效的情形</w:t>
      </w:r>
    </w:p>
    <w:p w14:paraId="19433EA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详见资格性审查、符合性审查和招标文件其他投标无效条款。</w:t>
      </w:r>
    </w:p>
    <w:p w14:paraId="43C65C36">
      <w:pPr>
        <w:pStyle w:val="27"/>
        <w:widowControl/>
        <w:numPr>
          <w:ilvl w:val="3"/>
          <w:numId w:val="89"/>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定标</w:t>
      </w:r>
    </w:p>
    <w:p w14:paraId="2BCC6686">
      <w:pPr>
        <w:pStyle w:val="27"/>
        <w:widowControl/>
        <w:numPr>
          <w:ilvl w:val="0"/>
          <w:numId w:val="96"/>
        </w:numPr>
        <w:ind w:left="426" w:hanging="426"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评标委员会按照招标文件确定的评标方法、步骤、标准，对投标文件进行评审。评标结束后，对投标人的评审名次进行排序，确定</w:t>
      </w:r>
      <w:r>
        <w:rPr>
          <w:rFonts w:hint="eastAsia" w:ascii="宋体" w:hAnsi="宋体" w:eastAsia="宋体" w:cs="Times New Roman"/>
          <w:kern w:val="0"/>
          <w:szCs w:val="21"/>
          <w:lang w:eastAsia="zh-CN"/>
        </w:rPr>
        <w:t>中标人</w:t>
      </w:r>
      <w:r>
        <w:rPr>
          <w:rFonts w:ascii="宋体" w:hAnsi="宋体" w:eastAsia="宋体" w:cs="Times New Roman"/>
          <w:kern w:val="0"/>
          <w:szCs w:val="21"/>
          <w:lang w:eastAsia="zh-Hans"/>
        </w:rPr>
        <w:t>或者推荐中标候选人。</w:t>
      </w:r>
    </w:p>
    <w:p w14:paraId="5B85F387">
      <w:pPr>
        <w:pStyle w:val="27"/>
        <w:widowControl/>
        <w:numPr>
          <w:ilvl w:val="3"/>
          <w:numId w:val="89"/>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价格修正</w:t>
      </w:r>
    </w:p>
    <w:p w14:paraId="3CDC5B82">
      <w:pPr>
        <w:pStyle w:val="27"/>
        <w:widowControl/>
        <w:numPr>
          <w:ilvl w:val="0"/>
          <w:numId w:val="97"/>
        </w:numPr>
        <w:tabs>
          <w:tab w:val="left" w:pos="426"/>
          <w:tab w:val="left" w:pos="993"/>
          <w:tab w:val="left" w:pos="1276"/>
        </w:tabs>
        <w:ind w:hanging="2240"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对报价的计算错误按以下原则修正：</w:t>
      </w:r>
    </w:p>
    <w:p w14:paraId="6CAF5F6B">
      <w:pPr>
        <w:pStyle w:val="27"/>
        <w:widowControl/>
        <w:numPr>
          <w:ilvl w:val="0"/>
          <w:numId w:val="98"/>
        </w:numPr>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投标文件中开标一览表内容与投标文件中相应内容不一致的，以开标一览表为准；</w:t>
      </w:r>
    </w:p>
    <w:p w14:paraId="1EEC79DE">
      <w:pPr>
        <w:pStyle w:val="27"/>
        <w:widowControl/>
        <w:numPr>
          <w:ilvl w:val="0"/>
          <w:numId w:val="98"/>
        </w:numPr>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大写金额和小写金额不一致的，以大写金额为准；</w:t>
      </w:r>
    </w:p>
    <w:p w14:paraId="710C05FF">
      <w:pPr>
        <w:pStyle w:val="27"/>
        <w:widowControl/>
        <w:numPr>
          <w:ilvl w:val="0"/>
          <w:numId w:val="98"/>
        </w:numPr>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单价金额小数点或者百分比有明显错位的，以开标一览表的总价为准，并修改单价</w:t>
      </w:r>
      <w:r>
        <w:rPr>
          <w:rFonts w:hint="eastAsia" w:ascii="宋体" w:hAnsi="宋体" w:eastAsia="宋体" w:cs="Times New Roman"/>
          <w:kern w:val="0"/>
          <w:szCs w:val="21"/>
          <w:lang w:eastAsia="zh-Hans"/>
        </w:rPr>
        <w:t>；</w:t>
      </w:r>
    </w:p>
    <w:p w14:paraId="754F0B5C">
      <w:pPr>
        <w:pStyle w:val="27"/>
        <w:widowControl/>
        <w:numPr>
          <w:ilvl w:val="0"/>
          <w:numId w:val="98"/>
        </w:numPr>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总价金额与按单价汇总金额不一致的，以单价金额计算结果为准。但是单价金额计算结果超过预算价的，对其按无效投标处理。</w:t>
      </w:r>
    </w:p>
    <w:p w14:paraId="7015B870">
      <w:pPr>
        <w:widowControl/>
        <w:jc w:val="left"/>
        <w:rPr>
          <w:rFonts w:ascii="宋体" w:hAnsi="宋体" w:eastAsia="宋体"/>
          <w:color w:val="333333"/>
          <w:szCs w:val="21"/>
          <w:shd w:val="clear" w:color="auto" w:fill="FFFFFF"/>
        </w:rPr>
      </w:pPr>
      <w:bookmarkStart w:id="31" w:name="_Hlk169887785"/>
      <w:r>
        <w:rPr>
          <w:rFonts w:ascii="宋体" w:hAnsi="宋体" w:eastAsia="宋体" w:cs="Times New Roman"/>
          <w:kern w:val="0"/>
          <w:szCs w:val="21"/>
          <w:lang w:eastAsia="zh-Hans"/>
        </w:rPr>
        <w:t>注：</w:t>
      </w:r>
      <w:r>
        <w:rPr>
          <w:rFonts w:hint="eastAsia" w:ascii="宋体" w:hAnsi="宋体" w:eastAsia="宋体"/>
          <w:color w:val="333333"/>
          <w:szCs w:val="21"/>
          <w:shd w:val="clear" w:color="auto" w:fill="FFFFFF"/>
        </w:rPr>
        <w:t>同时出现2种以上不一致的，按照前款规定的顺序修正。修正后的报价应当采用书面形式，并加盖公章，或者由法定代表人或其授权的代表签字，经投标人确认后产生约束力，投标人不确认的，其投标无效。</w:t>
      </w:r>
    </w:p>
    <w:bookmarkEnd w:id="31"/>
    <w:p w14:paraId="220127BA">
      <w:pPr>
        <w:pStyle w:val="27"/>
        <w:widowControl/>
        <w:numPr>
          <w:ilvl w:val="0"/>
          <w:numId w:val="97"/>
        </w:numPr>
        <w:tabs>
          <w:tab w:val="left" w:pos="426"/>
          <w:tab w:val="left" w:pos="993"/>
          <w:tab w:val="left" w:pos="1276"/>
          <w:tab w:val="left" w:pos="1843"/>
        </w:tabs>
        <w:ind w:left="426" w:hanging="426" w:firstLineChars="0"/>
        <w:jc w:val="left"/>
        <w:rPr>
          <w:rFonts w:ascii="宋体" w:hAnsi="宋体" w:eastAsia="宋体" w:cs="Times New Roman"/>
          <w:kern w:val="0"/>
          <w:szCs w:val="21"/>
        </w:rPr>
      </w:pPr>
      <w:r>
        <w:rPr>
          <w:rFonts w:ascii="宋体" w:hAnsi="宋体" w:eastAsia="宋体" w:cs="Times New Roman"/>
          <w:kern w:val="0"/>
          <w:szCs w:val="21"/>
        </w:rPr>
        <w:t>投标文件中开标一览表、分项报价表内容与唱标信封中开标一览表</w:t>
      </w:r>
      <w:r>
        <w:rPr>
          <w:rFonts w:hint="eastAsia" w:ascii="宋体" w:hAnsi="宋体" w:eastAsia="宋体" w:cs="Times New Roman"/>
          <w:kern w:val="0"/>
          <w:szCs w:val="21"/>
        </w:rPr>
        <w:t>、</w:t>
      </w:r>
      <w:r>
        <w:rPr>
          <w:rFonts w:ascii="宋体" w:hAnsi="宋体" w:eastAsia="宋体" w:cs="Times New Roman"/>
          <w:kern w:val="0"/>
          <w:szCs w:val="21"/>
        </w:rPr>
        <w:t>分项报价报内容不一致的，以唱标信封中开标一览表、分项报价表内容为准。</w:t>
      </w:r>
    </w:p>
    <w:p w14:paraId="609FC80E">
      <w:pPr>
        <w:pStyle w:val="27"/>
        <w:numPr>
          <w:ilvl w:val="0"/>
          <w:numId w:val="88"/>
        </w:numPr>
        <w:ind w:firstLineChars="0"/>
        <w:rPr>
          <w:rFonts w:ascii="宋体" w:hAnsi="宋体" w:eastAsia="宋体" w:cs="Times New Roman"/>
          <w:color w:val="auto"/>
          <w:kern w:val="0"/>
          <w:szCs w:val="21"/>
          <w:highlight w:val="none"/>
          <w:lang w:eastAsia="zh-Hans"/>
        </w:rPr>
      </w:pPr>
      <w:bookmarkStart w:id="32" w:name="_Toc169799782"/>
      <w:r>
        <w:rPr>
          <w:rFonts w:ascii="宋体" w:hAnsi="宋体" w:eastAsia="宋体"/>
          <w:b/>
          <w:bCs/>
        </w:rPr>
        <w:t>政府采购政策落实</w:t>
      </w:r>
      <w:bookmarkEnd w:id="32"/>
    </w:p>
    <w:p w14:paraId="79D17283">
      <w:pPr>
        <w:pStyle w:val="27"/>
        <w:numPr>
          <w:ilvl w:val="1"/>
          <w:numId w:val="99"/>
        </w:numPr>
        <w:tabs>
          <w:tab w:val="left" w:pos="426"/>
          <w:tab w:val="left" w:pos="1418"/>
        </w:tabs>
        <w:ind w:left="851" w:hanging="851" w:firstLineChars="0"/>
        <w:rPr>
          <w:rFonts w:ascii="宋体" w:hAnsi="宋体" w:eastAsia="宋体"/>
          <w:b/>
          <w:bCs/>
          <w:color w:val="auto"/>
          <w:szCs w:val="21"/>
          <w:highlight w:val="none"/>
        </w:rPr>
      </w:pPr>
      <w:r>
        <w:rPr>
          <w:rFonts w:hint="eastAsia" w:ascii="宋体" w:hAnsi="宋体" w:eastAsia="宋体"/>
          <w:b/>
          <w:bCs/>
          <w:color w:val="auto"/>
          <w:szCs w:val="21"/>
          <w:highlight w:val="none"/>
        </w:rPr>
        <w:t>对小型或微型企业投标的扶持</w:t>
      </w:r>
    </w:p>
    <w:p w14:paraId="73230FA6">
      <w:pPr>
        <w:pStyle w:val="27"/>
        <w:numPr>
          <w:ilvl w:val="2"/>
          <w:numId w:val="100"/>
        </w:numPr>
        <w:ind w:left="426" w:hanging="426" w:firstLineChars="0"/>
        <w:rPr>
          <w:rFonts w:ascii="宋体" w:hAnsi="宋体" w:eastAsia="宋体"/>
          <w:bCs/>
          <w:color w:val="auto"/>
          <w:szCs w:val="21"/>
          <w:highlight w:val="none"/>
        </w:rPr>
      </w:pPr>
      <w:bookmarkStart w:id="33" w:name="_Hlk90987722"/>
      <w:r>
        <w:rPr>
          <w:rFonts w:hint="eastAsia" w:ascii="宋体" w:hAnsi="宋体" w:eastAsia="宋体"/>
          <w:bCs/>
          <w:color w:val="auto"/>
          <w:szCs w:val="21"/>
          <w:highlight w:val="none"/>
        </w:rPr>
        <w:t>根据财政部、工业和信息化部制定《政府采购促进中小企业发展管理办法》（财库[</w:t>
      </w:r>
      <w:r>
        <w:rPr>
          <w:rFonts w:ascii="宋体" w:hAnsi="宋体" w:eastAsia="宋体"/>
          <w:bCs/>
          <w:color w:val="auto"/>
          <w:szCs w:val="21"/>
          <w:highlight w:val="none"/>
        </w:rPr>
        <w:t>2020]46</w:t>
      </w:r>
      <w:r>
        <w:rPr>
          <w:rFonts w:hint="eastAsia" w:ascii="宋体" w:hAnsi="宋体" w:eastAsia="宋体"/>
          <w:bCs/>
          <w:color w:val="auto"/>
          <w:szCs w:val="21"/>
          <w:highlight w:val="none"/>
        </w:rPr>
        <w:t>号）的规定，对小微企业报价给予</w:t>
      </w:r>
      <w:r>
        <w:rPr>
          <w:rFonts w:ascii="宋体" w:hAnsi="宋体" w:eastAsia="宋体"/>
          <w:bCs/>
          <w:color w:val="auto"/>
          <w:szCs w:val="21"/>
          <w:highlight w:val="none"/>
        </w:rPr>
        <w:t>10</w:t>
      </w:r>
      <w:r>
        <w:rPr>
          <w:rFonts w:hint="eastAsia" w:ascii="宋体" w:hAnsi="宋体" w:eastAsia="宋体"/>
          <w:bCs/>
          <w:color w:val="auto"/>
          <w:szCs w:val="21"/>
          <w:highlight w:val="none"/>
        </w:rPr>
        <w:t>%的扣除，用扣除后的价格参与评审。参加政府采购活动的中小企业应当提供《中小企业声明函》</w:t>
      </w:r>
      <w:r>
        <w:rPr>
          <w:rFonts w:hint="eastAsia" w:ascii="宋体" w:hAnsi="宋体" w:eastAsia="宋体"/>
          <w:b/>
          <w:color w:val="auto"/>
          <w:szCs w:val="21"/>
          <w:highlight w:val="none"/>
          <w:u w:val="single"/>
        </w:rPr>
        <w:t>（</w:t>
      </w:r>
      <w:bookmarkEnd w:id="33"/>
      <w:r>
        <w:rPr>
          <w:rFonts w:hint="eastAsia" w:ascii="宋体" w:hAnsi="宋体" w:eastAsia="宋体"/>
          <w:b/>
          <w:color w:val="auto"/>
          <w:szCs w:val="21"/>
          <w:highlight w:val="none"/>
          <w:u w:val="single"/>
        </w:rPr>
        <w:t>格式详见招标文件第六章投标文件格式）。</w:t>
      </w:r>
    </w:p>
    <w:p w14:paraId="231C45DF">
      <w:pPr>
        <w:pStyle w:val="27"/>
        <w:numPr>
          <w:ilvl w:val="1"/>
          <w:numId w:val="99"/>
        </w:numPr>
        <w:tabs>
          <w:tab w:val="left" w:pos="426"/>
          <w:tab w:val="left" w:pos="1418"/>
        </w:tabs>
        <w:ind w:left="851" w:hanging="851" w:firstLineChars="0"/>
        <w:rPr>
          <w:rFonts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对监狱企业投标的扶持</w:t>
      </w:r>
    </w:p>
    <w:p w14:paraId="0EB14B84">
      <w:pPr>
        <w:pStyle w:val="27"/>
        <w:numPr>
          <w:ilvl w:val="2"/>
          <w:numId w:val="101"/>
        </w:numPr>
        <w:ind w:firstLineChars="0"/>
        <w:rPr>
          <w:rFonts w:ascii="宋体" w:hAnsi="宋体" w:eastAsia="宋体"/>
          <w:b/>
          <w:color w:val="000000" w:themeColor="text1"/>
          <w:szCs w:val="21"/>
          <w:u w:val="single"/>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为发挥政府采购支持监狱企业发展的作用，根据《关于政府采购支持监狱企业发展有关问题的通知》（财库</w:t>
      </w:r>
      <w:r>
        <w:rPr>
          <w:rFonts w:ascii="宋体" w:hAnsi="宋体" w:eastAsia="宋体"/>
          <w:bCs/>
          <w:color w:val="000000" w:themeColor="text1"/>
          <w:szCs w:val="21"/>
          <w14:textFill>
            <w14:solidFill>
              <w14:schemeClr w14:val="tx1"/>
            </w14:solidFill>
          </w14:textFill>
        </w:rPr>
        <w:t>[2014]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w:t>
      </w:r>
      <w:r>
        <w:rPr>
          <w:rFonts w:ascii="宋体" w:hAnsi="宋体" w:eastAsia="宋体"/>
          <w:b/>
          <w:color w:val="000000" w:themeColor="text1"/>
          <w:szCs w:val="21"/>
          <w:u w:val="single"/>
          <w14:textFill>
            <w14:solidFill>
              <w14:schemeClr w14:val="tx1"/>
            </w14:solidFill>
          </w14:textFill>
        </w:rPr>
        <w:t>（格式详见招标文件第</w:t>
      </w:r>
      <w:r>
        <w:rPr>
          <w:rFonts w:hint="eastAsia" w:ascii="宋体" w:hAnsi="宋体" w:eastAsia="宋体"/>
          <w:b/>
          <w:color w:val="000000" w:themeColor="text1"/>
          <w:szCs w:val="21"/>
          <w:u w:val="single"/>
          <w14:textFill>
            <w14:solidFill>
              <w14:schemeClr w14:val="tx1"/>
            </w14:solidFill>
          </w14:textFill>
        </w:rPr>
        <w:t>六章</w:t>
      </w:r>
      <w:r>
        <w:rPr>
          <w:rFonts w:ascii="宋体" w:hAnsi="宋体" w:eastAsia="宋体"/>
          <w:b/>
          <w:color w:val="000000" w:themeColor="text1"/>
          <w:szCs w:val="21"/>
          <w:u w:val="single"/>
          <w14:textFill>
            <w14:solidFill>
              <w14:schemeClr w14:val="tx1"/>
            </w14:solidFill>
          </w14:textFill>
        </w:rPr>
        <w:t>投标文件格式）</w:t>
      </w:r>
    </w:p>
    <w:p w14:paraId="42AAAFB7">
      <w:pPr>
        <w:pStyle w:val="27"/>
        <w:numPr>
          <w:ilvl w:val="1"/>
          <w:numId w:val="99"/>
        </w:numPr>
        <w:tabs>
          <w:tab w:val="left" w:pos="426"/>
          <w:tab w:val="left" w:pos="1418"/>
        </w:tabs>
        <w:ind w:left="851" w:hanging="851" w:firstLineChars="0"/>
        <w:rPr>
          <w:rFonts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对残疾人福利性单位投标的扶持</w:t>
      </w:r>
    </w:p>
    <w:p w14:paraId="2923D221">
      <w:pPr>
        <w:pStyle w:val="27"/>
        <w:numPr>
          <w:ilvl w:val="2"/>
          <w:numId w:val="102"/>
        </w:numPr>
        <w:ind w:left="424" w:hanging="424" w:hangingChars="202"/>
        <w:rPr>
          <w:rFonts w:ascii="宋体" w:hAnsi="宋体" w:eastAsia="宋体"/>
          <w:b/>
          <w:color w:val="000000" w:themeColor="text1"/>
          <w:szCs w:val="21"/>
          <w:u w:val="single"/>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为了发挥政府采购促进残疾人就业的作用，根据财政部</w:t>
      </w:r>
      <w:r>
        <w:rPr>
          <w:rFonts w:ascii="宋体" w:hAnsi="宋体" w:eastAsia="宋体"/>
          <w:bCs/>
          <w:color w:val="000000" w:themeColor="text1"/>
          <w:szCs w:val="21"/>
          <w14:textFill>
            <w14:solidFill>
              <w14:schemeClr w14:val="tx1"/>
            </w14:solidFill>
          </w14:textFill>
        </w:rPr>
        <w:t xml:space="preserve"> </w:t>
      </w:r>
      <w:r>
        <w:rPr>
          <w:rFonts w:hint="eastAsia" w:ascii="宋体" w:hAnsi="宋体" w:eastAsia="宋体"/>
          <w:bCs/>
          <w:color w:val="000000" w:themeColor="text1"/>
          <w:szCs w:val="21"/>
          <w14:textFill>
            <w14:solidFill>
              <w14:schemeClr w14:val="tx1"/>
            </w14:solidFill>
          </w14:textFill>
        </w:rPr>
        <w:t>民政部</w:t>
      </w:r>
      <w:r>
        <w:rPr>
          <w:rFonts w:ascii="宋体" w:hAnsi="宋体" w:eastAsia="宋体"/>
          <w:bCs/>
          <w:color w:val="000000" w:themeColor="text1"/>
          <w:szCs w:val="21"/>
          <w14:textFill>
            <w14:solidFill>
              <w14:schemeClr w14:val="tx1"/>
            </w14:solidFill>
          </w14:textFill>
        </w:rPr>
        <w:t xml:space="preserve"> </w:t>
      </w:r>
      <w:r>
        <w:rPr>
          <w:rFonts w:hint="eastAsia" w:ascii="宋体" w:hAnsi="宋体" w:eastAsia="宋体"/>
          <w:bCs/>
          <w:color w:val="000000" w:themeColor="text1"/>
          <w:szCs w:val="21"/>
          <w14:textFill>
            <w14:solidFill>
              <w14:schemeClr w14:val="tx1"/>
            </w14:solidFill>
          </w14:textFill>
        </w:rPr>
        <w:t>中国残疾人联合会《关于促进残疾人就业政府采购政策的通知》（财库</w:t>
      </w:r>
      <w:r>
        <w:rPr>
          <w:rFonts w:ascii="宋体" w:hAnsi="宋体" w:eastAsia="宋体"/>
          <w:bCs/>
          <w:color w:val="000000" w:themeColor="text1"/>
          <w:szCs w:val="21"/>
          <w14:textFill>
            <w14:solidFill>
              <w14:schemeClr w14:val="tx1"/>
            </w14:solidFill>
          </w14:textFill>
        </w:rPr>
        <w:t>[2017]</w:t>
      </w:r>
      <w:r>
        <w:rPr>
          <w:rFonts w:hint="eastAsia" w:ascii="宋体" w:hAnsi="宋体" w:eastAsia="宋体"/>
          <w:bCs/>
          <w:color w:val="000000" w:themeColor="text1"/>
          <w:szCs w:val="21"/>
          <w14:textFill>
            <w14:solidFill>
              <w14:schemeClr w14:val="tx1"/>
            </w14:solidFill>
          </w14:textFill>
        </w:rPr>
        <w:t>1</w:t>
      </w:r>
      <w:r>
        <w:rPr>
          <w:rFonts w:ascii="宋体" w:hAnsi="宋体" w:eastAsia="宋体"/>
          <w:bCs/>
          <w:color w:val="000000" w:themeColor="text1"/>
          <w:szCs w:val="21"/>
          <w14:textFill>
            <w14:solidFill>
              <w14:schemeClr w14:val="tx1"/>
            </w14:solidFill>
          </w14:textFill>
        </w:rPr>
        <w:t>41号）的规定，残疾人福利性单位视同小型、微型企业，享受一定比例的价格折扣优惠，用扣除后的价格作为其参与评审的价格。参加政府采购活动的残疾人福利性单位应当提供《残疾人福利性单位声明函》</w:t>
      </w:r>
      <w:r>
        <w:rPr>
          <w:rFonts w:hint="eastAsia" w:ascii="宋体" w:hAnsi="宋体" w:eastAsia="宋体"/>
          <w:b/>
          <w:color w:val="000000" w:themeColor="text1"/>
          <w:szCs w:val="21"/>
          <w:u w:val="single"/>
          <w14:textFill>
            <w14:solidFill>
              <w14:schemeClr w14:val="tx1"/>
            </w14:solidFill>
          </w14:textFill>
        </w:rPr>
        <w:t>（格式详见招标文件第六章投标文件格式）。</w:t>
      </w:r>
    </w:p>
    <w:p w14:paraId="5E40FCE0">
      <w:pPr>
        <w:pStyle w:val="27"/>
        <w:numPr>
          <w:ilvl w:val="1"/>
          <w:numId w:val="99"/>
        </w:numPr>
        <w:ind w:left="426" w:hanging="426" w:firstLineChars="0"/>
        <w:jc w:val="left"/>
        <w:rPr>
          <w:rFonts w:ascii="宋体" w:hAnsi="宋体" w:eastAsia="宋体"/>
          <w:b/>
          <w:color w:val="000000" w:themeColor="text1"/>
          <w:szCs w:val="21"/>
          <w14:textFill>
            <w14:solidFill>
              <w14:schemeClr w14:val="tx1"/>
            </w14:solidFill>
          </w14:textFill>
        </w:rPr>
      </w:pPr>
      <w:r>
        <w:rPr>
          <w:rFonts w:hint="eastAsia" w:ascii="宋体" w:hAnsi="宋体" w:eastAsia="宋体"/>
          <w:b/>
          <w:szCs w:val="21"/>
        </w:rPr>
        <w:t>大中型企业与小微企业组成联合体或者允许大中型企业向一家或者多家小微企业分包的采购项目，对于联合协议或者分包意向协议约定小微企业的合同份额占到合同总金额30%以上的，对联合体或者大中型企业的报价给予</w:t>
      </w:r>
      <w:r>
        <w:rPr>
          <w:rFonts w:ascii="宋体" w:hAnsi="宋体" w:eastAsia="宋体"/>
          <w:b/>
          <w:szCs w:val="21"/>
        </w:rPr>
        <w:t>4</w:t>
      </w:r>
      <w:r>
        <w:rPr>
          <w:rFonts w:hint="eastAsia" w:ascii="宋体" w:hAnsi="宋体" w:eastAsia="宋体"/>
          <w:b/>
          <w:szCs w:val="21"/>
        </w:rPr>
        <w:t>%的扣除</w:t>
      </w:r>
      <w:r>
        <w:rPr>
          <w:rFonts w:ascii="宋体" w:hAnsi="宋体" w:eastAsia="宋体"/>
          <w:b/>
          <w:szCs w:val="21"/>
        </w:rPr>
        <w:t>。</w:t>
      </w:r>
    </w:p>
    <w:p w14:paraId="7E3202C0">
      <w:pPr>
        <w:pStyle w:val="27"/>
        <w:numPr>
          <w:ilvl w:val="1"/>
          <w:numId w:val="99"/>
        </w:numPr>
        <w:tabs>
          <w:tab w:val="left" w:pos="426"/>
          <w:tab w:val="left" w:pos="1418"/>
        </w:tabs>
        <w:ind w:left="851" w:hanging="851" w:firstLineChars="0"/>
        <w:rPr>
          <w:rFonts w:ascii="宋体" w:hAnsi="宋体" w:eastAsia="宋体"/>
          <w:b/>
          <w:color w:val="385724" w:themeColor="accent6" w:themeShade="80"/>
          <w:szCs w:val="21"/>
        </w:rPr>
      </w:pPr>
      <w:bookmarkStart w:id="34" w:name="_Hlk86745708"/>
      <w:bookmarkStart w:id="35" w:name="_Hlk90987823"/>
      <w:r>
        <w:rPr>
          <w:rFonts w:hint="eastAsia" w:ascii="宋体" w:hAnsi="宋体" w:eastAsia="宋体"/>
          <w:b/>
          <w:bCs/>
          <w:color w:val="000000" w:themeColor="text1"/>
          <w:szCs w:val="21"/>
          <w14:textFill>
            <w14:solidFill>
              <w14:schemeClr w14:val="tx1"/>
            </w14:solidFill>
          </w14:textFill>
        </w:rPr>
        <w:t>监狱企业产品、残疾人福利性单位产品价格扣除</w:t>
      </w:r>
    </w:p>
    <w:p w14:paraId="5FA076BC">
      <w:pPr>
        <w:pStyle w:val="27"/>
        <w:ind w:left="-141" w:leftChars="-67" w:firstLine="567" w:firstLineChars="270"/>
        <w:rPr>
          <w:rFonts w:ascii="宋体" w:hAnsi="宋体" w:eastAsia="宋体"/>
          <w:bCs/>
          <w:color w:val="385724" w:themeColor="accent6" w:themeShade="80"/>
          <w:szCs w:val="21"/>
        </w:rPr>
      </w:pPr>
      <w:r>
        <w:rPr>
          <w:rFonts w:hint="eastAsia" w:ascii="宋体" w:hAnsi="宋体" w:eastAsia="宋体"/>
          <w:bCs/>
          <w:szCs w:val="21"/>
        </w:rPr>
        <w:t>监狱企业、</w:t>
      </w:r>
      <w:r>
        <w:rPr>
          <w:rFonts w:ascii="宋体" w:hAnsi="宋体" w:eastAsia="宋体"/>
          <w:bCs/>
          <w:szCs w:val="21"/>
        </w:rPr>
        <w:t>残疾人福利性单位视同小微企业</w:t>
      </w:r>
      <w:r>
        <w:rPr>
          <w:rFonts w:hint="eastAsia" w:ascii="宋体" w:hAnsi="宋体" w:eastAsia="宋体"/>
          <w:bCs/>
          <w:szCs w:val="21"/>
        </w:rPr>
        <w:t>，按上述第</w:t>
      </w:r>
      <w:r>
        <w:rPr>
          <w:rFonts w:ascii="宋体" w:hAnsi="宋体" w:eastAsia="宋体"/>
          <w:bCs/>
          <w:szCs w:val="21"/>
        </w:rPr>
        <w:t>1</w:t>
      </w:r>
      <w:r>
        <w:rPr>
          <w:rFonts w:hint="eastAsia" w:ascii="宋体" w:hAnsi="宋体" w:eastAsia="宋体"/>
          <w:bCs/>
          <w:szCs w:val="21"/>
        </w:rPr>
        <w:t>条款和第</w:t>
      </w:r>
      <w:r>
        <w:rPr>
          <w:rFonts w:ascii="宋体" w:hAnsi="宋体" w:eastAsia="宋体"/>
          <w:bCs/>
          <w:szCs w:val="21"/>
        </w:rPr>
        <w:t>4</w:t>
      </w:r>
      <w:r>
        <w:rPr>
          <w:rFonts w:hint="eastAsia" w:ascii="宋体" w:hAnsi="宋体" w:eastAsia="宋体"/>
          <w:bCs/>
          <w:szCs w:val="21"/>
        </w:rPr>
        <w:t>条款享受评审中价格扣除。</w:t>
      </w:r>
    </w:p>
    <w:bookmarkEnd w:id="34"/>
    <w:p w14:paraId="29F7F539">
      <w:pP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注：投标人同时为小型、微型企业、监狱企业、残疾人福利性单位任两种或以上情况的，评审中只享受一次价格扣除，不重复进行价格扣除。</w:t>
      </w:r>
    </w:p>
    <w:bookmarkEnd w:id="35"/>
    <w:p w14:paraId="288746E7">
      <w:pPr>
        <w:pStyle w:val="27"/>
        <w:numPr>
          <w:ilvl w:val="1"/>
          <w:numId w:val="99"/>
        </w:numPr>
        <w:ind w:left="426" w:hanging="426" w:firstLineChars="0"/>
        <w:rPr>
          <w:rFonts w:ascii="宋体" w:hAnsi="宋体" w:eastAsia="宋体"/>
          <w:b/>
          <w:szCs w:val="21"/>
        </w:rPr>
      </w:pPr>
      <w:r>
        <w:rPr>
          <w:rFonts w:hint="eastAsia" w:ascii="宋体" w:hAnsi="宋体" w:eastAsia="宋体"/>
          <w:b/>
          <w:szCs w:val="21"/>
        </w:rPr>
        <w:t>节能产品、环境标志产品价格扣除：</w:t>
      </w:r>
    </w:p>
    <w:p w14:paraId="3FB4B18E">
      <w:pPr>
        <w:pStyle w:val="27"/>
        <w:numPr>
          <w:ilvl w:val="0"/>
          <w:numId w:val="103"/>
        </w:numPr>
        <w:ind w:left="426" w:hanging="426" w:firstLineChars="0"/>
        <w:rPr>
          <w:rFonts w:ascii="宋体" w:hAnsi="宋体" w:eastAsia="宋体"/>
          <w:color w:val="auto"/>
          <w:szCs w:val="21"/>
        </w:rPr>
      </w:pPr>
      <w:r>
        <w:rPr>
          <w:rFonts w:hint="eastAsia" w:ascii="宋体" w:hAnsi="宋体" w:eastAsia="宋体"/>
          <w:color w:val="auto"/>
          <w:szCs w:val="21"/>
        </w:rPr>
        <w:t>投标产品(针对非政府强制采购产品)纳入财政部、发展改革委颁发最新节能产品政府采购品目清单的，</w:t>
      </w:r>
      <w:r>
        <w:rPr>
          <w:rFonts w:hint="eastAsia" w:ascii="宋体" w:hAnsi="宋体" w:eastAsia="宋体"/>
          <w:bCs/>
          <w:color w:val="auto"/>
          <w:szCs w:val="21"/>
        </w:rPr>
        <w:t>对</w:t>
      </w:r>
      <w:r>
        <w:rPr>
          <w:rFonts w:hint="eastAsia" w:ascii="宋体" w:hAnsi="宋体" w:eastAsia="宋体"/>
          <w:color w:val="auto"/>
          <w:szCs w:val="21"/>
        </w:rPr>
        <w:t>节能</w:t>
      </w:r>
      <w:r>
        <w:rPr>
          <w:rFonts w:hint="eastAsia" w:ascii="宋体" w:hAnsi="宋体" w:eastAsia="宋体"/>
          <w:bCs/>
          <w:color w:val="auto"/>
          <w:szCs w:val="21"/>
        </w:rPr>
        <w:t>产品的价格给予1%的扣除，用扣除后的价格参与评审。（</w:t>
      </w:r>
      <w:r>
        <w:rPr>
          <w:rFonts w:hint="eastAsia" w:ascii="宋体" w:hAnsi="宋体" w:eastAsia="宋体"/>
          <w:color w:val="auto"/>
          <w:szCs w:val="21"/>
        </w:rPr>
        <w:t>提供投标产品有效期内的节能产品认证证书复印件加盖投标人公章）。</w:t>
      </w:r>
    </w:p>
    <w:p w14:paraId="6F107683">
      <w:pPr>
        <w:pStyle w:val="27"/>
        <w:numPr>
          <w:ilvl w:val="0"/>
          <w:numId w:val="103"/>
        </w:numPr>
        <w:ind w:left="426" w:hanging="426" w:firstLineChars="0"/>
        <w:rPr>
          <w:rFonts w:ascii="宋体" w:hAnsi="宋体" w:eastAsia="宋体"/>
          <w:color w:val="00B0F0"/>
          <w:szCs w:val="21"/>
        </w:rPr>
      </w:pPr>
      <w:r>
        <w:rPr>
          <w:rFonts w:hint="eastAsia" w:ascii="宋体" w:hAnsi="宋体" w:eastAsia="宋体"/>
          <w:color w:val="auto"/>
          <w:szCs w:val="21"/>
        </w:rPr>
        <w:t>投标产品纳入财政部、环境保护部颁布最新环境标志产品政府采购品目清单的，</w:t>
      </w:r>
      <w:r>
        <w:rPr>
          <w:rFonts w:hint="eastAsia" w:ascii="宋体" w:hAnsi="宋体" w:eastAsia="宋体"/>
          <w:bCs/>
          <w:color w:val="auto"/>
          <w:szCs w:val="21"/>
        </w:rPr>
        <w:t>对</w:t>
      </w:r>
      <w:r>
        <w:rPr>
          <w:rFonts w:hint="eastAsia" w:ascii="宋体" w:hAnsi="宋体" w:eastAsia="宋体"/>
          <w:color w:val="auto"/>
          <w:szCs w:val="21"/>
        </w:rPr>
        <w:t>环境标志产品</w:t>
      </w:r>
      <w:r>
        <w:rPr>
          <w:rFonts w:hint="eastAsia" w:ascii="宋体" w:hAnsi="宋体" w:eastAsia="宋体"/>
          <w:bCs/>
          <w:color w:val="auto"/>
          <w:szCs w:val="21"/>
        </w:rPr>
        <w:t>的价格给予1%的扣除，用扣除后的价格参与评审。（</w:t>
      </w:r>
      <w:r>
        <w:rPr>
          <w:rFonts w:hint="eastAsia" w:ascii="宋体" w:hAnsi="宋体" w:eastAsia="宋体"/>
          <w:color w:val="auto"/>
          <w:szCs w:val="21"/>
        </w:rPr>
        <w:t>提供投标产品有效期内的环境标志产品认证证书复印件加盖投标人公章）</w:t>
      </w:r>
      <w:r>
        <w:rPr>
          <w:rFonts w:hint="eastAsia" w:ascii="宋体" w:hAnsi="宋体" w:eastAsia="宋体"/>
          <w:szCs w:val="21"/>
        </w:rPr>
        <w:t>。</w:t>
      </w:r>
    </w:p>
    <w:p w14:paraId="659F7467">
      <w:pPr>
        <w:pStyle w:val="27"/>
        <w:numPr>
          <w:ilvl w:val="1"/>
          <w:numId w:val="99"/>
        </w:numPr>
        <w:ind w:left="426" w:hanging="426"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价格分应当采用低价优先法计算，即满足招标文件要求且投标价格最低的投标报价为评标基准价，其价格分为满分。其他投标人的价格分统一按照下列公式计算：</w:t>
      </w:r>
    </w:p>
    <w:p w14:paraId="31417427">
      <w:pPr>
        <w:ind w:firstLine="420" w:firstLineChars="200"/>
        <w:jc w:val="left"/>
        <w:rPr>
          <w:rFonts w:ascii="宋体" w:hAnsi="宋体" w:eastAsia="宋体"/>
          <w:color w:val="auto"/>
          <w:szCs w:val="21"/>
          <w:highlight w:val="none"/>
        </w:rPr>
      </w:pPr>
      <w:r>
        <w:rPr>
          <w:rFonts w:hint="eastAsia" w:ascii="宋体" w:hAnsi="宋体" w:eastAsia="宋体"/>
          <w:bCs/>
          <w:color w:val="auto"/>
          <w:szCs w:val="21"/>
          <w:highlight w:val="none"/>
        </w:rPr>
        <w:t>投标人价格得分</w:t>
      </w:r>
      <w:r>
        <w:rPr>
          <w:rFonts w:ascii="宋体" w:hAnsi="宋体" w:eastAsia="宋体"/>
          <w:bCs/>
          <w:color w:val="auto"/>
          <w:szCs w:val="21"/>
          <w:highlight w:val="none"/>
        </w:rPr>
        <w:t>=(评标基准价／</w:t>
      </w:r>
      <w:r>
        <w:rPr>
          <w:rFonts w:hint="eastAsia" w:ascii="宋体" w:hAnsi="宋体" w:eastAsia="宋体"/>
          <w:bCs/>
          <w:color w:val="auto"/>
          <w:szCs w:val="21"/>
          <w:highlight w:val="none"/>
        </w:rPr>
        <w:t>投标报价</w:t>
      </w:r>
      <w:r>
        <w:rPr>
          <w:rFonts w:ascii="宋体" w:hAnsi="宋体" w:eastAsia="宋体"/>
          <w:bCs/>
          <w:color w:val="auto"/>
          <w:szCs w:val="21"/>
          <w:highlight w:val="none"/>
        </w:rPr>
        <w:t>)×</w:t>
      </w:r>
      <w:r>
        <w:rPr>
          <w:rFonts w:hint="eastAsia" w:ascii="宋体" w:hAnsi="宋体" w:eastAsia="宋体"/>
          <w:color w:val="auto"/>
          <w:szCs w:val="21"/>
          <w:highlight w:val="none"/>
        </w:rPr>
        <w:t>价格权值</w:t>
      </w:r>
      <w:r>
        <w:rPr>
          <w:rFonts w:ascii="宋体" w:hAnsi="宋体" w:eastAsia="宋体"/>
          <w:bCs/>
          <w:color w:val="auto"/>
          <w:szCs w:val="21"/>
          <w:highlight w:val="none"/>
        </w:rPr>
        <w:t>×100</w:t>
      </w:r>
    </w:p>
    <w:p w14:paraId="3F691DA3">
      <w:pPr>
        <w:ind w:firstLine="404" w:firstLineChars="200"/>
        <w:jc w:val="left"/>
        <w:rPr>
          <w:rFonts w:ascii="宋体" w:hAnsi="宋体" w:eastAsia="宋体"/>
          <w:bCs/>
          <w:spacing w:val="-4"/>
          <w:szCs w:val="21"/>
        </w:rPr>
      </w:pPr>
      <w:r>
        <w:rPr>
          <w:rFonts w:hint="eastAsia" w:ascii="宋体" w:hAnsi="宋体" w:eastAsia="宋体"/>
          <w:bCs/>
          <w:color w:val="auto"/>
          <w:spacing w:val="-4"/>
          <w:szCs w:val="21"/>
          <w:highlight w:val="none"/>
        </w:rPr>
        <w:t>注：因落</w:t>
      </w:r>
      <w:r>
        <w:rPr>
          <w:rFonts w:hint="eastAsia" w:ascii="宋体" w:hAnsi="宋体" w:eastAsia="宋体"/>
          <w:bCs/>
          <w:color w:val="000000" w:themeColor="text1"/>
          <w:spacing w:val="-4"/>
          <w:szCs w:val="21"/>
          <w14:textFill>
            <w14:solidFill>
              <w14:schemeClr w14:val="tx1"/>
            </w14:solidFill>
          </w14:textFill>
        </w:rPr>
        <w:t>实政府采购政策进行价格调整的，以调整后的价格计算评标基准价和投标报价。</w:t>
      </w:r>
    </w:p>
    <w:p w14:paraId="3EA2C08B">
      <w:pPr>
        <w:pStyle w:val="27"/>
        <w:numPr>
          <w:ilvl w:val="1"/>
          <w:numId w:val="99"/>
        </w:numPr>
        <w:ind w:left="426" w:hanging="426" w:firstLineChars="0"/>
        <w:rPr>
          <w:rFonts w:ascii="宋体" w:hAnsi="宋体" w:eastAsia="宋体"/>
          <w:b/>
          <w:bCs/>
          <w:szCs w:val="21"/>
        </w:rPr>
      </w:pPr>
      <w:r>
        <w:rPr>
          <w:rFonts w:hint="eastAsia" w:ascii="宋体" w:hAnsi="宋体" w:eastAsia="宋体"/>
          <w:b/>
          <w:bCs/>
          <w:szCs w:val="21"/>
        </w:rPr>
        <w:t>商务技术及价格评分权值分配</w:t>
      </w: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2"/>
        <w:gridCol w:w="2009"/>
        <w:gridCol w:w="2008"/>
        <w:gridCol w:w="2008"/>
        <w:gridCol w:w="1449"/>
      </w:tblGrid>
      <w:tr w14:paraId="4C435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04C17588">
            <w:pPr>
              <w:jc w:val="center"/>
              <w:rPr>
                <w:rFonts w:ascii="宋体" w:hAnsi="宋体" w:eastAsia="宋体"/>
                <w:szCs w:val="21"/>
              </w:rPr>
            </w:pPr>
            <w:r>
              <w:rPr>
                <w:rFonts w:hint="eastAsia" w:ascii="宋体" w:hAnsi="宋体" w:eastAsia="宋体"/>
                <w:szCs w:val="21"/>
              </w:rPr>
              <w:t>评分项目</w:t>
            </w:r>
          </w:p>
        </w:tc>
        <w:tc>
          <w:tcPr>
            <w:tcW w:w="1082" w:type="pct"/>
            <w:vAlign w:val="center"/>
          </w:tcPr>
          <w:p w14:paraId="0CC69E81">
            <w:pPr>
              <w:jc w:val="center"/>
              <w:rPr>
                <w:rFonts w:ascii="宋体" w:hAnsi="宋体" w:eastAsia="宋体"/>
                <w:szCs w:val="21"/>
              </w:rPr>
            </w:pPr>
            <w:r>
              <w:rPr>
                <w:rFonts w:hint="eastAsia" w:ascii="宋体" w:hAnsi="宋体" w:eastAsia="宋体"/>
                <w:szCs w:val="21"/>
              </w:rPr>
              <w:t>价格部分</w:t>
            </w:r>
          </w:p>
        </w:tc>
        <w:tc>
          <w:tcPr>
            <w:tcW w:w="1081" w:type="pct"/>
            <w:vAlign w:val="center"/>
          </w:tcPr>
          <w:p w14:paraId="3ABB61E7">
            <w:pPr>
              <w:jc w:val="center"/>
              <w:rPr>
                <w:rFonts w:ascii="宋体" w:hAnsi="宋体" w:eastAsia="宋体"/>
                <w:szCs w:val="21"/>
              </w:rPr>
            </w:pPr>
            <w:r>
              <w:rPr>
                <w:rFonts w:hint="eastAsia" w:ascii="宋体" w:hAnsi="宋体" w:eastAsia="宋体"/>
                <w:szCs w:val="21"/>
              </w:rPr>
              <w:t>商务部分</w:t>
            </w:r>
          </w:p>
        </w:tc>
        <w:tc>
          <w:tcPr>
            <w:tcW w:w="1081" w:type="pct"/>
            <w:vAlign w:val="center"/>
          </w:tcPr>
          <w:p w14:paraId="41A7A6BF">
            <w:pPr>
              <w:jc w:val="center"/>
              <w:rPr>
                <w:rFonts w:ascii="宋体" w:hAnsi="宋体" w:eastAsia="宋体"/>
                <w:szCs w:val="21"/>
              </w:rPr>
            </w:pPr>
            <w:r>
              <w:rPr>
                <w:rFonts w:hint="eastAsia" w:ascii="宋体" w:hAnsi="宋体" w:eastAsia="宋体"/>
                <w:szCs w:val="21"/>
              </w:rPr>
              <w:t>技术部分</w:t>
            </w:r>
          </w:p>
        </w:tc>
        <w:tc>
          <w:tcPr>
            <w:tcW w:w="780" w:type="pct"/>
            <w:vAlign w:val="center"/>
          </w:tcPr>
          <w:p w14:paraId="57B4C055">
            <w:pPr>
              <w:jc w:val="center"/>
              <w:rPr>
                <w:rFonts w:ascii="宋体" w:hAnsi="宋体" w:eastAsia="宋体"/>
                <w:szCs w:val="21"/>
              </w:rPr>
            </w:pPr>
            <w:r>
              <w:rPr>
                <w:rFonts w:hint="eastAsia" w:ascii="宋体" w:hAnsi="宋体" w:eastAsia="宋体"/>
                <w:szCs w:val="21"/>
              </w:rPr>
              <w:t>合计</w:t>
            </w:r>
          </w:p>
        </w:tc>
      </w:tr>
      <w:tr w14:paraId="429D4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4ED2BD79">
            <w:pPr>
              <w:jc w:val="center"/>
              <w:rPr>
                <w:rFonts w:ascii="宋体" w:hAnsi="宋体" w:eastAsia="宋体"/>
                <w:szCs w:val="21"/>
              </w:rPr>
            </w:pPr>
            <w:r>
              <w:rPr>
                <w:rFonts w:hint="eastAsia" w:ascii="宋体" w:hAnsi="宋体" w:eastAsia="宋体"/>
                <w:szCs w:val="21"/>
              </w:rPr>
              <w:t>权值（%）</w:t>
            </w:r>
          </w:p>
        </w:tc>
        <w:tc>
          <w:tcPr>
            <w:tcW w:w="1082" w:type="pct"/>
            <w:vAlign w:val="center"/>
          </w:tcPr>
          <w:p w14:paraId="05BB9D15">
            <w:pPr>
              <w:jc w:val="center"/>
              <w:rPr>
                <w:rFonts w:ascii="宋体" w:hAnsi="宋体" w:eastAsia="宋体"/>
                <w:szCs w:val="21"/>
              </w:rPr>
            </w:pPr>
            <w:r>
              <w:rPr>
                <w:rFonts w:hint="eastAsia" w:ascii="宋体" w:hAnsi="宋体" w:eastAsia="宋体"/>
                <w:szCs w:val="21"/>
                <w:lang w:val="en-US" w:eastAsia="zh-CN"/>
              </w:rPr>
              <w:t>15</w:t>
            </w:r>
            <w:r>
              <w:rPr>
                <w:rFonts w:hint="eastAsia" w:ascii="宋体" w:hAnsi="宋体" w:eastAsia="宋体"/>
                <w:szCs w:val="21"/>
              </w:rPr>
              <w:t>%</w:t>
            </w:r>
          </w:p>
        </w:tc>
        <w:tc>
          <w:tcPr>
            <w:tcW w:w="1081" w:type="pct"/>
            <w:vAlign w:val="center"/>
          </w:tcPr>
          <w:p w14:paraId="0985E51B">
            <w:pPr>
              <w:jc w:val="center"/>
              <w:rPr>
                <w:rFonts w:ascii="宋体" w:hAnsi="宋体" w:eastAsia="宋体"/>
                <w:szCs w:val="21"/>
                <w:highlight w:val="red"/>
              </w:rPr>
            </w:pPr>
            <w:r>
              <w:rPr>
                <w:rFonts w:hint="eastAsia" w:ascii="宋体" w:hAnsi="宋体" w:eastAsia="宋体"/>
                <w:szCs w:val="21"/>
                <w:lang w:val="en-US" w:eastAsia="zh-CN"/>
              </w:rPr>
              <w:t>25</w:t>
            </w:r>
            <w:r>
              <w:rPr>
                <w:rFonts w:hint="eastAsia" w:ascii="宋体" w:hAnsi="宋体" w:eastAsia="宋体"/>
                <w:szCs w:val="21"/>
              </w:rPr>
              <w:t>%</w:t>
            </w:r>
          </w:p>
        </w:tc>
        <w:tc>
          <w:tcPr>
            <w:tcW w:w="1081" w:type="pct"/>
            <w:vAlign w:val="center"/>
          </w:tcPr>
          <w:p w14:paraId="70B2F24E">
            <w:pPr>
              <w:jc w:val="center"/>
              <w:rPr>
                <w:rFonts w:ascii="宋体" w:hAnsi="宋体" w:eastAsia="宋体"/>
                <w:i/>
                <w:szCs w:val="21"/>
                <w:highlight w:val="red"/>
              </w:rPr>
            </w:pPr>
            <w:r>
              <w:rPr>
                <w:rFonts w:hint="eastAsia" w:ascii="宋体" w:hAnsi="宋体" w:eastAsia="宋体"/>
                <w:szCs w:val="21"/>
                <w:lang w:val="en-US" w:eastAsia="zh-CN"/>
              </w:rPr>
              <w:t>60</w:t>
            </w:r>
            <w:r>
              <w:rPr>
                <w:rFonts w:hint="eastAsia" w:ascii="宋体" w:hAnsi="宋体" w:eastAsia="宋体"/>
                <w:szCs w:val="21"/>
              </w:rPr>
              <w:t>%</w:t>
            </w:r>
          </w:p>
        </w:tc>
        <w:tc>
          <w:tcPr>
            <w:tcW w:w="780" w:type="pct"/>
          </w:tcPr>
          <w:p w14:paraId="1C068EB4">
            <w:pPr>
              <w:jc w:val="center"/>
              <w:rPr>
                <w:rFonts w:ascii="宋体" w:hAnsi="宋体" w:eastAsia="宋体"/>
                <w:szCs w:val="21"/>
                <w:highlight w:val="red"/>
              </w:rPr>
            </w:pPr>
            <w:r>
              <w:rPr>
                <w:rFonts w:hint="eastAsia" w:ascii="宋体" w:hAnsi="宋体" w:eastAsia="宋体"/>
                <w:szCs w:val="21"/>
                <w:lang w:val="en-US" w:eastAsia="zh-CN"/>
              </w:rPr>
              <w:t>100</w:t>
            </w:r>
            <w:r>
              <w:rPr>
                <w:rFonts w:hint="eastAsia" w:ascii="宋体" w:hAnsi="宋体" w:eastAsia="宋体"/>
                <w:szCs w:val="21"/>
              </w:rPr>
              <w:t>%</w:t>
            </w:r>
          </w:p>
        </w:tc>
      </w:tr>
    </w:tbl>
    <w:p w14:paraId="269F4A60">
      <w:pPr>
        <w:pStyle w:val="27"/>
        <w:numPr>
          <w:ilvl w:val="0"/>
          <w:numId w:val="104"/>
        </w:numPr>
        <w:ind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综合得分＝商务得分＋技术得分＋价格得分</w:t>
      </w:r>
    </w:p>
    <w:p w14:paraId="3C027647">
      <w:pPr>
        <w:pStyle w:val="27"/>
        <w:numPr>
          <w:ilvl w:val="0"/>
          <w:numId w:val="88"/>
        </w:numPr>
        <w:spacing w:before="217" w:beforeLines="50"/>
        <w:ind w:left="442" w:hanging="442" w:firstLineChars="0"/>
        <w:rPr>
          <w:rFonts w:ascii="宋体" w:hAnsi="宋体" w:eastAsia="宋体" w:cs="Times New Roman"/>
          <w:kern w:val="0"/>
          <w:szCs w:val="21"/>
          <w:lang w:eastAsia="zh-Hans"/>
        </w:rPr>
      </w:pPr>
      <w:r>
        <w:rPr>
          <w:rFonts w:ascii="宋体" w:hAnsi="宋体" w:eastAsia="宋体"/>
          <w:b/>
          <w:bCs/>
        </w:rPr>
        <w:t>评审程序</w:t>
      </w:r>
    </w:p>
    <w:p w14:paraId="458046BA">
      <w:pPr>
        <w:pStyle w:val="27"/>
        <w:widowControl/>
        <w:numPr>
          <w:ilvl w:val="3"/>
          <w:numId w:val="105"/>
        </w:numPr>
        <w:ind w:left="426" w:hanging="426"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资格性审查和符合性审查</w:t>
      </w:r>
    </w:p>
    <w:p w14:paraId="62F92268">
      <w:pPr>
        <w:pStyle w:val="27"/>
        <w:widowControl/>
        <w:numPr>
          <w:ilvl w:val="0"/>
          <w:numId w:val="106"/>
        </w:numPr>
        <w:ind w:left="426" w:hanging="426"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资格性审查。公开招标采购项目开标结束后，采购人或采购代理机构应当依法对投标人的资格进行审查，以确定投标人是否具备投标资格。</w:t>
      </w:r>
      <w:r>
        <w:rPr>
          <w:rFonts w:ascii="宋体" w:hAnsi="宋体" w:eastAsia="宋体" w:cs="Times New Roman"/>
          <w:b/>
          <w:bCs/>
          <w:kern w:val="0"/>
          <w:szCs w:val="21"/>
          <w:u w:val="single"/>
          <w:lang w:eastAsia="zh-Hans"/>
        </w:rPr>
        <w:t>（详见后附表一资格性审查表）</w:t>
      </w:r>
    </w:p>
    <w:p w14:paraId="0321DD1F">
      <w:pPr>
        <w:pStyle w:val="27"/>
        <w:widowControl/>
        <w:numPr>
          <w:ilvl w:val="0"/>
          <w:numId w:val="106"/>
        </w:numPr>
        <w:ind w:left="426" w:hanging="426"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符合性审查。评标委员会依据招标文件的规定，从投标文件的有效性、完整性和对招标文件的响应程度进行审查，以确定是否对招标文件的实质性要求作出响应。</w:t>
      </w:r>
      <w:r>
        <w:rPr>
          <w:rFonts w:ascii="宋体" w:hAnsi="宋体" w:eastAsia="宋体" w:cs="Times New Roman"/>
          <w:b/>
          <w:bCs/>
          <w:kern w:val="0"/>
          <w:szCs w:val="21"/>
          <w:u w:val="single"/>
          <w:lang w:eastAsia="zh-Hans"/>
        </w:rPr>
        <w:t>（详见后附表二符合性审查表）</w:t>
      </w:r>
    </w:p>
    <w:p w14:paraId="76A85635">
      <w:pPr>
        <w:pStyle w:val="27"/>
        <w:widowControl/>
        <w:numPr>
          <w:ilvl w:val="0"/>
          <w:numId w:val="106"/>
        </w:numPr>
        <w:ind w:left="426" w:hanging="426" w:firstLineChars="0"/>
        <w:jc w:val="left"/>
        <w:rPr>
          <w:rFonts w:ascii="宋体" w:hAnsi="宋体" w:eastAsia="宋体" w:cs="Times New Roman"/>
          <w:b/>
          <w:bCs/>
          <w:kern w:val="0"/>
          <w:szCs w:val="21"/>
          <w:lang w:eastAsia="zh-Hans"/>
        </w:rPr>
      </w:pPr>
      <w:r>
        <w:rPr>
          <w:rFonts w:ascii="宋体" w:hAnsi="宋体" w:eastAsia="宋体" w:cs="Times New Roman"/>
          <w:b/>
          <w:bCs/>
          <w:kern w:val="0"/>
          <w:szCs w:val="21"/>
          <w:lang w:eastAsia="zh-Hans"/>
        </w:rPr>
        <w:t>资格性审查和符合性审查中凡有其中任意一项未通过的，评审结果为未通过，未通过资格性审查、符合性审查的投标人按无效投标处理。</w:t>
      </w:r>
    </w:p>
    <w:p w14:paraId="4D62E80D">
      <w:pPr>
        <w:pStyle w:val="27"/>
        <w:widowControl/>
        <w:numPr>
          <w:ilvl w:val="0"/>
          <w:numId w:val="106"/>
        </w:numPr>
        <w:ind w:left="426" w:hanging="426" w:firstLineChars="0"/>
        <w:jc w:val="left"/>
        <w:rPr>
          <w:rFonts w:ascii="宋体" w:hAnsi="宋体" w:eastAsia="宋体" w:cs="Times New Roman"/>
          <w:b/>
          <w:bCs/>
          <w:kern w:val="0"/>
          <w:szCs w:val="21"/>
          <w:lang w:eastAsia="zh-Hans"/>
        </w:rPr>
      </w:pPr>
      <w:r>
        <w:rPr>
          <w:rFonts w:ascii="宋体" w:hAnsi="宋体" w:eastAsia="宋体" w:cs="Times New Roman"/>
          <w:kern w:val="0"/>
          <w:szCs w:val="21"/>
          <w:lang w:eastAsia="zh-Hans"/>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4F5C2FF9">
      <w:pPr>
        <w:pStyle w:val="27"/>
        <w:widowControl/>
        <w:numPr>
          <w:ilvl w:val="0"/>
          <w:numId w:val="106"/>
        </w:numPr>
        <w:ind w:left="426" w:hanging="426" w:firstLineChars="0"/>
        <w:jc w:val="left"/>
        <w:rPr>
          <w:rFonts w:ascii="宋体" w:hAnsi="宋体" w:eastAsia="宋体" w:cs="Times New Roman"/>
          <w:b/>
          <w:bCs/>
          <w:kern w:val="0"/>
          <w:szCs w:val="21"/>
          <w:lang w:eastAsia="zh-Hans"/>
        </w:rPr>
      </w:pPr>
      <w:r>
        <w:rPr>
          <w:rFonts w:ascii="宋体" w:hAnsi="宋体" w:eastAsia="宋体" w:cs="Times New Roman"/>
          <w:kern w:val="0"/>
          <w:szCs w:val="21"/>
          <w:lang w:eastAsia="zh-Hans"/>
        </w:rPr>
        <w:t>合格投标人不足3家的，不得评标。</w:t>
      </w:r>
    </w:p>
    <w:p w14:paraId="5D2E6374">
      <w:pPr>
        <w:widowControl/>
        <w:jc w:val="left"/>
        <w:rPr>
          <w:rFonts w:ascii="宋体" w:hAnsi="宋体" w:eastAsia="宋体" w:cs="Times New Roman"/>
          <w:b/>
          <w:bCs/>
          <w:kern w:val="0"/>
          <w:szCs w:val="21"/>
        </w:rPr>
      </w:pPr>
      <w:r>
        <w:rPr>
          <w:rFonts w:ascii="宋体" w:hAnsi="宋体" w:eastAsia="宋体" w:cs="Times New Roman"/>
          <w:b/>
          <w:bCs/>
          <w:kern w:val="0"/>
          <w:szCs w:val="21"/>
          <w:lang w:eastAsia="zh-Hans"/>
        </w:rPr>
        <w:t>表一资格性审查表：</w:t>
      </w: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4"/>
        <w:gridCol w:w="2565"/>
        <w:gridCol w:w="5867"/>
      </w:tblGrid>
      <w:tr w14:paraId="26874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460" w:type="pct"/>
            <w:vAlign w:val="center"/>
          </w:tcPr>
          <w:p w14:paraId="57AA3DEB">
            <w:pPr>
              <w:widowControl/>
              <w:jc w:val="center"/>
              <w:rPr>
                <w:rFonts w:ascii="宋体" w:hAnsi="宋体" w:eastAsia="宋体" w:cs="Times New Roman"/>
                <w:b/>
                <w:bCs/>
                <w:kern w:val="0"/>
                <w:szCs w:val="21"/>
                <w:lang w:eastAsia="zh-Hans"/>
              </w:rPr>
            </w:pPr>
            <w:bookmarkStart w:id="36" w:name="_Hlk169888879"/>
            <w:r>
              <w:rPr>
                <w:rFonts w:ascii="宋体" w:hAnsi="宋体" w:eastAsia="宋体" w:cs="Times New Roman"/>
                <w:b/>
                <w:bCs/>
                <w:kern w:val="0"/>
                <w:szCs w:val="21"/>
                <w:lang w:eastAsia="zh-Hans"/>
              </w:rPr>
              <w:t>序号</w:t>
            </w:r>
          </w:p>
        </w:tc>
        <w:tc>
          <w:tcPr>
            <w:tcW w:w="4540" w:type="pct"/>
            <w:gridSpan w:val="2"/>
            <w:vAlign w:val="center"/>
          </w:tcPr>
          <w:p w14:paraId="391645F9">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资格审查内容</w:t>
            </w:r>
          </w:p>
        </w:tc>
      </w:tr>
      <w:tr w14:paraId="5E5E8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460" w:type="pct"/>
            <w:vAlign w:val="center"/>
          </w:tcPr>
          <w:p w14:paraId="04977C31">
            <w:pPr>
              <w:widowControl/>
              <w:jc w:val="center"/>
              <w:rPr>
                <w:rFonts w:ascii="宋体" w:hAnsi="宋体" w:eastAsia="宋体" w:cs="Times New Roman"/>
                <w:kern w:val="0"/>
                <w:szCs w:val="21"/>
              </w:rPr>
            </w:pPr>
            <w:r>
              <w:rPr>
                <w:rFonts w:hint="eastAsia" w:ascii="宋体" w:hAnsi="宋体" w:eastAsia="宋体" w:cs="Times New Roman"/>
                <w:kern w:val="0"/>
                <w:szCs w:val="21"/>
              </w:rPr>
              <w:t>1</w:t>
            </w:r>
          </w:p>
        </w:tc>
        <w:tc>
          <w:tcPr>
            <w:tcW w:w="4540" w:type="pct"/>
            <w:gridSpan w:val="2"/>
            <w:vAlign w:val="center"/>
          </w:tcPr>
          <w:p w14:paraId="4284091E">
            <w:pPr>
              <w:widowControl/>
              <w:rPr>
                <w:rFonts w:ascii="宋体" w:hAnsi="宋体" w:eastAsia="宋体" w:cs="Times New Roman"/>
                <w:kern w:val="0"/>
                <w:szCs w:val="21"/>
              </w:rPr>
            </w:pPr>
            <w:r>
              <w:rPr>
                <w:rFonts w:hint="eastAsia" w:ascii="宋体" w:hAnsi="宋体" w:eastAsia="宋体" w:cs="Times New Roman"/>
                <w:kern w:val="0"/>
                <w:szCs w:val="21"/>
              </w:rPr>
              <w:t>满足《中华人民共和国政府采购法》第二十二条规定：</w:t>
            </w:r>
          </w:p>
        </w:tc>
      </w:tr>
      <w:tr w14:paraId="371A8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EBB101C">
            <w:pPr>
              <w:widowControl/>
              <w:jc w:val="center"/>
              <w:rPr>
                <w:rFonts w:ascii="宋体" w:hAnsi="宋体" w:eastAsia="宋体" w:cs="Times New Roman"/>
                <w:kern w:val="0"/>
                <w:szCs w:val="21"/>
              </w:rPr>
            </w:pPr>
            <w:r>
              <w:rPr>
                <w:rFonts w:ascii="宋体" w:hAnsi="宋体" w:eastAsia="宋体" w:cs="Times New Roman"/>
                <w:kern w:val="0"/>
                <w:szCs w:val="21"/>
                <w:lang w:eastAsia="zh-Hans"/>
              </w:rPr>
              <w:t>1</w:t>
            </w:r>
            <w:r>
              <w:rPr>
                <w:rFonts w:hint="eastAsia" w:ascii="宋体" w:hAnsi="宋体" w:eastAsia="宋体" w:cs="Times New Roman"/>
                <w:kern w:val="0"/>
                <w:szCs w:val="21"/>
              </w:rPr>
              <w:t>.1</w:t>
            </w:r>
          </w:p>
        </w:tc>
        <w:tc>
          <w:tcPr>
            <w:tcW w:w="1381" w:type="pct"/>
            <w:vAlign w:val="center"/>
          </w:tcPr>
          <w:p w14:paraId="5965BE7D">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具有独立承担民事责任的能力</w:t>
            </w:r>
          </w:p>
        </w:tc>
        <w:tc>
          <w:tcPr>
            <w:tcW w:w="3159" w:type="pct"/>
            <w:vAlign w:val="center"/>
          </w:tcPr>
          <w:p w14:paraId="2F49A3B8">
            <w:pPr>
              <w:widowControl/>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人必须是具有独立承担民事责任能力的法人或其他组织,投标文件中须提供法人或其他组织的营业执照等证明文件的复印件。（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6D273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10126FC6">
            <w:pPr>
              <w:widowControl/>
              <w:jc w:val="center"/>
              <w:rPr>
                <w:rFonts w:ascii="宋体" w:hAnsi="宋体" w:eastAsia="宋体" w:cs="Times New Roman"/>
                <w:kern w:val="0"/>
                <w:szCs w:val="21"/>
              </w:rPr>
            </w:pPr>
            <w:r>
              <w:rPr>
                <w:rFonts w:hint="eastAsia" w:ascii="宋体" w:hAnsi="宋体" w:eastAsia="宋体" w:cs="Times New Roman"/>
                <w:kern w:val="0"/>
                <w:szCs w:val="21"/>
              </w:rPr>
              <w:t>1.2</w:t>
            </w:r>
          </w:p>
        </w:tc>
        <w:tc>
          <w:tcPr>
            <w:tcW w:w="1381" w:type="pct"/>
            <w:vAlign w:val="center"/>
          </w:tcPr>
          <w:p w14:paraId="2E56AAC4">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具有良好的商业信誉和健全的财务会计制度</w:t>
            </w:r>
          </w:p>
        </w:tc>
        <w:tc>
          <w:tcPr>
            <w:tcW w:w="3159" w:type="pct"/>
            <w:vAlign w:val="center"/>
          </w:tcPr>
          <w:p w14:paraId="4DE1DEA5">
            <w:pPr>
              <w:widowControl/>
              <w:rPr>
                <w:rFonts w:ascii="宋体" w:hAnsi="宋体" w:eastAsia="宋体" w:cs="Times New Roman"/>
                <w:color w:val="auto"/>
                <w:kern w:val="0"/>
                <w:szCs w:val="21"/>
                <w:lang w:eastAsia="zh-Hans"/>
              </w:rPr>
            </w:pPr>
            <w:r>
              <w:rPr>
                <w:rFonts w:hint="eastAsia" w:ascii="Calibri" w:hAnsi="Calibri" w:eastAsia="宋体" w:cs="Times New Roman"/>
                <w:bCs/>
                <w:color w:val="auto"/>
                <w:kern w:val="0"/>
                <w:szCs w:val="21"/>
              </w:rPr>
              <w:t>提供</w:t>
            </w:r>
            <w:r>
              <w:rPr>
                <w:rFonts w:ascii="宋体" w:hAnsi="宋体" w:eastAsia="宋体" w:cs="Times New Roman"/>
                <w:bCs/>
                <w:color w:val="auto"/>
                <w:kern w:val="0"/>
                <w:szCs w:val="21"/>
              </w:rPr>
              <w:t>202</w:t>
            </w:r>
            <w:r>
              <w:rPr>
                <w:rFonts w:hint="eastAsia" w:ascii="宋体" w:hAnsi="宋体" w:eastAsia="宋体" w:cs="Times New Roman"/>
                <w:bCs/>
                <w:color w:val="auto"/>
                <w:kern w:val="0"/>
                <w:szCs w:val="21"/>
                <w:lang w:val="en-US" w:eastAsia="zh-CN"/>
              </w:rPr>
              <w:t>3</w:t>
            </w:r>
            <w:r>
              <w:rPr>
                <w:rFonts w:ascii="Calibri" w:hAnsi="Calibri" w:eastAsia="宋体" w:cs="Times New Roman"/>
                <w:bCs/>
                <w:color w:val="auto"/>
                <w:kern w:val="0"/>
                <w:szCs w:val="21"/>
              </w:rPr>
              <w:t>年或</w:t>
            </w:r>
            <w:r>
              <w:rPr>
                <w:rFonts w:ascii="宋体" w:hAnsi="宋体" w:eastAsia="宋体" w:cs="Times New Roman"/>
                <w:bCs/>
                <w:color w:val="auto"/>
                <w:kern w:val="0"/>
                <w:szCs w:val="21"/>
              </w:rPr>
              <w:t>202</w:t>
            </w:r>
            <w:r>
              <w:rPr>
                <w:rFonts w:hint="eastAsia" w:ascii="宋体" w:hAnsi="宋体" w:eastAsia="宋体" w:cs="Times New Roman"/>
                <w:bCs/>
                <w:color w:val="auto"/>
                <w:kern w:val="0"/>
                <w:szCs w:val="21"/>
                <w:lang w:val="en-US" w:eastAsia="zh-CN"/>
              </w:rPr>
              <w:t>4</w:t>
            </w:r>
            <w:r>
              <w:rPr>
                <w:rFonts w:ascii="Calibri" w:hAnsi="Calibri" w:eastAsia="宋体" w:cs="Times New Roman"/>
                <w:bCs/>
                <w:color w:val="auto"/>
                <w:kern w:val="0"/>
                <w:szCs w:val="21"/>
              </w:rPr>
              <w:t>年财务状况报告或者基本户开户银行出具的资信证明或提供资格条件承诺函（详见投标文件格式）</w:t>
            </w:r>
          </w:p>
        </w:tc>
      </w:tr>
      <w:tr w14:paraId="058F3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149002F4">
            <w:pPr>
              <w:widowControl/>
              <w:jc w:val="center"/>
              <w:rPr>
                <w:rFonts w:ascii="宋体" w:hAnsi="宋体" w:eastAsia="宋体" w:cs="Times New Roman"/>
                <w:kern w:val="0"/>
                <w:szCs w:val="21"/>
              </w:rPr>
            </w:pPr>
            <w:r>
              <w:rPr>
                <w:rFonts w:hint="eastAsia" w:ascii="宋体" w:hAnsi="宋体" w:eastAsia="宋体" w:cs="Times New Roman"/>
                <w:kern w:val="0"/>
                <w:szCs w:val="21"/>
              </w:rPr>
              <w:t>1.3</w:t>
            </w:r>
          </w:p>
        </w:tc>
        <w:tc>
          <w:tcPr>
            <w:tcW w:w="1381" w:type="pct"/>
            <w:vAlign w:val="center"/>
          </w:tcPr>
          <w:p w14:paraId="73CDFE1D">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履行合同所必需的设备和专业技术能力</w:t>
            </w:r>
          </w:p>
        </w:tc>
        <w:tc>
          <w:tcPr>
            <w:tcW w:w="3159" w:type="pct"/>
            <w:vAlign w:val="center"/>
          </w:tcPr>
          <w:p w14:paraId="409A9692">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投标文件中提供《资格条件承诺函》，格式详见招标文件《资格条件承诺函》。</w:t>
            </w:r>
          </w:p>
        </w:tc>
      </w:tr>
      <w:tr w14:paraId="5440E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627A61ED">
            <w:pPr>
              <w:widowControl/>
              <w:jc w:val="center"/>
              <w:rPr>
                <w:rFonts w:ascii="宋体" w:hAnsi="宋体" w:eastAsia="宋体" w:cs="Times New Roman"/>
                <w:kern w:val="0"/>
                <w:szCs w:val="21"/>
              </w:rPr>
            </w:pPr>
            <w:r>
              <w:rPr>
                <w:rFonts w:hint="eastAsia" w:ascii="宋体" w:hAnsi="宋体" w:eastAsia="宋体" w:cs="Times New Roman"/>
                <w:kern w:val="0"/>
                <w:szCs w:val="21"/>
              </w:rPr>
              <w:t>1.4</w:t>
            </w:r>
          </w:p>
        </w:tc>
        <w:tc>
          <w:tcPr>
            <w:tcW w:w="1381" w:type="pct"/>
            <w:vAlign w:val="center"/>
          </w:tcPr>
          <w:p w14:paraId="0C0BAAFA">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有依法缴纳税收和社会保障资金的良好记录</w:t>
            </w:r>
          </w:p>
        </w:tc>
        <w:tc>
          <w:tcPr>
            <w:tcW w:w="3159" w:type="pct"/>
            <w:vAlign w:val="center"/>
          </w:tcPr>
          <w:p w14:paraId="36AADF2F">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提供投标截止日前</w:t>
            </w:r>
            <w:r>
              <w:rPr>
                <w:rFonts w:ascii="宋体" w:hAnsi="宋体" w:eastAsia="宋体" w:cs="Times New Roman"/>
                <w:kern w:val="0"/>
                <w:szCs w:val="21"/>
                <w:lang w:eastAsia="zh-Hans"/>
              </w:rPr>
              <w:t>6个月内任意1个月依法缴纳税收和社会保障资金的相关材料；如依法免税或不需要缴纳社会保障资金的，提供相应证明材料。或提供资格条件承诺函（详见投标文件格式）。</w:t>
            </w:r>
          </w:p>
        </w:tc>
      </w:tr>
      <w:tr w14:paraId="3EAE3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6E8DA01E">
            <w:pPr>
              <w:widowControl/>
              <w:jc w:val="center"/>
              <w:rPr>
                <w:rFonts w:ascii="宋体" w:hAnsi="宋体" w:eastAsia="宋体" w:cs="Times New Roman"/>
                <w:kern w:val="0"/>
                <w:szCs w:val="21"/>
              </w:rPr>
            </w:pPr>
            <w:r>
              <w:rPr>
                <w:rFonts w:hint="eastAsia" w:ascii="宋体" w:hAnsi="宋体" w:eastAsia="宋体" w:cs="Times New Roman"/>
                <w:kern w:val="0"/>
                <w:szCs w:val="21"/>
              </w:rPr>
              <w:t>1.5</w:t>
            </w:r>
          </w:p>
        </w:tc>
        <w:tc>
          <w:tcPr>
            <w:tcW w:w="1381" w:type="pct"/>
            <w:vAlign w:val="center"/>
          </w:tcPr>
          <w:p w14:paraId="4A449F66">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参加采购活动前3年内，在经营活动中没有重大违法记录</w:t>
            </w:r>
          </w:p>
        </w:tc>
        <w:tc>
          <w:tcPr>
            <w:tcW w:w="3159" w:type="pct"/>
            <w:vAlign w:val="center"/>
          </w:tcPr>
          <w:p w14:paraId="2000BE63">
            <w:pPr>
              <w:widowControl/>
              <w:rPr>
                <w:rFonts w:ascii="宋体" w:hAnsi="宋体" w:eastAsia="宋体" w:cs="Times New Roman"/>
                <w:kern w:val="0"/>
                <w:szCs w:val="21"/>
              </w:rPr>
            </w:pPr>
            <w:r>
              <w:rPr>
                <w:rFonts w:hint="eastAsia" w:ascii="宋体" w:hAnsi="宋体" w:eastAsia="宋体" w:cs="Times New Roman"/>
                <w:kern w:val="0"/>
                <w:szCs w:val="21"/>
                <w:lang w:eastAsia="zh-Hans"/>
              </w:rPr>
              <w:t>提供资格条件承诺函（详见投标文件格式）。</w:t>
            </w:r>
          </w:p>
          <w:p w14:paraId="45A3F9AD">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重大违法记录，是指供应商因违法经营受到刑事处罚或者责令停产停业、吊销许可证或者执照、较大数额罚款等行政处罚。(根据财库(2022) 3号文，"较大数额罚款”认定为200万元以上的罚款，法律、行政法规以及国务院有关部门明确规定相关领域“较大数额罚款”标准高于200万元的，从其规定)</w:t>
            </w:r>
          </w:p>
        </w:tc>
      </w:tr>
      <w:tr w14:paraId="72DF9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E1BD688">
            <w:pPr>
              <w:widowControl/>
              <w:jc w:val="center"/>
              <w:rPr>
                <w:rFonts w:ascii="宋体" w:hAnsi="宋体" w:eastAsia="宋体" w:cs="Times New Roman"/>
                <w:kern w:val="0"/>
                <w:szCs w:val="21"/>
              </w:rPr>
            </w:pPr>
            <w:r>
              <w:rPr>
                <w:rFonts w:hint="eastAsia" w:ascii="宋体" w:hAnsi="宋体" w:eastAsia="宋体" w:cs="Times New Roman"/>
                <w:kern w:val="0"/>
                <w:szCs w:val="21"/>
              </w:rPr>
              <w:t>2</w:t>
            </w:r>
          </w:p>
        </w:tc>
        <w:tc>
          <w:tcPr>
            <w:tcW w:w="1381" w:type="pct"/>
            <w:vAlign w:val="center"/>
          </w:tcPr>
          <w:p w14:paraId="0D020E14">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落实政府采购政策需满足的资格要求</w:t>
            </w:r>
          </w:p>
        </w:tc>
        <w:tc>
          <w:tcPr>
            <w:tcW w:w="3159" w:type="pct"/>
            <w:vAlign w:val="center"/>
          </w:tcPr>
          <w:p w14:paraId="7EDDD471">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本项目属于专门面向中小企业的采购项目（本项目所属行业：其他未列明行业。从业人员300人以下的为中小微型企业。其中，从业人员100人及以上的为中型企业；从业人员10人及以上的为小型企业；从业人员10人以下的为微型企业）。投标人须提供《中小企业声明函》并加盖投标人公章。监狱企业、残疾人福利单位视同小型、微型企业。</w:t>
            </w:r>
          </w:p>
        </w:tc>
      </w:tr>
      <w:tr w14:paraId="6F92F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460" w:type="pct"/>
            <w:vAlign w:val="center"/>
          </w:tcPr>
          <w:p w14:paraId="6D9E4F6F">
            <w:pPr>
              <w:widowControl/>
              <w:jc w:val="center"/>
              <w:rPr>
                <w:rFonts w:ascii="宋体" w:hAnsi="宋体" w:eastAsia="宋体" w:cs="Times New Roman"/>
                <w:kern w:val="0"/>
                <w:szCs w:val="21"/>
              </w:rPr>
            </w:pPr>
            <w:r>
              <w:rPr>
                <w:rFonts w:hint="eastAsia" w:ascii="宋体" w:hAnsi="宋体" w:eastAsia="宋体" w:cs="Times New Roman"/>
                <w:kern w:val="0"/>
                <w:szCs w:val="21"/>
              </w:rPr>
              <w:t>3</w:t>
            </w:r>
          </w:p>
        </w:tc>
        <w:tc>
          <w:tcPr>
            <w:tcW w:w="1381" w:type="pct"/>
            <w:vAlign w:val="center"/>
          </w:tcPr>
          <w:p w14:paraId="6D5A47E3">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本项目的特定资格要求：</w:t>
            </w:r>
          </w:p>
        </w:tc>
        <w:tc>
          <w:tcPr>
            <w:tcW w:w="3159" w:type="pct"/>
            <w:vAlign w:val="center"/>
          </w:tcPr>
          <w:p w14:paraId="3B84C554">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具体规定见第一章《投标邀请》</w:t>
            </w:r>
          </w:p>
        </w:tc>
      </w:tr>
      <w:tr w14:paraId="00BF6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95D2918">
            <w:pPr>
              <w:widowControl/>
              <w:jc w:val="center"/>
              <w:rPr>
                <w:rFonts w:ascii="宋体" w:hAnsi="宋体" w:eastAsia="宋体" w:cs="Times New Roman"/>
                <w:kern w:val="0"/>
                <w:szCs w:val="21"/>
              </w:rPr>
            </w:pPr>
            <w:r>
              <w:rPr>
                <w:rFonts w:hint="eastAsia" w:ascii="宋体" w:hAnsi="宋体" w:eastAsia="宋体" w:cs="Times New Roman"/>
                <w:kern w:val="0"/>
                <w:szCs w:val="21"/>
              </w:rPr>
              <w:t>3.1</w:t>
            </w:r>
          </w:p>
        </w:tc>
        <w:tc>
          <w:tcPr>
            <w:tcW w:w="1381" w:type="pct"/>
            <w:vAlign w:val="center"/>
          </w:tcPr>
          <w:p w14:paraId="65FE656B">
            <w:pPr>
              <w:widowControl/>
              <w:rPr>
                <w:rFonts w:ascii="宋体" w:hAnsi="宋体" w:eastAsia="宋体" w:cs="Times New Roman"/>
                <w:kern w:val="0"/>
                <w:szCs w:val="21"/>
              </w:rPr>
            </w:pPr>
            <w:r>
              <w:rPr>
                <w:rFonts w:hint="eastAsia" w:ascii="宋体" w:hAnsi="宋体" w:eastAsia="宋体" w:cs="Times New Roman"/>
                <w:kern w:val="0"/>
                <w:szCs w:val="21"/>
                <w:lang w:eastAsia="zh-Hans"/>
              </w:rPr>
              <w:t>投标人信用记录</w:t>
            </w:r>
          </w:p>
        </w:tc>
        <w:tc>
          <w:tcPr>
            <w:tcW w:w="3159" w:type="pct"/>
            <w:vAlign w:val="center"/>
          </w:tcPr>
          <w:p w14:paraId="6B85A2B2">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w:t>
            </w:r>
            <w:r>
              <w:rPr>
                <w:rFonts w:hint="eastAsia" w:ascii="宋体" w:hAnsi="宋体" w:eastAsia="宋体" w:cs="Times New Roman"/>
                <w:kern w:val="0"/>
                <w:szCs w:val="21"/>
                <w:lang w:eastAsia="zh-Hans"/>
              </w:rPr>
              <w:t>资料）。</w:t>
            </w:r>
          </w:p>
        </w:tc>
      </w:tr>
      <w:tr w14:paraId="2A79C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6CB70AF">
            <w:pPr>
              <w:widowControl/>
              <w:jc w:val="center"/>
              <w:rPr>
                <w:rFonts w:ascii="宋体" w:hAnsi="宋体" w:eastAsia="宋体" w:cs="Times New Roman"/>
                <w:kern w:val="0"/>
                <w:szCs w:val="21"/>
              </w:rPr>
            </w:pPr>
            <w:r>
              <w:rPr>
                <w:rFonts w:hint="eastAsia" w:ascii="宋体" w:hAnsi="宋体" w:eastAsia="宋体" w:cs="Times New Roman"/>
                <w:kern w:val="0"/>
                <w:szCs w:val="21"/>
              </w:rPr>
              <w:t>3.2</w:t>
            </w:r>
          </w:p>
        </w:tc>
        <w:tc>
          <w:tcPr>
            <w:tcW w:w="1381" w:type="pct"/>
            <w:vAlign w:val="center"/>
          </w:tcPr>
          <w:p w14:paraId="45AE9CC0">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供应商必须符合法律、行政法规规定的其他条件</w:t>
            </w:r>
          </w:p>
        </w:tc>
        <w:tc>
          <w:tcPr>
            <w:tcW w:w="3159" w:type="pct"/>
            <w:vAlign w:val="center"/>
          </w:tcPr>
          <w:p w14:paraId="56C04DE9">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单位负责人为同一人或者存在直接控股、管理关系的不同供应商，不得同时参加本采购项目（或采购包）投标。为本项目提供整体设计、规范编制或者项目管理、监理、检测等服务的供应商，</w:t>
            </w:r>
            <w:r>
              <w:rPr>
                <w:rFonts w:ascii="宋体" w:hAnsi="宋体" w:eastAsia="宋体" w:cs="Times New Roman"/>
                <w:kern w:val="0"/>
                <w:szCs w:val="21"/>
                <w:lang w:eastAsia="zh-Hans"/>
              </w:rPr>
              <w:t>不得再参与本项目投标。</w:t>
            </w:r>
            <w:r>
              <w:rPr>
                <w:rFonts w:hint="eastAsia" w:ascii="Calibri" w:hAnsi="Calibri" w:eastAsia="宋体" w:cs="Times New Roman"/>
                <w:bCs/>
                <w:kern w:val="0"/>
                <w:szCs w:val="21"/>
              </w:rPr>
              <w:t>提供资格条件承诺函（</w:t>
            </w:r>
            <w:r>
              <w:rPr>
                <w:rFonts w:ascii="Calibri" w:hAnsi="Calibri" w:eastAsia="宋体" w:cs="Times New Roman"/>
                <w:bCs/>
                <w:kern w:val="0"/>
                <w:szCs w:val="21"/>
              </w:rPr>
              <w:t>详见投标文件格式</w:t>
            </w:r>
            <w:r>
              <w:rPr>
                <w:rFonts w:hint="eastAsia" w:ascii="Calibri" w:hAnsi="Calibri" w:eastAsia="宋体" w:cs="Times New Roman"/>
                <w:bCs/>
                <w:kern w:val="0"/>
                <w:szCs w:val="21"/>
              </w:rPr>
              <w:t>）</w:t>
            </w:r>
          </w:p>
        </w:tc>
      </w:tr>
      <w:tr w14:paraId="34E4B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8312441">
            <w:pPr>
              <w:widowControl/>
              <w:jc w:val="center"/>
              <w:rPr>
                <w:rFonts w:ascii="宋体" w:hAnsi="宋体" w:eastAsia="宋体" w:cs="Times New Roman"/>
                <w:kern w:val="0"/>
                <w:szCs w:val="21"/>
              </w:rPr>
            </w:pPr>
            <w:r>
              <w:rPr>
                <w:rFonts w:hint="eastAsia" w:ascii="宋体" w:hAnsi="宋体" w:eastAsia="宋体" w:cs="Times New Roman"/>
                <w:kern w:val="0"/>
                <w:szCs w:val="21"/>
              </w:rPr>
              <w:t>3.3</w:t>
            </w:r>
          </w:p>
        </w:tc>
        <w:tc>
          <w:tcPr>
            <w:tcW w:w="1381" w:type="pct"/>
            <w:vAlign w:val="center"/>
          </w:tcPr>
          <w:p w14:paraId="5048B052">
            <w:pPr>
              <w:widowControl/>
              <w:rPr>
                <w:rFonts w:ascii="宋体" w:hAnsi="宋体" w:eastAsia="宋体" w:cs="Times New Roman"/>
                <w:kern w:val="0"/>
                <w:szCs w:val="21"/>
              </w:rPr>
            </w:pPr>
            <w:r>
              <w:rPr>
                <w:rFonts w:hint="eastAsia" w:ascii="宋体" w:hAnsi="宋体" w:eastAsia="宋体" w:cs="Times New Roman"/>
                <w:kern w:val="0"/>
                <w:szCs w:val="21"/>
                <w:lang w:eastAsia="zh-Hans"/>
              </w:rPr>
              <w:t>其他特定资格要求：</w:t>
            </w:r>
          </w:p>
        </w:tc>
        <w:tc>
          <w:tcPr>
            <w:tcW w:w="3159" w:type="pct"/>
            <w:vAlign w:val="center"/>
          </w:tcPr>
          <w:p w14:paraId="0FA12A69">
            <w:pPr>
              <w:widowControl/>
              <w:rPr>
                <w:rFonts w:hint="eastAsia" w:ascii="宋体" w:hAnsi="宋体" w:eastAsia="宋体" w:cs="Times New Roman"/>
                <w:kern w:val="0"/>
                <w:szCs w:val="21"/>
                <w:lang w:val="en-US" w:eastAsia="zh-CN"/>
              </w:rPr>
            </w:pPr>
            <w:r>
              <w:rPr>
                <w:rFonts w:hint="eastAsia" w:ascii="宋体" w:hAnsi="宋体" w:eastAsia="宋体" w:cs="Times New Roman"/>
                <w:kern w:val="0"/>
                <w:szCs w:val="21"/>
                <w:lang w:val="en-US" w:eastAsia="zh-CN"/>
              </w:rPr>
              <w:t>无</w:t>
            </w:r>
          </w:p>
        </w:tc>
      </w:tr>
      <w:bookmarkEnd w:id="36"/>
    </w:tbl>
    <w:p w14:paraId="33A23CF5">
      <w:pPr>
        <w:pageBreakBefore/>
        <w:jc w:val="left"/>
        <w:rPr>
          <w:rFonts w:ascii="宋体" w:hAnsi="宋体" w:eastAsia="宋体" w:cs="Times New Roman"/>
          <w:b/>
          <w:bCs/>
          <w:kern w:val="0"/>
          <w:szCs w:val="21"/>
          <w:lang w:eastAsia="zh-Hans"/>
        </w:rPr>
      </w:pPr>
      <w:bookmarkStart w:id="37" w:name="_Hlk169888893"/>
      <w:r>
        <w:rPr>
          <w:rFonts w:ascii="宋体" w:hAnsi="宋体" w:eastAsia="宋体" w:cs="Times New Roman"/>
          <w:b/>
          <w:bCs/>
          <w:kern w:val="0"/>
          <w:szCs w:val="21"/>
          <w:lang w:eastAsia="zh-Hans"/>
        </w:rPr>
        <w:t>表二符合性审查表：</w:t>
      </w: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8582"/>
      </w:tblGrid>
      <w:tr w14:paraId="2592F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B27A88E">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序号</w:t>
            </w:r>
          </w:p>
        </w:tc>
        <w:tc>
          <w:tcPr>
            <w:tcW w:w="4621" w:type="pct"/>
          </w:tcPr>
          <w:p w14:paraId="4A54782B">
            <w:pPr>
              <w:widowControl/>
              <w:jc w:val="left"/>
              <w:rPr>
                <w:rFonts w:ascii="宋体" w:hAnsi="宋体" w:eastAsia="宋体" w:cs="Times New Roman"/>
                <w:b/>
                <w:bCs/>
                <w:kern w:val="0"/>
                <w:szCs w:val="21"/>
                <w:lang w:eastAsia="zh-Hans"/>
              </w:rPr>
            </w:pPr>
            <w:r>
              <w:rPr>
                <w:rFonts w:hint="eastAsia" w:ascii="宋体" w:hAnsi="宋体" w:eastAsia="宋体" w:cs="Times New Roman"/>
                <w:b/>
                <w:bCs/>
                <w:kern w:val="0"/>
                <w:szCs w:val="21"/>
                <w:lang w:eastAsia="zh-Hans"/>
              </w:rPr>
              <w:t>审查内容</w:t>
            </w:r>
          </w:p>
        </w:tc>
      </w:tr>
      <w:tr w14:paraId="1DB6D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18E5C20">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4621" w:type="pct"/>
          </w:tcPr>
          <w:p w14:paraId="113447E5">
            <w:pPr>
              <w:widowControl/>
              <w:jc w:val="left"/>
              <w:rPr>
                <w:rFonts w:ascii="宋体" w:hAnsi="宋体" w:eastAsia="宋体" w:cs="Times New Roman"/>
                <w:kern w:val="0"/>
                <w:szCs w:val="21"/>
              </w:rPr>
            </w:pPr>
            <w:r>
              <w:rPr>
                <w:rFonts w:ascii="宋体" w:hAnsi="宋体" w:eastAsia="宋体" w:cs="Times New Roman"/>
                <w:kern w:val="0"/>
                <w:szCs w:val="21"/>
                <w:lang w:eastAsia="zh-Hans"/>
              </w:rPr>
              <w:t>报价符合本项目报价要求。</w:t>
            </w:r>
          </w:p>
        </w:tc>
      </w:tr>
      <w:tr w14:paraId="0A4BA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0A46996A">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4621" w:type="pct"/>
          </w:tcPr>
          <w:p w14:paraId="0D2973C9">
            <w:pPr>
              <w:widowControl/>
              <w:jc w:val="left"/>
              <w:rPr>
                <w:rFonts w:ascii="宋体" w:hAnsi="宋体" w:eastAsia="宋体" w:cs="Times New Roman"/>
                <w:kern w:val="0"/>
                <w:szCs w:val="21"/>
              </w:rPr>
            </w:pPr>
            <w:r>
              <w:rPr>
                <w:rFonts w:ascii="宋体" w:hAnsi="宋体" w:eastAsia="宋体" w:cs="Times New Roman"/>
                <w:kern w:val="0"/>
                <w:szCs w:val="21"/>
                <w:lang w:eastAsia="zh-Hans"/>
              </w:rPr>
              <w:t>法人授权委托证明。(投标人代表为法定代表人的除外)</w:t>
            </w:r>
          </w:p>
        </w:tc>
      </w:tr>
      <w:tr w14:paraId="249DA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47CCA15">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4621" w:type="pct"/>
          </w:tcPr>
          <w:p w14:paraId="39E86CAB">
            <w:pPr>
              <w:widowControl/>
              <w:jc w:val="left"/>
              <w:rPr>
                <w:rFonts w:ascii="宋体" w:hAnsi="宋体" w:eastAsia="宋体" w:cs="Times New Roman"/>
                <w:kern w:val="0"/>
                <w:szCs w:val="21"/>
              </w:rPr>
            </w:pPr>
            <w:r>
              <w:rPr>
                <w:rFonts w:ascii="宋体" w:hAnsi="宋体" w:eastAsia="宋体" w:cs="Times New Roman"/>
                <w:kern w:val="0"/>
                <w:szCs w:val="21"/>
                <w:lang w:eastAsia="zh-Hans"/>
              </w:rPr>
              <w:t>投标函已提交并符合招标文件要求的，且投标有效期不少于招标文件中载明的投标有效期。</w:t>
            </w:r>
          </w:p>
        </w:tc>
      </w:tr>
      <w:tr w14:paraId="764F6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4ED68D02">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4621" w:type="pct"/>
          </w:tcPr>
          <w:p w14:paraId="6265CBFC">
            <w:pPr>
              <w:widowControl/>
              <w:jc w:val="left"/>
              <w:rPr>
                <w:rFonts w:ascii="宋体" w:hAnsi="宋体" w:eastAsia="宋体" w:cs="Times New Roman"/>
                <w:kern w:val="0"/>
                <w:szCs w:val="21"/>
              </w:rPr>
            </w:pPr>
            <w:r>
              <w:rPr>
                <w:rFonts w:ascii="宋体" w:hAnsi="宋体" w:eastAsia="宋体" w:cs="Times New Roman"/>
                <w:kern w:val="0"/>
                <w:szCs w:val="21"/>
                <w:lang w:eastAsia="zh-Hans"/>
              </w:rPr>
              <w:t>投标文件的签署、盖章符合招标文件要求。</w:t>
            </w:r>
          </w:p>
        </w:tc>
      </w:tr>
      <w:tr w14:paraId="1E8B8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5EB786B4">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4621" w:type="pct"/>
          </w:tcPr>
          <w:p w14:paraId="3955758D">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采购需求当中的</w:t>
            </w:r>
            <w:r>
              <w:rPr>
                <w:rFonts w:ascii="宋体" w:hAnsi="宋体" w:eastAsia="宋体" w:cs="Segoe UI Symbol"/>
                <w:kern w:val="0"/>
                <w:szCs w:val="21"/>
                <w:lang w:eastAsia="zh-Hans"/>
              </w:rPr>
              <w:t>★</w:t>
            </w:r>
            <w:r>
              <w:rPr>
                <w:rFonts w:ascii="宋体" w:hAnsi="宋体" w:eastAsia="宋体" w:cs="Times New Roman"/>
                <w:kern w:val="0"/>
                <w:szCs w:val="21"/>
                <w:lang w:eastAsia="zh-Hans"/>
              </w:rPr>
              <w:t>条款满足要求。(若本项目无</w:t>
            </w:r>
            <w:r>
              <w:rPr>
                <w:rFonts w:ascii="宋体" w:hAnsi="宋体" w:eastAsia="宋体" w:cs="Segoe UI Symbol"/>
                <w:kern w:val="0"/>
                <w:szCs w:val="21"/>
                <w:lang w:eastAsia="zh-Hans"/>
              </w:rPr>
              <w:t>★</w:t>
            </w:r>
            <w:r>
              <w:rPr>
                <w:rFonts w:ascii="宋体" w:hAnsi="宋体" w:eastAsia="宋体" w:cs="Times New Roman"/>
                <w:kern w:val="0"/>
                <w:szCs w:val="21"/>
                <w:lang w:eastAsia="zh-Hans"/>
              </w:rPr>
              <w:t>条款，此项通过)</w:t>
            </w:r>
          </w:p>
        </w:tc>
      </w:tr>
      <w:tr w14:paraId="61C5A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981F3B4">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6</w:t>
            </w:r>
          </w:p>
        </w:tc>
        <w:tc>
          <w:tcPr>
            <w:tcW w:w="4621" w:type="pct"/>
          </w:tcPr>
          <w:p w14:paraId="7B6160A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投标文件未出现选择性报价或有附加条件报价的情形。</w:t>
            </w:r>
          </w:p>
        </w:tc>
      </w:tr>
      <w:tr w14:paraId="05931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735727A">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7</w:t>
            </w:r>
          </w:p>
        </w:tc>
        <w:tc>
          <w:tcPr>
            <w:tcW w:w="4621" w:type="pct"/>
          </w:tcPr>
          <w:p w14:paraId="32691D3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投标文件没有招标文件中规定的其它无效投标条款的。</w:t>
            </w:r>
          </w:p>
        </w:tc>
      </w:tr>
      <w:bookmarkEnd w:id="37"/>
    </w:tbl>
    <w:p w14:paraId="0AEDB113">
      <w:pPr>
        <w:pStyle w:val="27"/>
        <w:numPr>
          <w:ilvl w:val="3"/>
          <w:numId w:val="105"/>
        </w:numPr>
        <w:spacing w:before="217" w:beforeLines="50"/>
        <w:ind w:left="284" w:hanging="284" w:firstLineChars="0"/>
        <w:jc w:val="left"/>
        <w:outlineLvl w:val="3"/>
        <w:rPr>
          <w:rFonts w:ascii="宋体" w:hAnsi="宋体" w:eastAsia="宋体" w:cs="Times New Roman"/>
          <w:kern w:val="0"/>
          <w:szCs w:val="21"/>
          <w:lang w:eastAsia="zh-Hans"/>
        </w:rPr>
      </w:pPr>
      <w:bookmarkStart w:id="38" w:name="_Hlk169889470"/>
      <w:r>
        <w:rPr>
          <w:rFonts w:ascii="宋体" w:hAnsi="宋体" w:eastAsia="宋体" w:cs="Times New Roman"/>
          <w:b/>
          <w:kern w:val="0"/>
          <w:szCs w:val="21"/>
          <w:lang w:eastAsia="zh-Hans"/>
        </w:rPr>
        <w:t>详细评审</w:t>
      </w:r>
      <w:bookmarkEnd w:id="38"/>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
        <w:gridCol w:w="1526"/>
        <w:gridCol w:w="16"/>
        <w:gridCol w:w="983"/>
        <w:gridCol w:w="5871"/>
      </w:tblGrid>
      <w:tr w14:paraId="38DEE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3" w:hRule="atLeast"/>
          <w:jc w:val="center"/>
        </w:trPr>
        <w:tc>
          <w:tcPr>
            <w:tcW w:w="479" w:type="pct"/>
            <w:vAlign w:val="center"/>
          </w:tcPr>
          <w:p w14:paraId="53D69B6E">
            <w:pPr>
              <w:pStyle w:val="30"/>
              <w:spacing w:line="400" w:lineRule="exact"/>
              <w:ind w:firstLine="0" w:firstLineChars="0"/>
              <w:jc w:val="center"/>
              <w:rPr>
                <w:rFonts w:ascii="宋体" w:eastAsia="宋体"/>
                <w:b/>
                <w:color w:val="000000" w:themeColor="text1"/>
                <w:sz w:val="21"/>
                <w:szCs w:val="21"/>
                <w14:textFill>
                  <w14:solidFill>
                    <w14:schemeClr w14:val="tx1"/>
                  </w14:solidFill>
                </w14:textFill>
              </w:rPr>
            </w:pPr>
            <w:bookmarkStart w:id="39" w:name="_Hlk169889554"/>
            <w:r>
              <w:rPr>
                <w:rFonts w:hint="eastAsia" w:ascii="宋体" w:eastAsia="宋体"/>
                <w:b/>
                <w:color w:val="000000" w:themeColor="text1"/>
                <w:sz w:val="21"/>
                <w:szCs w:val="21"/>
                <w14:textFill>
                  <w14:solidFill>
                    <w14:schemeClr w14:val="tx1"/>
                  </w14:solidFill>
                </w14:textFill>
              </w:rPr>
              <w:t>序号</w:t>
            </w:r>
          </w:p>
        </w:tc>
        <w:tc>
          <w:tcPr>
            <w:tcW w:w="830" w:type="pct"/>
            <w:gridSpan w:val="2"/>
            <w:vAlign w:val="center"/>
          </w:tcPr>
          <w:p w14:paraId="6B159EA7">
            <w:pPr>
              <w:pStyle w:val="30"/>
              <w:spacing w:line="400" w:lineRule="exact"/>
              <w:ind w:firstLine="0" w:firstLineChars="0"/>
              <w:jc w:val="center"/>
              <w:rPr>
                <w:rFonts w:ascii="宋体" w:eastAsia="宋体"/>
                <w:b/>
                <w:color w:val="000000" w:themeColor="text1"/>
                <w:sz w:val="21"/>
                <w:szCs w:val="2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评分内容</w:t>
            </w:r>
          </w:p>
        </w:tc>
        <w:tc>
          <w:tcPr>
            <w:tcW w:w="529" w:type="pct"/>
            <w:vAlign w:val="center"/>
          </w:tcPr>
          <w:p w14:paraId="377468C0">
            <w:pPr>
              <w:pStyle w:val="30"/>
              <w:spacing w:line="400" w:lineRule="exact"/>
              <w:ind w:firstLine="0" w:firstLineChars="0"/>
              <w:jc w:val="center"/>
              <w:rPr>
                <w:rFonts w:ascii="宋体" w:eastAsia="宋体"/>
                <w:b/>
                <w:color w:val="000000" w:themeColor="text1"/>
                <w:sz w:val="21"/>
                <w:szCs w:val="2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分值</w:t>
            </w:r>
          </w:p>
        </w:tc>
        <w:tc>
          <w:tcPr>
            <w:tcW w:w="3161" w:type="pct"/>
            <w:vAlign w:val="center"/>
          </w:tcPr>
          <w:p w14:paraId="07E35FCD">
            <w:pPr>
              <w:pStyle w:val="30"/>
              <w:spacing w:line="400" w:lineRule="exact"/>
              <w:ind w:firstLine="0" w:firstLineChars="0"/>
              <w:jc w:val="center"/>
              <w:rPr>
                <w:rFonts w:ascii="宋体" w:eastAsia="宋体"/>
                <w:b/>
                <w:color w:val="000000" w:themeColor="text1"/>
                <w:sz w:val="21"/>
                <w:szCs w:val="2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评审标准</w:t>
            </w:r>
          </w:p>
        </w:tc>
      </w:tr>
      <w:tr w14:paraId="4500A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5"/>
            <w:vAlign w:val="center"/>
          </w:tcPr>
          <w:p w14:paraId="5AE958CD">
            <w:pPr>
              <w:pStyle w:val="30"/>
              <w:spacing w:line="400" w:lineRule="exact"/>
              <w:ind w:firstLine="0" w:firstLineChars="0"/>
              <w:jc w:val="center"/>
              <w:rPr>
                <w:rFonts w:ascii="宋体" w:eastAsia="宋体"/>
                <w:b/>
                <w:color w:val="000000" w:themeColor="text1"/>
                <w:sz w:val="21"/>
                <w:szCs w:val="2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商务评审细则（</w:t>
            </w:r>
            <w:r>
              <w:rPr>
                <w:rFonts w:hint="eastAsia" w:ascii="宋体" w:eastAsia="宋体"/>
                <w:b/>
                <w:color w:val="000000" w:themeColor="text1"/>
                <w:sz w:val="21"/>
                <w:szCs w:val="21"/>
                <w:lang w:val="en-US" w:eastAsia="zh-CN"/>
                <w14:textFill>
                  <w14:solidFill>
                    <w14:schemeClr w14:val="tx1"/>
                  </w14:solidFill>
                </w14:textFill>
              </w:rPr>
              <w:t>25</w:t>
            </w:r>
            <w:r>
              <w:rPr>
                <w:rFonts w:hint="eastAsia" w:ascii="宋体" w:eastAsia="宋体"/>
                <w:b/>
                <w:color w:val="000000" w:themeColor="text1"/>
                <w:sz w:val="21"/>
                <w:szCs w:val="21"/>
                <w14:textFill>
                  <w14:solidFill>
                    <w14:schemeClr w14:val="tx1"/>
                  </w14:solidFill>
                </w14:textFill>
              </w:rPr>
              <w:t>分）</w:t>
            </w:r>
          </w:p>
        </w:tc>
      </w:tr>
      <w:tr w14:paraId="07B7D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79" w:type="pct"/>
            <w:vAlign w:val="center"/>
          </w:tcPr>
          <w:p w14:paraId="44B2239A">
            <w:pPr>
              <w:spacing w:line="400" w:lineRule="exact"/>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1</w:t>
            </w:r>
          </w:p>
        </w:tc>
        <w:tc>
          <w:tcPr>
            <w:tcW w:w="821" w:type="pct"/>
            <w:vAlign w:val="center"/>
          </w:tcPr>
          <w:p w14:paraId="010C9188">
            <w:pPr>
              <w:spacing w:line="400" w:lineRule="exact"/>
              <w:jc w:val="center"/>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企业认证</w:t>
            </w:r>
          </w:p>
        </w:tc>
        <w:tc>
          <w:tcPr>
            <w:tcW w:w="537" w:type="pct"/>
            <w:gridSpan w:val="2"/>
            <w:vAlign w:val="center"/>
          </w:tcPr>
          <w:p w14:paraId="5A37C5ED">
            <w:pPr>
              <w:widowControl/>
              <w:spacing w:line="400" w:lineRule="exact"/>
              <w:jc w:val="center"/>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6</w:t>
            </w:r>
            <w:r>
              <w:rPr>
                <w:rFonts w:hint="eastAsia" w:ascii="宋体" w:hAnsi="宋体" w:eastAsia="宋体"/>
                <w:bCs/>
                <w:color w:val="000000" w:themeColor="text1"/>
                <w:szCs w:val="21"/>
                <w14:textFill>
                  <w14:solidFill>
                    <w14:schemeClr w14:val="tx1"/>
                  </w14:solidFill>
                </w14:textFill>
              </w:rPr>
              <w:t>分</w:t>
            </w:r>
          </w:p>
        </w:tc>
        <w:tc>
          <w:tcPr>
            <w:tcW w:w="3161" w:type="pct"/>
            <w:vAlign w:val="center"/>
          </w:tcPr>
          <w:p w14:paraId="7EE92D22">
            <w:pPr>
              <w:spacing w:line="400" w:lineRule="exact"/>
              <w:rPr>
                <w:rFonts w:hint="eastAsia" w:ascii="宋体" w:hAnsi="宋体" w:eastAsia="宋体"/>
                <w:bCs/>
                <w:color w:val="000000" w:themeColor="text1"/>
                <w:szCs w:val="21"/>
                <w:lang w:eastAsia="zh-CN"/>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根据</w:t>
            </w:r>
            <w:r>
              <w:rPr>
                <w:rFonts w:hint="eastAsia" w:ascii="宋体" w:hAnsi="宋体" w:eastAsia="宋体"/>
                <w:bCs/>
                <w:color w:val="000000" w:themeColor="text1"/>
                <w:szCs w:val="21"/>
                <w:lang w:val="en-US" w:eastAsia="zh-CN"/>
                <w14:textFill>
                  <w14:solidFill>
                    <w14:schemeClr w14:val="tx1"/>
                  </w14:solidFill>
                </w14:textFill>
              </w:rPr>
              <w:t>投标人</w:t>
            </w:r>
            <w:r>
              <w:rPr>
                <w:rFonts w:hint="eastAsia" w:ascii="宋体" w:hAnsi="宋体" w:eastAsia="宋体"/>
                <w:bCs/>
                <w:color w:val="000000" w:themeColor="text1"/>
                <w:szCs w:val="21"/>
                <w14:textFill>
                  <w14:solidFill>
                    <w14:schemeClr w14:val="tx1"/>
                  </w14:solidFill>
                </w14:textFill>
              </w:rPr>
              <w:t>具有由国家认证认可监督管理部门批准设立的认证机构颁发并在有效期内的证书进行评审</w:t>
            </w:r>
            <w:r>
              <w:rPr>
                <w:rFonts w:hint="eastAsia" w:ascii="宋体" w:hAnsi="宋体" w:eastAsia="宋体"/>
                <w:bCs/>
                <w:color w:val="000000" w:themeColor="text1"/>
                <w:szCs w:val="21"/>
                <w:lang w:eastAsia="zh-CN"/>
                <w14:textFill>
                  <w14:solidFill>
                    <w14:schemeClr w14:val="tx1"/>
                  </w14:solidFill>
                </w14:textFill>
              </w:rPr>
              <w:t>：</w:t>
            </w:r>
          </w:p>
          <w:p w14:paraId="13A58CF5">
            <w:pPr>
              <w:spacing w:line="400" w:lineRule="exact"/>
              <w:rPr>
                <w:rFonts w:hint="eastAsia"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①质量管理体系认证证书；</w:t>
            </w:r>
          </w:p>
          <w:p w14:paraId="14210835">
            <w:pPr>
              <w:spacing w:line="400" w:lineRule="exact"/>
              <w:rPr>
                <w:rFonts w:hint="eastAsia"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②环境管理体系认证证书；</w:t>
            </w:r>
          </w:p>
          <w:p w14:paraId="53157D9F">
            <w:pPr>
              <w:spacing w:line="400" w:lineRule="exact"/>
              <w:rPr>
                <w:rFonts w:hint="eastAsia"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③职业健康安全管理体系认证证书。</w:t>
            </w:r>
          </w:p>
          <w:p w14:paraId="5FA13AF6">
            <w:pPr>
              <w:spacing w:line="400" w:lineRule="exact"/>
              <w:rPr>
                <w:rFonts w:hint="eastAsia" w:ascii="宋体" w:hAnsi="宋体" w:eastAsia="宋体"/>
                <w:b w:val="0"/>
                <w:bCs/>
                <w:color w:val="000000" w:themeColor="text1"/>
                <w:szCs w:val="21"/>
                <w:u w:val="none"/>
                <w14:textFill>
                  <w14:solidFill>
                    <w14:schemeClr w14:val="tx1"/>
                  </w14:solidFill>
                </w14:textFill>
              </w:rPr>
            </w:pPr>
            <w:r>
              <w:rPr>
                <w:rFonts w:hint="eastAsia" w:ascii="宋体" w:hAnsi="宋体" w:eastAsia="宋体"/>
                <w:b w:val="0"/>
                <w:bCs/>
                <w:color w:val="000000" w:themeColor="text1"/>
                <w:szCs w:val="21"/>
                <w:u w:val="none"/>
                <w14:textFill>
                  <w14:solidFill>
                    <w14:schemeClr w14:val="tx1"/>
                  </w14:solidFill>
                </w14:textFill>
              </w:rPr>
              <w:t>每提供一个证书得</w:t>
            </w:r>
            <w:r>
              <w:rPr>
                <w:rFonts w:hint="eastAsia" w:ascii="宋体" w:hAnsi="宋体" w:eastAsia="宋体"/>
                <w:b w:val="0"/>
                <w:bCs/>
                <w:color w:val="000000" w:themeColor="text1"/>
                <w:szCs w:val="21"/>
                <w:u w:val="none"/>
                <w:lang w:val="en-US" w:eastAsia="zh-CN"/>
                <w14:textFill>
                  <w14:solidFill>
                    <w14:schemeClr w14:val="tx1"/>
                  </w14:solidFill>
                </w14:textFill>
              </w:rPr>
              <w:t>2</w:t>
            </w:r>
            <w:r>
              <w:rPr>
                <w:rFonts w:hint="eastAsia" w:ascii="宋体" w:hAnsi="宋体" w:eastAsia="宋体"/>
                <w:b w:val="0"/>
                <w:bCs/>
                <w:color w:val="000000" w:themeColor="text1"/>
                <w:szCs w:val="21"/>
                <w:u w:val="none"/>
                <w14:textFill>
                  <w14:solidFill>
                    <w14:schemeClr w14:val="tx1"/>
                  </w14:solidFill>
                </w14:textFill>
              </w:rPr>
              <w:t>分，本项最高得</w:t>
            </w:r>
            <w:r>
              <w:rPr>
                <w:rFonts w:hint="eastAsia" w:ascii="宋体" w:hAnsi="宋体" w:eastAsia="宋体"/>
                <w:b w:val="0"/>
                <w:bCs/>
                <w:color w:val="000000" w:themeColor="text1"/>
                <w:szCs w:val="21"/>
                <w:u w:val="none"/>
                <w:lang w:val="en-US" w:eastAsia="zh-CN"/>
                <w14:textFill>
                  <w14:solidFill>
                    <w14:schemeClr w14:val="tx1"/>
                  </w14:solidFill>
                </w14:textFill>
              </w:rPr>
              <w:t>6</w:t>
            </w:r>
            <w:r>
              <w:rPr>
                <w:rFonts w:hint="eastAsia" w:ascii="宋体" w:hAnsi="宋体" w:eastAsia="宋体"/>
                <w:b w:val="0"/>
                <w:bCs/>
                <w:color w:val="000000" w:themeColor="text1"/>
                <w:szCs w:val="21"/>
                <w:u w:val="none"/>
                <w14:textFill>
                  <w14:solidFill>
                    <w14:schemeClr w14:val="tx1"/>
                  </w14:solidFill>
                </w14:textFill>
              </w:rPr>
              <w:t>分，不提供不得分。</w:t>
            </w:r>
          </w:p>
          <w:p w14:paraId="3D267734">
            <w:pPr>
              <w:spacing w:line="400" w:lineRule="exact"/>
              <w:rPr>
                <w:rFonts w:ascii="宋体" w:hAnsi="宋体" w:eastAsia="宋体"/>
                <w:b/>
                <w:bCs/>
                <w:color w:val="000000" w:themeColor="text1"/>
                <w:szCs w:val="21"/>
                <w:u w:val="single"/>
                <w14:textFill>
                  <w14:solidFill>
                    <w14:schemeClr w14:val="tx1"/>
                  </w14:solidFill>
                </w14:textFill>
              </w:rPr>
            </w:pPr>
            <w:r>
              <w:rPr>
                <w:rFonts w:hint="eastAsia" w:ascii="宋体" w:hAnsi="宋体" w:eastAsia="宋体"/>
                <w:b/>
                <w:bCs w:val="0"/>
                <w:color w:val="000000" w:themeColor="text1"/>
                <w:szCs w:val="21"/>
                <w:u w:val="single"/>
                <w14:textFill>
                  <w14:solidFill>
                    <w14:schemeClr w14:val="tx1"/>
                  </w14:solidFill>
                </w14:textFill>
              </w:rPr>
              <w:t>注：提供有效期内的认证证书复印件和网站公布的信息查询截图资料</w:t>
            </w:r>
            <w:r>
              <w:rPr>
                <w:rFonts w:hint="eastAsia" w:ascii="宋体" w:hAnsi="宋体" w:eastAsia="宋体"/>
                <w:b/>
                <w:bCs w:val="0"/>
                <w:color w:val="000000" w:themeColor="text1"/>
                <w:szCs w:val="21"/>
                <w:u w:val="single"/>
                <w:lang w:val="en-US" w:eastAsia="zh-CN"/>
                <w14:textFill>
                  <w14:solidFill>
                    <w14:schemeClr w14:val="tx1"/>
                  </w14:solidFill>
                </w14:textFill>
              </w:rPr>
              <w:t>并加盖投标人公章</w:t>
            </w:r>
            <w:r>
              <w:rPr>
                <w:rFonts w:hint="eastAsia" w:ascii="宋体" w:hAnsi="宋体" w:eastAsia="宋体"/>
                <w:b/>
                <w:bCs w:val="0"/>
                <w:color w:val="000000" w:themeColor="text1"/>
                <w:szCs w:val="21"/>
                <w:u w:val="single"/>
                <w14:textFill>
                  <w14:solidFill>
                    <w14:schemeClr w14:val="tx1"/>
                  </w14:solidFill>
                </w14:textFill>
              </w:rPr>
              <w:t>，网址以http://www.cnca.gov.cn/网站公布为准,已失效、暂停或撤销的不得分。</w:t>
            </w:r>
          </w:p>
        </w:tc>
      </w:tr>
      <w:tr w14:paraId="174DE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479" w:type="pct"/>
            <w:vAlign w:val="center"/>
          </w:tcPr>
          <w:p w14:paraId="786393D4">
            <w:pPr>
              <w:spacing w:line="400" w:lineRule="exact"/>
              <w:jc w:val="center"/>
              <w:rPr>
                <w:rFonts w:hint="eastAsia" w:ascii="宋体" w:hAnsi="宋体" w:eastAsia="宋体"/>
                <w:color w:val="000000" w:themeColor="text1"/>
                <w:szCs w:val="21"/>
                <w:lang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2</w:t>
            </w:r>
          </w:p>
        </w:tc>
        <w:tc>
          <w:tcPr>
            <w:tcW w:w="821" w:type="pct"/>
            <w:vAlign w:val="center"/>
          </w:tcPr>
          <w:p w14:paraId="1F2B12E5">
            <w:pPr>
              <w:spacing w:line="400" w:lineRule="exact"/>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业绩情况</w:t>
            </w:r>
          </w:p>
        </w:tc>
        <w:tc>
          <w:tcPr>
            <w:tcW w:w="537" w:type="pct"/>
            <w:gridSpan w:val="2"/>
            <w:vAlign w:val="center"/>
          </w:tcPr>
          <w:p w14:paraId="52809DCD">
            <w:pPr>
              <w:widowControl/>
              <w:spacing w:line="400" w:lineRule="exact"/>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15</w:t>
            </w:r>
            <w:r>
              <w:rPr>
                <w:rFonts w:hint="eastAsia" w:ascii="宋体" w:hAnsi="宋体" w:eastAsia="宋体"/>
                <w:color w:val="000000" w:themeColor="text1"/>
                <w:szCs w:val="21"/>
                <w14:textFill>
                  <w14:solidFill>
                    <w14:schemeClr w14:val="tx1"/>
                  </w14:solidFill>
                </w14:textFill>
              </w:rPr>
              <w:t>分</w:t>
            </w:r>
          </w:p>
        </w:tc>
        <w:tc>
          <w:tcPr>
            <w:tcW w:w="3161" w:type="pct"/>
            <w:vAlign w:val="center"/>
          </w:tcPr>
          <w:p w14:paraId="7C3C8047">
            <w:pPr>
              <w:spacing w:line="400" w:lineRule="exact"/>
              <w:rPr>
                <w:rFonts w:hint="eastAsia" w:ascii="宋体" w:hAnsi="宋体" w:eastAsia="宋体"/>
                <w:b w:val="0"/>
                <w:bCs/>
                <w:color w:val="000000" w:themeColor="text1"/>
                <w:szCs w:val="21"/>
                <w:u w:val="none"/>
                <w14:textFill>
                  <w14:solidFill>
                    <w14:schemeClr w14:val="tx1"/>
                  </w14:solidFill>
                </w14:textFill>
              </w:rPr>
            </w:pPr>
            <w:r>
              <w:rPr>
                <w:rFonts w:hint="eastAsia" w:ascii="宋体" w:hAnsi="宋体" w:eastAsia="宋体"/>
                <w:b w:val="0"/>
                <w:bCs/>
                <w:color w:val="000000" w:themeColor="text1"/>
                <w:szCs w:val="21"/>
                <w:u w:val="none"/>
                <w14:textFill>
                  <w14:solidFill>
                    <w14:schemeClr w14:val="tx1"/>
                  </w14:solidFill>
                </w14:textFill>
              </w:rPr>
              <w:t>根据投标人具有环卫保洁类项目业绩进行评审，每个得</w:t>
            </w:r>
            <w:r>
              <w:rPr>
                <w:rFonts w:hint="eastAsia" w:ascii="宋体" w:hAnsi="宋体" w:eastAsia="宋体"/>
                <w:b w:val="0"/>
                <w:bCs/>
                <w:color w:val="000000" w:themeColor="text1"/>
                <w:szCs w:val="21"/>
                <w:u w:val="none"/>
                <w:lang w:val="en-US" w:eastAsia="zh-CN"/>
                <w14:textFill>
                  <w14:solidFill>
                    <w14:schemeClr w14:val="tx1"/>
                  </w14:solidFill>
                </w14:textFill>
              </w:rPr>
              <w:t>3</w:t>
            </w:r>
            <w:r>
              <w:rPr>
                <w:rFonts w:hint="eastAsia" w:ascii="宋体" w:hAnsi="宋体" w:eastAsia="宋体"/>
                <w:b w:val="0"/>
                <w:bCs/>
                <w:color w:val="000000" w:themeColor="text1"/>
                <w:szCs w:val="21"/>
                <w:u w:val="none"/>
                <w14:textFill>
                  <w14:solidFill>
                    <w14:schemeClr w14:val="tx1"/>
                  </w14:solidFill>
                </w14:textFill>
              </w:rPr>
              <w:t>分，最高得</w:t>
            </w:r>
            <w:r>
              <w:rPr>
                <w:rFonts w:hint="eastAsia" w:ascii="宋体" w:hAnsi="宋体" w:eastAsia="宋体"/>
                <w:b w:val="0"/>
                <w:bCs/>
                <w:color w:val="000000" w:themeColor="text1"/>
                <w:szCs w:val="21"/>
                <w:u w:val="none"/>
                <w:lang w:val="en-US" w:eastAsia="zh-CN"/>
                <w14:textFill>
                  <w14:solidFill>
                    <w14:schemeClr w14:val="tx1"/>
                  </w14:solidFill>
                </w14:textFill>
              </w:rPr>
              <w:t>15</w:t>
            </w:r>
            <w:r>
              <w:rPr>
                <w:rFonts w:hint="eastAsia" w:ascii="宋体" w:hAnsi="宋体" w:eastAsia="宋体"/>
                <w:b w:val="0"/>
                <w:bCs/>
                <w:color w:val="000000" w:themeColor="text1"/>
                <w:szCs w:val="21"/>
                <w:u w:val="none"/>
                <w14:textFill>
                  <w14:solidFill>
                    <w14:schemeClr w14:val="tx1"/>
                  </w14:solidFill>
                </w14:textFill>
              </w:rPr>
              <w:t>分。</w:t>
            </w:r>
          </w:p>
          <w:p w14:paraId="523D5E0C">
            <w:pPr>
              <w:spacing w:line="400" w:lineRule="exact"/>
              <w:rPr>
                <w:rFonts w:ascii="宋体" w:hAnsi="宋体" w:eastAsia="宋体"/>
                <w:b/>
                <w:color w:val="000000" w:themeColor="text1"/>
                <w:szCs w:val="21"/>
                <w:u w:val="single"/>
                <w14:textFill>
                  <w14:solidFill>
                    <w14:schemeClr w14:val="tx1"/>
                  </w14:solidFill>
                </w14:textFill>
              </w:rPr>
            </w:pPr>
            <w:r>
              <w:rPr>
                <w:rFonts w:hint="eastAsia" w:ascii="宋体" w:hAnsi="宋体" w:eastAsia="宋体"/>
                <w:b/>
                <w:color w:val="000000" w:themeColor="text1"/>
                <w:szCs w:val="21"/>
                <w:u w:val="single"/>
                <w14:textFill>
                  <w14:solidFill>
                    <w14:schemeClr w14:val="tx1"/>
                  </w14:solidFill>
                </w14:textFill>
              </w:rPr>
              <w:t>注：须提供合同复印件</w:t>
            </w:r>
            <w:r>
              <w:rPr>
                <w:rFonts w:hint="eastAsia" w:ascii="宋体" w:hAnsi="宋体" w:eastAsia="宋体"/>
                <w:b/>
                <w:color w:val="000000" w:themeColor="text1"/>
                <w:szCs w:val="21"/>
                <w:u w:val="single"/>
                <w:lang w:val="en-US" w:eastAsia="zh-CN"/>
                <w14:textFill>
                  <w14:solidFill>
                    <w14:schemeClr w14:val="tx1"/>
                  </w14:solidFill>
                </w14:textFill>
              </w:rPr>
              <w:t>并</w:t>
            </w:r>
            <w:r>
              <w:rPr>
                <w:rFonts w:hint="eastAsia" w:ascii="宋体" w:hAnsi="宋体" w:eastAsia="宋体"/>
                <w:b/>
                <w:color w:val="000000" w:themeColor="text1"/>
                <w:szCs w:val="21"/>
                <w:u w:val="single"/>
                <w14:textFill>
                  <w14:solidFill>
                    <w14:schemeClr w14:val="tx1"/>
                  </w14:solidFill>
                </w14:textFill>
              </w:rPr>
              <w:t>加盖投标人公章。</w:t>
            </w:r>
          </w:p>
        </w:tc>
      </w:tr>
      <w:tr w14:paraId="3158E3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479" w:type="pct"/>
            <w:vAlign w:val="center"/>
          </w:tcPr>
          <w:p w14:paraId="00D75EE0">
            <w:pPr>
              <w:spacing w:line="4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3</w:t>
            </w:r>
          </w:p>
        </w:tc>
        <w:tc>
          <w:tcPr>
            <w:tcW w:w="821" w:type="pct"/>
            <w:vAlign w:val="center"/>
          </w:tcPr>
          <w:p w14:paraId="78CDE8C2">
            <w:pPr>
              <w:spacing w:line="400" w:lineRule="exact"/>
              <w:jc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紧急</w:t>
            </w:r>
            <w:r>
              <w:rPr>
                <w:rFonts w:hint="eastAsia" w:ascii="宋体" w:hAnsi="宋体" w:eastAsia="宋体"/>
                <w:color w:val="000000" w:themeColor="text1"/>
                <w:szCs w:val="21"/>
                <w14:textFill>
                  <w14:solidFill>
                    <w14:schemeClr w14:val="tx1"/>
                  </w14:solidFill>
                </w14:textFill>
              </w:rPr>
              <w:t>服务响应时间承诺</w:t>
            </w:r>
          </w:p>
        </w:tc>
        <w:tc>
          <w:tcPr>
            <w:tcW w:w="537" w:type="pct"/>
            <w:gridSpan w:val="2"/>
            <w:vAlign w:val="center"/>
          </w:tcPr>
          <w:p w14:paraId="5657F3AF">
            <w:pPr>
              <w:widowControl/>
              <w:spacing w:line="4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4</w:t>
            </w:r>
            <w:r>
              <w:rPr>
                <w:rFonts w:hint="eastAsia" w:ascii="宋体" w:hAnsi="宋体" w:eastAsia="宋体"/>
                <w:color w:val="000000" w:themeColor="text1"/>
                <w:szCs w:val="21"/>
                <w14:textFill>
                  <w14:solidFill>
                    <w14:schemeClr w14:val="tx1"/>
                  </w14:solidFill>
                </w14:textFill>
              </w:rPr>
              <w:t>分</w:t>
            </w:r>
          </w:p>
        </w:tc>
        <w:tc>
          <w:tcPr>
            <w:tcW w:w="3161" w:type="pct"/>
            <w:vAlign w:val="center"/>
          </w:tcPr>
          <w:p w14:paraId="428F2F3B">
            <w:pPr>
              <w:spacing w:line="440" w:lineRule="exact"/>
              <w:rPr>
                <w:rFonts w:ascii="宋体" w:hAnsi="宋体" w:eastAsia="宋体" w:cs="Times New Roman"/>
                <w:bCs/>
                <w:szCs w:val="21"/>
              </w:rPr>
            </w:pPr>
            <w:r>
              <w:rPr>
                <w:rFonts w:hint="eastAsia" w:ascii="宋体" w:hAnsi="宋体" w:eastAsia="宋体" w:cs="Times New Roman"/>
                <w:bCs/>
                <w:szCs w:val="21"/>
              </w:rPr>
              <w:t>根据</w:t>
            </w:r>
            <w:r>
              <w:rPr>
                <w:rFonts w:hint="eastAsia" w:ascii="宋体" w:hAnsi="宋体" w:eastAsia="宋体" w:cs="Times New Roman"/>
                <w:bCs/>
                <w:szCs w:val="21"/>
                <w:lang w:val="en-US" w:eastAsia="zh-CN"/>
              </w:rPr>
              <w:t>投标人</w:t>
            </w:r>
            <w:r>
              <w:rPr>
                <w:rFonts w:hint="eastAsia" w:ascii="宋体" w:hAnsi="宋体" w:eastAsia="宋体" w:cs="Times New Roman"/>
                <w:bCs/>
                <w:szCs w:val="21"/>
              </w:rPr>
              <w:t>提供的</w:t>
            </w:r>
            <w:r>
              <w:rPr>
                <w:rFonts w:hint="eastAsia" w:ascii="宋体" w:hAnsi="宋体" w:eastAsia="宋体" w:cs="Times New Roman"/>
                <w:bCs/>
                <w:szCs w:val="21"/>
                <w:lang w:val="en-US" w:eastAsia="zh-CN"/>
              </w:rPr>
              <w:t>紧急</w:t>
            </w:r>
            <w:r>
              <w:rPr>
                <w:rFonts w:hint="eastAsia" w:ascii="宋体" w:hAnsi="宋体" w:eastAsia="宋体" w:cs="Times New Roman"/>
                <w:bCs/>
                <w:szCs w:val="21"/>
              </w:rPr>
              <w:t>服务响应时间承诺进行评分：</w:t>
            </w:r>
          </w:p>
          <w:p w14:paraId="5D9E805B">
            <w:pPr>
              <w:spacing w:line="440" w:lineRule="exact"/>
              <w:rPr>
                <w:rFonts w:ascii="宋体" w:hAnsi="宋体" w:eastAsia="宋体" w:cs="Times New Roman"/>
                <w:bCs/>
                <w:szCs w:val="21"/>
              </w:rPr>
            </w:pPr>
            <w:r>
              <w:rPr>
                <w:rFonts w:hint="eastAsia" w:ascii="宋体" w:hAnsi="宋体" w:eastAsia="宋体" w:cs="Times New Roman"/>
                <w:bCs/>
                <w:szCs w:val="21"/>
              </w:rPr>
              <w:t>①</w:t>
            </w:r>
            <w:r>
              <w:rPr>
                <w:rFonts w:hint="eastAsia" w:ascii="宋体" w:hAnsi="宋体" w:eastAsia="宋体" w:cs="Times New Roman"/>
                <w:bCs/>
                <w:szCs w:val="21"/>
                <w:lang w:val="en-US" w:eastAsia="zh-CN"/>
              </w:rPr>
              <w:t>投标人</w:t>
            </w:r>
            <w:r>
              <w:rPr>
                <w:rFonts w:hint="eastAsia" w:ascii="宋体" w:hAnsi="宋体" w:eastAsia="宋体" w:cs="宋体"/>
                <w:bCs/>
                <w:szCs w:val="21"/>
              </w:rPr>
              <w:t>承诺在接到采购人通知后</w:t>
            </w:r>
            <w:r>
              <w:rPr>
                <w:rFonts w:hint="eastAsia" w:ascii="宋体" w:hAnsi="宋体" w:eastAsia="宋体" w:cs="宋体"/>
                <w:bCs/>
                <w:szCs w:val="21"/>
                <w:lang w:val="en-US" w:eastAsia="zh-CN"/>
              </w:rPr>
              <w:t>0.5</w:t>
            </w:r>
            <w:r>
              <w:rPr>
                <w:rFonts w:hint="eastAsia" w:ascii="宋体" w:hAnsi="宋体" w:eastAsia="宋体" w:cs="宋体"/>
                <w:bCs/>
                <w:szCs w:val="21"/>
              </w:rPr>
              <w:t>小时（含）内到现场</w:t>
            </w:r>
            <w:r>
              <w:rPr>
                <w:rFonts w:hint="eastAsia" w:ascii="宋体" w:hAnsi="宋体" w:eastAsia="宋体" w:cs="Times New Roman"/>
                <w:bCs/>
                <w:szCs w:val="21"/>
              </w:rPr>
              <w:t>，得</w:t>
            </w:r>
            <w:r>
              <w:rPr>
                <w:rFonts w:hint="eastAsia" w:ascii="宋体" w:hAnsi="宋体" w:eastAsia="宋体" w:cs="Times New Roman"/>
                <w:bCs/>
                <w:szCs w:val="21"/>
                <w:lang w:val="en-US" w:eastAsia="zh-CN"/>
              </w:rPr>
              <w:t>4</w:t>
            </w:r>
            <w:r>
              <w:rPr>
                <w:rFonts w:hint="eastAsia" w:ascii="宋体" w:hAnsi="宋体" w:eastAsia="宋体" w:cs="Times New Roman"/>
                <w:bCs/>
                <w:szCs w:val="21"/>
              </w:rPr>
              <w:t>分；</w:t>
            </w:r>
          </w:p>
          <w:p w14:paraId="45D788D9">
            <w:pPr>
              <w:spacing w:line="440" w:lineRule="exact"/>
              <w:rPr>
                <w:rFonts w:ascii="宋体" w:hAnsi="宋体" w:eastAsia="宋体" w:cs="Times New Roman"/>
                <w:bCs/>
                <w:szCs w:val="21"/>
              </w:rPr>
            </w:pPr>
            <w:r>
              <w:rPr>
                <w:rFonts w:hint="eastAsia" w:ascii="宋体" w:hAnsi="宋体" w:eastAsia="宋体" w:cs="Times New Roman"/>
                <w:bCs/>
                <w:szCs w:val="21"/>
              </w:rPr>
              <w:t>②</w:t>
            </w:r>
            <w:r>
              <w:rPr>
                <w:rFonts w:hint="eastAsia" w:ascii="宋体" w:hAnsi="宋体" w:eastAsia="宋体" w:cs="Times New Roman"/>
                <w:bCs/>
                <w:szCs w:val="21"/>
                <w:lang w:val="en-US" w:eastAsia="zh-CN"/>
              </w:rPr>
              <w:t>投标人</w:t>
            </w:r>
            <w:r>
              <w:rPr>
                <w:rFonts w:hint="eastAsia" w:ascii="宋体" w:hAnsi="宋体" w:eastAsia="宋体" w:cs="Times New Roman"/>
                <w:bCs/>
                <w:szCs w:val="21"/>
              </w:rPr>
              <w:t>承诺</w:t>
            </w:r>
            <w:r>
              <w:rPr>
                <w:rFonts w:hint="eastAsia" w:ascii="宋体" w:hAnsi="宋体" w:eastAsia="宋体" w:cs="宋体"/>
                <w:bCs/>
                <w:szCs w:val="21"/>
              </w:rPr>
              <w:t>在接到采购人通知后</w:t>
            </w:r>
            <w:r>
              <w:rPr>
                <w:rFonts w:hint="eastAsia" w:ascii="宋体" w:hAnsi="宋体" w:eastAsia="宋体" w:cs="宋体"/>
                <w:bCs/>
                <w:szCs w:val="21"/>
                <w:lang w:val="en-US" w:eastAsia="zh-CN"/>
              </w:rPr>
              <w:t>0.5</w:t>
            </w:r>
            <w:r>
              <w:rPr>
                <w:rFonts w:hint="eastAsia" w:ascii="宋体" w:hAnsi="宋体" w:eastAsia="宋体" w:cs="宋体"/>
                <w:bCs/>
                <w:szCs w:val="21"/>
              </w:rPr>
              <w:t>小时（不含）至</w:t>
            </w:r>
            <w:r>
              <w:rPr>
                <w:rFonts w:hint="eastAsia" w:ascii="宋体" w:hAnsi="宋体" w:eastAsia="宋体" w:cs="宋体"/>
                <w:bCs/>
                <w:szCs w:val="21"/>
                <w:lang w:val="en-US" w:eastAsia="zh-CN"/>
              </w:rPr>
              <w:t>1</w:t>
            </w:r>
            <w:r>
              <w:rPr>
                <w:rFonts w:hint="eastAsia" w:ascii="宋体" w:hAnsi="宋体" w:eastAsia="宋体" w:cs="宋体"/>
                <w:bCs/>
                <w:szCs w:val="21"/>
              </w:rPr>
              <w:t>小时（含）内到</w:t>
            </w:r>
            <w:r>
              <w:rPr>
                <w:rFonts w:hint="eastAsia" w:ascii="宋体" w:hAnsi="宋体" w:eastAsia="宋体" w:cs="Times New Roman"/>
                <w:bCs/>
                <w:szCs w:val="21"/>
              </w:rPr>
              <w:t>现场，得2分；</w:t>
            </w:r>
          </w:p>
          <w:p w14:paraId="57EDFEB3">
            <w:pPr>
              <w:spacing w:line="440" w:lineRule="exact"/>
              <w:rPr>
                <w:rFonts w:ascii="宋体" w:hAnsi="宋体" w:eastAsia="宋体" w:cs="Times New Roman"/>
                <w:bCs/>
                <w:szCs w:val="21"/>
              </w:rPr>
            </w:pPr>
            <w:r>
              <w:rPr>
                <w:rFonts w:hint="eastAsia" w:ascii="宋体" w:hAnsi="宋体" w:eastAsia="宋体" w:cs="Times New Roman"/>
                <w:bCs/>
                <w:szCs w:val="21"/>
              </w:rPr>
              <w:t>③</w:t>
            </w:r>
            <w:r>
              <w:rPr>
                <w:rFonts w:hint="eastAsia" w:ascii="宋体" w:hAnsi="宋体" w:eastAsia="宋体" w:cs="Times New Roman"/>
                <w:bCs/>
                <w:szCs w:val="21"/>
                <w:lang w:val="en-US" w:eastAsia="zh-CN"/>
              </w:rPr>
              <w:t>投标人</w:t>
            </w:r>
            <w:r>
              <w:rPr>
                <w:rFonts w:hint="eastAsia" w:ascii="宋体" w:hAnsi="宋体" w:eastAsia="宋体" w:cs="宋体"/>
                <w:bCs/>
                <w:szCs w:val="21"/>
              </w:rPr>
              <w:t>承诺在接到采购人通知后</w:t>
            </w:r>
            <w:r>
              <w:rPr>
                <w:rFonts w:hint="eastAsia" w:ascii="宋体" w:hAnsi="宋体" w:eastAsia="宋体" w:cs="宋体"/>
                <w:bCs/>
                <w:szCs w:val="21"/>
                <w:lang w:val="en-US" w:eastAsia="zh-CN"/>
              </w:rPr>
              <w:t>1</w:t>
            </w:r>
            <w:r>
              <w:rPr>
                <w:rFonts w:hint="eastAsia" w:ascii="宋体" w:hAnsi="宋体" w:eastAsia="宋体" w:cs="宋体"/>
                <w:bCs/>
                <w:szCs w:val="21"/>
              </w:rPr>
              <w:t>小时（不含）至</w:t>
            </w:r>
            <w:r>
              <w:rPr>
                <w:rFonts w:hint="eastAsia" w:ascii="宋体" w:hAnsi="宋体" w:eastAsia="宋体" w:cs="宋体"/>
                <w:bCs/>
                <w:szCs w:val="21"/>
                <w:lang w:val="en-US" w:eastAsia="zh-CN"/>
              </w:rPr>
              <w:t>1.5</w:t>
            </w:r>
            <w:r>
              <w:rPr>
                <w:rFonts w:hint="eastAsia" w:ascii="宋体" w:hAnsi="宋体" w:eastAsia="宋体" w:cs="宋体"/>
                <w:bCs/>
                <w:szCs w:val="21"/>
              </w:rPr>
              <w:t>小时（含）内到</w:t>
            </w:r>
            <w:r>
              <w:rPr>
                <w:rFonts w:hint="eastAsia" w:ascii="宋体" w:hAnsi="宋体" w:eastAsia="宋体" w:cs="Times New Roman"/>
                <w:bCs/>
                <w:szCs w:val="21"/>
              </w:rPr>
              <w:t>现场，得1分；</w:t>
            </w:r>
          </w:p>
          <w:p w14:paraId="0A760E36">
            <w:pPr>
              <w:spacing w:line="440" w:lineRule="exact"/>
              <w:rPr>
                <w:rFonts w:ascii="宋体" w:hAnsi="宋体" w:eastAsia="宋体" w:cs="Times New Roman"/>
                <w:bCs/>
                <w:szCs w:val="21"/>
              </w:rPr>
            </w:pPr>
            <w:r>
              <w:rPr>
                <w:rFonts w:hint="eastAsia" w:ascii="宋体" w:hAnsi="宋体" w:eastAsia="宋体" w:cs="Times New Roman"/>
                <w:bCs/>
                <w:szCs w:val="21"/>
              </w:rPr>
              <w:t>④</w:t>
            </w:r>
            <w:r>
              <w:rPr>
                <w:rFonts w:hint="eastAsia" w:ascii="宋体" w:hAnsi="宋体" w:eastAsia="宋体" w:cs="Times New Roman"/>
                <w:bCs/>
                <w:szCs w:val="21"/>
                <w:lang w:val="en-US" w:eastAsia="zh-CN"/>
              </w:rPr>
              <w:t>投标人</w:t>
            </w:r>
            <w:r>
              <w:rPr>
                <w:rFonts w:hint="eastAsia" w:ascii="宋体" w:hAnsi="宋体" w:eastAsia="宋体" w:cs="Times New Roman"/>
                <w:bCs/>
                <w:szCs w:val="21"/>
              </w:rPr>
              <w:t>承诺在接到采购人通知后超过</w:t>
            </w:r>
            <w:r>
              <w:rPr>
                <w:rFonts w:hint="eastAsia" w:ascii="宋体" w:hAnsi="宋体" w:eastAsia="宋体" w:cs="Times New Roman"/>
                <w:bCs/>
                <w:szCs w:val="21"/>
                <w:lang w:val="en-US" w:eastAsia="zh-CN"/>
              </w:rPr>
              <w:t>1.5</w:t>
            </w:r>
            <w:r>
              <w:rPr>
                <w:rFonts w:hint="eastAsia" w:ascii="宋体" w:hAnsi="宋体" w:eastAsia="宋体" w:cs="Times New Roman"/>
                <w:bCs/>
                <w:szCs w:val="21"/>
              </w:rPr>
              <w:t>小时到现场，不得分。</w:t>
            </w:r>
          </w:p>
          <w:p w14:paraId="0298EE9E">
            <w:pPr>
              <w:spacing w:line="400" w:lineRule="exact"/>
              <w:rPr>
                <w:rFonts w:hint="eastAsia" w:ascii="宋体" w:hAnsi="宋体" w:eastAsia="宋体"/>
                <w:b/>
                <w:color w:val="000000" w:themeColor="text1"/>
                <w:szCs w:val="21"/>
                <w:u w:val="single"/>
                <w14:textFill>
                  <w14:solidFill>
                    <w14:schemeClr w14:val="tx1"/>
                  </w14:solidFill>
                </w14:textFill>
              </w:rPr>
            </w:pPr>
            <w:r>
              <w:rPr>
                <w:rFonts w:hint="eastAsia" w:ascii="宋体" w:hAnsi="宋体" w:eastAsia="宋体" w:cs="Times New Roman"/>
                <w:b/>
                <w:szCs w:val="21"/>
                <w:u w:val="single"/>
              </w:rPr>
              <w:t>注：</w:t>
            </w:r>
            <w:r>
              <w:rPr>
                <w:rFonts w:hint="eastAsia" w:ascii="宋体" w:hAnsi="宋体" w:eastAsia="宋体" w:cs="Times New Roman"/>
                <w:b/>
                <w:szCs w:val="21"/>
                <w:u w:val="single"/>
                <w:lang w:val="en-US" w:eastAsia="zh-CN"/>
              </w:rPr>
              <w:t>投标人</w:t>
            </w:r>
            <w:r>
              <w:rPr>
                <w:rFonts w:hint="eastAsia" w:ascii="宋体" w:hAnsi="宋体" w:eastAsia="宋体" w:cs="宋体"/>
                <w:b/>
                <w:bCs/>
                <w:szCs w:val="21"/>
                <w:u w:val="single"/>
              </w:rPr>
              <w:t>须提供服务响应承诺</w:t>
            </w:r>
            <w:r>
              <w:rPr>
                <w:rFonts w:hint="eastAsia" w:ascii="宋体" w:hAnsi="宋体" w:eastAsia="宋体" w:cs="宋体"/>
                <w:b/>
                <w:bCs/>
                <w:szCs w:val="21"/>
                <w:u w:val="single"/>
                <w:lang w:val="en-US" w:eastAsia="zh-CN"/>
              </w:rPr>
              <w:t>函</w:t>
            </w:r>
            <w:r>
              <w:rPr>
                <w:rFonts w:hint="eastAsia" w:ascii="宋体" w:hAnsi="宋体" w:eastAsia="宋体" w:cs="宋体"/>
                <w:b/>
                <w:bCs/>
                <w:szCs w:val="21"/>
                <w:u w:val="single"/>
                <w:lang w:eastAsia="zh-CN"/>
              </w:rPr>
              <w:t>（</w:t>
            </w:r>
            <w:r>
              <w:rPr>
                <w:rFonts w:hint="eastAsia" w:ascii="宋体" w:hAnsi="宋体" w:eastAsia="宋体" w:cs="宋体"/>
                <w:b/>
                <w:bCs/>
                <w:szCs w:val="21"/>
                <w:u w:val="single"/>
              </w:rPr>
              <w:t>承诺</w:t>
            </w:r>
            <w:r>
              <w:rPr>
                <w:rFonts w:hint="eastAsia" w:ascii="宋体" w:hAnsi="宋体" w:eastAsia="宋体" w:cs="宋体"/>
                <w:b/>
                <w:bCs/>
                <w:szCs w:val="21"/>
                <w:u w:val="single"/>
                <w:lang w:val="en-US" w:eastAsia="zh-CN"/>
              </w:rPr>
              <w:t>函格式自拟</w:t>
            </w:r>
            <w:r>
              <w:rPr>
                <w:rFonts w:hint="eastAsia" w:ascii="宋体" w:hAnsi="宋体" w:eastAsia="宋体" w:cs="宋体"/>
                <w:b/>
                <w:bCs/>
                <w:szCs w:val="21"/>
                <w:u w:val="single"/>
                <w:lang w:eastAsia="zh-CN"/>
              </w:rPr>
              <w:t>）</w:t>
            </w:r>
            <w:r>
              <w:rPr>
                <w:rFonts w:hint="eastAsia" w:ascii="宋体" w:hAnsi="宋体" w:eastAsia="宋体" w:cs="宋体"/>
                <w:b/>
                <w:bCs/>
                <w:szCs w:val="21"/>
                <w:u w:val="single"/>
              </w:rPr>
              <w:t>加盖</w:t>
            </w:r>
            <w:r>
              <w:rPr>
                <w:rFonts w:hint="eastAsia" w:ascii="宋体" w:hAnsi="宋体" w:eastAsia="宋体" w:cs="宋体"/>
                <w:b/>
                <w:bCs/>
                <w:szCs w:val="21"/>
                <w:u w:val="single"/>
                <w:lang w:val="en-US" w:eastAsia="zh-CN"/>
              </w:rPr>
              <w:t>供应商</w:t>
            </w:r>
            <w:r>
              <w:rPr>
                <w:rFonts w:hint="eastAsia" w:ascii="宋体" w:hAnsi="宋体" w:eastAsia="宋体" w:cs="宋体"/>
                <w:b/>
                <w:bCs/>
                <w:szCs w:val="21"/>
                <w:u w:val="single"/>
              </w:rPr>
              <w:t>公章</w:t>
            </w:r>
            <w:r>
              <w:rPr>
                <w:rFonts w:hint="eastAsia" w:ascii="宋体" w:hAnsi="宋体" w:eastAsia="宋体" w:cs="Times New Roman"/>
                <w:b/>
                <w:szCs w:val="21"/>
                <w:u w:val="single"/>
              </w:rPr>
              <w:t>。</w:t>
            </w:r>
          </w:p>
        </w:tc>
      </w:tr>
      <w:tr w14:paraId="2B106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5"/>
            <w:vAlign w:val="center"/>
          </w:tcPr>
          <w:p w14:paraId="227985D8">
            <w:pPr>
              <w:pStyle w:val="30"/>
              <w:spacing w:line="400" w:lineRule="exact"/>
              <w:ind w:firstLine="0" w:firstLineChars="0"/>
              <w:jc w:val="center"/>
              <w:rPr>
                <w:rFonts w:ascii="宋体" w:eastAsia="宋体"/>
                <w:color w:val="000000" w:themeColor="text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技术评审细则（</w:t>
            </w:r>
            <w:r>
              <w:rPr>
                <w:rFonts w:hint="eastAsia" w:ascii="宋体" w:eastAsia="宋体"/>
                <w:b/>
                <w:color w:val="000000" w:themeColor="text1"/>
                <w:sz w:val="21"/>
                <w:szCs w:val="21"/>
                <w:lang w:val="en-US" w:eastAsia="zh-CN"/>
                <w14:textFill>
                  <w14:solidFill>
                    <w14:schemeClr w14:val="tx1"/>
                  </w14:solidFill>
                </w14:textFill>
              </w:rPr>
              <w:t>60</w:t>
            </w:r>
            <w:r>
              <w:rPr>
                <w:rFonts w:hint="eastAsia" w:ascii="宋体" w:eastAsia="宋体"/>
                <w:b/>
                <w:color w:val="000000" w:themeColor="text1"/>
                <w:sz w:val="21"/>
                <w:szCs w:val="21"/>
                <w14:textFill>
                  <w14:solidFill>
                    <w14:schemeClr w14:val="tx1"/>
                  </w14:solidFill>
                </w14:textFill>
              </w:rPr>
              <w:t>分）</w:t>
            </w:r>
          </w:p>
        </w:tc>
      </w:tr>
      <w:tr w14:paraId="06D81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479" w:type="pct"/>
            <w:vAlign w:val="center"/>
          </w:tcPr>
          <w:p w14:paraId="33057612">
            <w:pPr>
              <w:spacing w:line="400" w:lineRule="exact"/>
              <w:jc w:val="center"/>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w:t>
            </w:r>
          </w:p>
        </w:tc>
        <w:tc>
          <w:tcPr>
            <w:tcW w:w="821" w:type="pct"/>
            <w:vAlign w:val="center"/>
          </w:tcPr>
          <w:p w14:paraId="5E01E2D8">
            <w:pPr>
              <w:spacing w:line="400" w:lineRule="exact"/>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总体实施方案</w:t>
            </w:r>
          </w:p>
        </w:tc>
        <w:tc>
          <w:tcPr>
            <w:tcW w:w="537" w:type="pct"/>
            <w:gridSpan w:val="2"/>
            <w:vAlign w:val="center"/>
          </w:tcPr>
          <w:p w14:paraId="1D984740">
            <w:pPr>
              <w:widowControl/>
              <w:spacing w:line="400" w:lineRule="exact"/>
              <w:jc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15</w:t>
            </w:r>
            <w:r>
              <w:rPr>
                <w:rFonts w:hint="eastAsia" w:ascii="宋体" w:hAnsi="宋体" w:eastAsia="宋体"/>
                <w:color w:val="000000" w:themeColor="text1"/>
                <w:szCs w:val="21"/>
                <w14:textFill>
                  <w14:solidFill>
                    <w14:schemeClr w14:val="tx1"/>
                  </w14:solidFill>
                </w14:textFill>
              </w:rPr>
              <w:t>分</w:t>
            </w:r>
          </w:p>
        </w:tc>
        <w:tc>
          <w:tcPr>
            <w:tcW w:w="3161" w:type="pct"/>
            <w:vAlign w:val="center"/>
          </w:tcPr>
          <w:p w14:paraId="2F105049">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针对本项目特点制定合理化的项目总体实施方案，内容包含但不限于：总体实施计划、实施进度计划、主要器械材料、技术保障措施等内容进行评审：</w:t>
            </w:r>
          </w:p>
          <w:p w14:paraId="2DFD8897">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①对本次采购项目实施区域环境现状</w:t>
            </w:r>
            <w:r>
              <w:rPr>
                <w:rFonts w:hint="eastAsia" w:ascii="宋体" w:hAnsi="宋体" w:eastAsia="宋体"/>
                <w:color w:val="000000" w:themeColor="text1"/>
                <w:szCs w:val="21"/>
                <w:lang w:val="en-US" w:eastAsia="zh-CN"/>
                <w14:textFill>
                  <w14:solidFill>
                    <w14:schemeClr w14:val="tx1"/>
                  </w14:solidFill>
                </w14:textFill>
              </w:rPr>
              <w:t>了解全面及深刻</w:t>
            </w:r>
            <w:r>
              <w:rPr>
                <w:rFonts w:hint="eastAsia" w:ascii="宋体" w:hAnsi="宋体" w:eastAsia="宋体"/>
                <w:color w:val="000000" w:themeColor="text1"/>
                <w:szCs w:val="21"/>
                <w14:textFill>
                  <w14:solidFill>
                    <w14:schemeClr w14:val="tx1"/>
                  </w14:solidFill>
                </w14:textFill>
              </w:rPr>
              <w:t>，服务实施</w:t>
            </w:r>
            <w:r>
              <w:rPr>
                <w:rFonts w:hint="eastAsia" w:ascii="宋体" w:hAnsi="宋体" w:eastAsia="宋体"/>
                <w:color w:val="000000" w:themeColor="text1"/>
                <w:szCs w:val="21"/>
                <w:lang w:val="en-US" w:eastAsia="zh-CN"/>
                <w14:textFill>
                  <w14:solidFill>
                    <w14:schemeClr w14:val="tx1"/>
                  </w14:solidFill>
                </w14:textFill>
              </w:rPr>
              <w:t>计划严格执行</w:t>
            </w:r>
            <w:r>
              <w:rPr>
                <w:rFonts w:hint="eastAsia" w:ascii="宋体" w:hAnsi="宋体" w:eastAsia="宋体"/>
                <w:color w:val="000000" w:themeColor="text1"/>
                <w:szCs w:val="21"/>
                <w14:textFill>
                  <w14:solidFill>
                    <w14:schemeClr w14:val="tx1"/>
                  </w14:solidFill>
                </w14:textFill>
              </w:rPr>
              <w:t>行业规程，实施工作流程科学细致，工作进度计划拟定清晰明确，整体方案逻辑缜密，贴合本项目实际实施情况进行表述的，得15分；</w:t>
            </w:r>
          </w:p>
          <w:p w14:paraId="66E4E30C">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②对本次采购项目实施区域环境现状</w:t>
            </w:r>
            <w:r>
              <w:rPr>
                <w:rFonts w:hint="eastAsia" w:ascii="宋体" w:hAnsi="宋体" w:eastAsia="宋体"/>
                <w:color w:val="000000" w:themeColor="text1"/>
                <w:szCs w:val="21"/>
                <w:lang w:val="en-US" w:eastAsia="zh-CN"/>
                <w14:textFill>
                  <w14:solidFill>
                    <w14:schemeClr w14:val="tx1"/>
                  </w14:solidFill>
                </w14:textFill>
              </w:rPr>
              <w:t>了解全面</w:t>
            </w:r>
            <w:r>
              <w:rPr>
                <w:rFonts w:hint="eastAsia" w:ascii="宋体" w:hAnsi="宋体" w:eastAsia="宋体"/>
                <w:color w:val="000000" w:themeColor="text1"/>
                <w:szCs w:val="21"/>
                <w14:textFill>
                  <w14:solidFill>
                    <w14:schemeClr w14:val="tx1"/>
                  </w14:solidFill>
                </w14:textFill>
              </w:rPr>
              <w:t>具体，服务实施</w:t>
            </w:r>
            <w:r>
              <w:rPr>
                <w:rFonts w:hint="eastAsia" w:ascii="宋体" w:hAnsi="宋体" w:eastAsia="宋体"/>
                <w:color w:val="000000" w:themeColor="text1"/>
                <w:szCs w:val="21"/>
                <w:lang w:val="en-US" w:eastAsia="zh-CN"/>
                <w14:textFill>
                  <w14:solidFill>
                    <w14:schemeClr w14:val="tx1"/>
                  </w14:solidFill>
                </w14:textFill>
              </w:rPr>
              <w:t>计划执行</w:t>
            </w:r>
            <w:r>
              <w:rPr>
                <w:rFonts w:hint="eastAsia" w:ascii="宋体" w:hAnsi="宋体" w:eastAsia="宋体"/>
                <w:color w:val="000000" w:themeColor="text1"/>
                <w:szCs w:val="21"/>
                <w14:textFill>
                  <w14:solidFill>
                    <w14:schemeClr w14:val="tx1"/>
                  </w14:solidFill>
                </w14:textFill>
              </w:rPr>
              <w:t>行业规程，</w:t>
            </w:r>
            <w:r>
              <w:rPr>
                <w:rFonts w:hint="eastAsia" w:ascii="宋体" w:hAnsi="宋体" w:eastAsia="宋体"/>
                <w:color w:val="000000" w:themeColor="text1"/>
                <w:szCs w:val="21"/>
                <w:lang w:val="en-US" w:eastAsia="zh-CN"/>
                <w14:textFill>
                  <w14:solidFill>
                    <w14:schemeClr w14:val="tx1"/>
                  </w14:solidFill>
                </w14:textFill>
              </w:rPr>
              <w:t>实施</w:t>
            </w:r>
            <w:r>
              <w:rPr>
                <w:rFonts w:hint="eastAsia" w:ascii="宋体" w:hAnsi="宋体" w:eastAsia="宋体"/>
                <w:color w:val="000000" w:themeColor="text1"/>
                <w:szCs w:val="21"/>
                <w14:textFill>
                  <w14:solidFill>
                    <w14:schemeClr w14:val="tx1"/>
                  </w14:solidFill>
                </w14:textFill>
              </w:rPr>
              <w:t>工作流程具体，工作进度计划拟定明确的关键表述，整体方案逻辑清晰，结合本项目实际实施情况进行表述的，得12分；</w:t>
            </w:r>
          </w:p>
          <w:p w14:paraId="4B2B0394">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③对本次采购项目实施区域环境现状</w:t>
            </w:r>
            <w:r>
              <w:rPr>
                <w:rFonts w:hint="eastAsia" w:ascii="宋体" w:hAnsi="宋体" w:eastAsia="宋体"/>
                <w:color w:val="000000" w:themeColor="text1"/>
                <w:szCs w:val="21"/>
                <w:lang w:val="en-US" w:eastAsia="zh-CN"/>
                <w14:textFill>
                  <w14:solidFill>
                    <w14:schemeClr w14:val="tx1"/>
                  </w14:solidFill>
                </w14:textFill>
              </w:rPr>
              <w:t>了解全面</w:t>
            </w:r>
            <w:r>
              <w:rPr>
                <w:rFonts w:hint="eastAsia" w:ascii="宋体" w:hAnsi="宋体" w:eastAsia="宋体"/>
                <w:color w:val="000000" w:themeColor="text1"/>
                <w:szCs w:val="21"/>
                <w14:textFill>
                  <w14:solidFill>
                    <w14:schemeClr w14:val="tx1"/>
                  </w14:solidFill>
                </w14:textFill>
              </w:rPr>
              <w:t>，服务实施方式符合行业规程，实施工作流程表述相应节点，工作进度计划拟定仅有要点，整体方案逻辑顺畅，结合本项目实际实施情况表述内容的，得9分；</w:t>
            </w:r>
          </w:p>
          <w:p w14:paraId="0D432B80">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④对本次采购项目实施区域环境现状理解较为充分，服务实施的工作流程、步骤均有框架性要点内容表述，整体方案逻辑顺畅，结合本项目实际实施情况表述内容少的，得6分；</w:t>
            </w:r>
          </w:p>
          <w:p w14:paraId="48D05A52">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⑤对本次采购项目实施区域环境现状缺乏了解，服务方式表述笼统，实施工作流程粗略，工作进度计划拟定空洞，整体方案逻辑混乱，结合本项目实际实施情况表述内容少的，得3分；</w:t>
            </w:r>
          </w:p>
          <w:p w14:paraId="61E6223B">
            <w:pPr>
              <w:spacing w:line="400" w:lineRule="exact"/>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⑥没有提供相关方案不得分。</w:t>
            </w:r>
          </w:p>
        </w:tc>
      </w:tr>
      <w:tr w14:paraId="5BDC12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479" w:type="pct"/>
            <w:vAlign w:val="center"/>
          </w:tcPr>
          <w:p w14:paraId="35153DCC">
            <w:pPr>
              <w:spacing w:line="4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2</w:t>
            </w:r>
          </w:p>
        </w:tc>
        <w:tc>
          <w:tcPr>
            <w:tcW w:w="821" w:type="pct"/>
            <w:vAlign w:val="center"/>
          </w:tcPr>
          <w:p w14:paraId="0BBA95AD">
            <w:pPr>
              <w:spacing w:line="400" w:lineRule="exact"/>
              <w:jc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人员安排及技术保障方案</w:t>
            </w:r>
          </w:p>
        </w:tc>
        <w:tc>
          <w:tcPr>
            <w:tcW w:w="537" w:type="pct"/>
            <w:gridSpan w:val="2"/>
            <w:vAlign w:val="center"/>
          </w:tcPr>
          <w:p w14:paraId="1E6CE708">
            <w:pPr>
              <w:widowControl/>
              <w:spacing w:line="400" w:lineRule="exact"/>
              <w:jc w:val="center"/>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15分</w:t>
            </w:r>
          </w:p>
        </w:tc>
        <w:tc>
          <w:tcPr>
            <w:tcW w:w="3161" w:type="pct"/>
            <w:vAlign w:val="center"/>
          </w:tcPr>
          <w:p w14:paraId="6BAB019D">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针对本项目实施情况制定人员安排及技术保障方案，方案内容包含但不限于：服务人员完善的配置、明确的人员岗位职责、健全的人员内部管理制度、充足的技术保障能力等进行评审：</w:t>
            </w:r>
          </w:p>
          <w:p w14:paraId="60F2DAF1">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①人员安排合理且高效，充分考虑了团队成员的技能、经验和特长，职责明确，分工精细，团队协作流畅。技术保障方案全面且先进，涵盖了可能出现的各种技术问题，有完善的预防措施和技术手段，能有效保障项目的顺利进行的，得15分。</w:t>
            </w:r>
          </w:p>
          <w:p w14:paraId="4D3325D6">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②人员安排较为合理，团队成员的分工能够满足项目需求，协作基本顺畅。技术保障方案较为全面，对常见技术问题有明确的应对策略，应急处理机制基本完善，技术手段具有一定的先进性，能保证项目的正常推进的，得12分。</w:t>
            </w:r>
          </w:p>
          <w:p w14:paraId="0729E853">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③人员安排基本满足项目要求，但个别成员的职责可能不够清晰。技术保障方案包含主要的技术问题和应对措施，但在一些细节和特殊情况的考虑上有所欠缺，应急处理机制有待加强。方案上对项目进度可能会产生一定的影响，但总体可控的，得9分。</w:t>
            </w:r>
          </w:p>
          <w:p w14:paraId="11B2424B">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④人员安排存在问题，部分关键岗位人员配置不合理，团队协作存在缺陷。技术保障方案不全面，对重要技术问题的应对措施明确度低，应急处理能力较弱，可能会导致项目进度延迟或质量下降的，得6分。</w:t>
            </w:r>
          </w:p>
          <w:p w14:paraId="365C7DF7">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⑤人员安排存在明显不足，关键岗位人员配置不足，团队协作存在较大障碍。没有提供技术保障方案和针对重要技术问题应对措施，应急处理能力较弱，会直接导致项目进度延迟和质量下降的，得3分。</w:t>
            </w:r>
          </w:p>
          <w:p w14:paraId="43C65697">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⑥没有提供相关方案不得分。</w:t>
            </w:r>
          </w:p>
        </w:tc>
      </w:tr>
      <w:tr w14:paraId="1BD65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479" w:type="pct"/>
            <w:vAlign w:val="center"/>
          </w:tcPr>
          <w:p w14:paraId="2F828625">
            <w:pPr>
              <w:spacing w:line="400" w:lineRule="exact"/>
              <w:jc w:val="center"/>
              <w:rPr>
                <w:rFonts w:hint="eastAsia" w:ascii="宋体" w:hAnsi="宋体" w:eastAsia="宋体"/>
                <w:color w:val="000000" w:themeColor="text1"/>
                <w:szCs w:val="21"/>
                <w:lang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3</w:t>
            </w:r>
          </w:p>
        </w:tc>
        <w:tc>
          <w:tcPr>
            <w:tcW w:w="821" w:type="pct"/>
            <w:vAlign w:val="center"/>
          </w:tcPr>
          <w:p w14:paraId="3D6118E7">
            <w:pPr>
              <w:spacing w:line="400" w:lineRule="exact"/>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垃圾运输</w:t>
            </w:r>
            <w:r>
              <w:rPr>
                <w:rFonts w:ascii="宋体" w:hAnsi="宋体" w:eastAsia="宋体"/>
                <w:color w:val="000000" w:themeColor="text1"/>
                <w:szCs w:val="21"/>
                <w14:textFill>
                  <w14:solidFill>
                    <w14:schemeClr w14:val="tx1"/>
                  </w14:solidFill>
                </w14:textFill>
              </w:rPr>
              <w:t>方案</w:t>
            </w:r>
          </w:p>
        </w:tc>
        <w:tc>
          <w:tcPr>
            <w:tcW w:w="537" w:type="pct"/>
            <w:gridSpan w:val="2"/>
            <w:vAlign w:val="center"/>
          </w:tcPr>
          <w:p w14:paraId="51051921">
            <w:pPr>
              <w:widowControl/>
              <w:spacing w:line="400" w:lineRule="exact"/>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10</w:t>
            </w:r>
            <w:r>
              <w:rPr>
                <w:rFonts w:hint="eastAsia" w:ascii="宋体" w:hAnsi="宋体" w:eastAsia="宋体"/>
                <w:color w:val="000000" w:themeColor="text1"/>
                <w:szCs w:val="21"/>
                <w14:textFill>
                  <w14:solidFill>
                    <w14:schemeClr w14:val="tx1"/>
                  </w14:solidFill>
                </w14:textFill>
              </w:rPr>
              <w:t>分</w:t>
            </w:r>
          </w:p>
        </w:tc>
        <w:tc>
          <w:tcPr>
            <w:tcW w:w="3161" w:type="pct"/>
            <w:vAlign w:val="center"/>
          </w:tcPr>
          <w:p w14:paraId="2965075E">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针对本项目特点制定合理化的</w:t>
            </w:r>
            <w:r>
              <w:rPr>
                <w:rFonts w:hint="eastAsia" w:ascii="宋体" w:hAnsi="宋体" w:eastAsia="宋体"/>
                <w:color w:val="000000" w:themeColor="text1"/>
                <w:szCs w:val="21"/>
                <w:lang w:val="en-US" w:eastAsia="zh-CN"/>
                <w14:textFill>
                  <w14:solidFill>
                    <w14:schemeClr w14:val="tx1"/>
                  </w14:solidFill>
                </w14:textFill>
              </w:rPr>
              <w:t>垃圾运输</w:t>
            </w:r>
            <w:r>
              <w:rPr>
                <w:rFonts w:hint="eastAsia" w:ascii="宋体" w:hAnsi="宋体" w:eastAsia="宋体"/>
                <w:color w:val="000000" w:themeColor="text1"/>
                <w:szCs w:val="21"/>
                <w14:textFill>
                  <w14:solidFill>
                    <w14:schemeClr w14:val="tx1"/>
                  </w14:solidFill>
                </w14:textFill>
              </w:rPr>
              <w:t>方案进行评审：</w:t>
            </w:r>
          </w:p>
          <w:p w14:paraId="68317394">
            <w:pPr>
              <w:spacing w:line="400" w:lineRule="exact"/>
              <w:rPr>
                <w:rFonts w:ascii="宋体" w:hAnsi="宋体" w:eastAsia="宋体"/>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①</w:t>
            </w:r>
            <w:r>
              <w:rPr>
                <w:rFonts w:hint="eastAsia" w:ascii="宋体" w:hAnsi="宋体" w:eastAsia="宋体"/>
                <w:color w:val="000000" w:themeColor="text1"/>
                <w:szCs w:val="21"/>
                <w:lang w:val="en-US" w:eastAsia="zh-CN"/>
                <w14:textFill>
                  <w14:solidFill>
                    <w14:schemeClr w14:val="tx1"/>
                  </w14:solidFill>
                </w14:textFill>
              </w:rPr>
              <w:t>垃圾运输</w:t>
            </w:r>
            <w:r>
              <w:rPr>
                <w:rFonts w:ascii="宋体" w:hAnsi="宋体" w:eastAsia="宋体"/>
                <w:color w:val="000000" w:themeColor="text1"/>
                <w:szCs w:val="21"/>
                <w14:textFill>
                  <w14:solidFill>
                    <w14:schemeClr w14:val="tx1"/>
                  </w14:solidFill>
                </w14:textFill>
              </w:rPr>
              <w:t>方案条理清晰、完整，日常巡查方案巡查范围全面、频次高，垃圾处置及回收利用流程科学环保，垃圾运输方案严谨高效，防扬、撒措施具体可行，能完全满足采购需求要求的，得</w:t>
            </w:r>
            <w:r>
              <w:rPr>
                <w:rFonts w:hint="eastAsia" w:ascii="宋体" w:hAnsi="宋体" w:eastAsia="宋体"/>
                <w:color w:val="000000" w:themeColor="text1"/>
                <w:szCs w:val="21"/>
                <w:lang w:val="en-US" w:eastAsia="zh-CN"/>
                <w14:textFill>
                  <w14:solidFill>
                    <w14:schemeClr w14:val="tx1"/>
                  </w14:solidFill>
                </w14:textFill>
              </w:rPr>
              <w:t>10</w:t>
            </w:r>
            <w:r>
              <w:rPr>
                <w:rFonts w:ascii="宋体" w:hAnsi="宋体" w:eastAsia="宋体"/>
                <w:color w:val="000000" w:themeColor="text1"/>
                <w:szCs w:val="21"/>
                <w14:textFill>
                  <w14:solidFill>
                    <w14:schemeClr w14:val="tx1"/>
                  </w14:solidFill>
                </w14:textFill>
              </w:rPr>
              <w:t>分；</w:t>
            </w:r>
          </w:p>
          <w:p w14:paraId="7C912EFC">
            <w:pPr>
              <w:spacing w:line="400" w:lineRule="exact"/>
              <w:rPr>
                <w:rFonts w:ascii="宋体" w:hAnsi="宋体" w:eastAsia="宋体"/>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②</w:t>
            </w:r>
            <w:r>
              <w:rPr>
                <w:rFonts w:hint="eastAsia" w:ascii="宋体" w:hAnsi="宋体" w:eastAsia="宋体"/>
                <w:color w:val="000000" w:themeColor="text1"/>
                <w:szCs w:val="21"/>
                <w:lang w:val="en-US" w:eastAsia="zh-CN"/>
                <w14:textFill>
                  <w14:solidFill>
                    <w14:schemeClr w14:val="tx1"/>
                  </w14:solidFill>
                </w14:textFill>
              </w:rPr>
              <w:t>垃圾运输</w:t>
            </w:r>
            <w:r>
              <w:rPr>
                <w:rFonts w:ascii="宋体" w:hAnsi="宋体" w:eastAsia="宋体"/>
                <w:color w:val="000000" w:themeColor="text1"/>
                <w:szCs w:val="21"/>
                <w14:textFill>
                  <w14:solidFill>
                    <w14:schemeClr w14:val="tx1"/>
                  </w14:solidFill>
                </w14:textFill>
              </w:rPr>
              <w:t>方案完整，日常巡查方案巡查范围较为全面、频次较高，垃圾处置及回收利用流程科学，垃圾运输方案高效，防扬、撒措施较为可行，能满足采购需求要求的，得</w:t>
            </w:r>
            <w:r>
              <w:rPr>
                <w:rFonts w:hint="eastAsia" w:ascii="宋体" w:hAnsi="宋体" w:eastAsia="宋体"/>
                <w:color w:val="000000" w:themeColor="text1"/>
                <w:szCs w:val="21"/>
                <w:lang w:val="en-US" w:eastAsia="zh-CN"/>
                <w14:textFill>
                  <w14:solidFill>
                    <w14:schemeClr w14:val="tx1"/>
                  </w14:solidFill>
                </w14:textFill>
              </w:rPr>
              <w:t>7</w:t>
            </w:r>
            <w:r>
              <w:rPr>
                <w:rFonts w:ascii="宋体" w:hAnsi="宋体" w:eastAsia="宋体"/>
                <w:color w:val="000000" w:themeColor="text1"/>
                <w:szCs w:val="21"/>
                <w14:textFill>
                  <w14:solidFill>
                    <w14:schemeClr w14:val="tx1"/>
                  </w14:solidFill>
                </w14:textFill>
              </w:rPr>
              <w:t>分；</w:t>
            </w:r>
          </w:p>
          <w:p w14:paraId="0FA6C362">
            <w:pPr>
              <w:spacing w:line="400" w:lineRule="exact"/>
              <w:rPr>
                <w:rFonts w:ascii="宋体" w:hAnsi="宋体" w:eastAsia="宋体"/>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③</w:t>
            </w:r>
            <w:r>
              <w:rPr>
                <w:rFonts w:hint="eastAsia" w:ascii="宋体" w:hAnsi="宋体" w:eastAsia="宋体"/>
                <w:color w:val="000000" w:themeColor="text1"/>
                <w:szCs w:val="21"/>
                <w:lang w:val="en-US" w:eastAsia="zh-CN"/>
                <w14:textFill>
                  <w14:solidFill>
                    <w14:schemeClr w14:val="tx1"/>
                  </w14:solidFill>
                </w14:textFill>
              </w:rPr>
              <w:t>垃圾运输</w:t>
            </w:r>
            <w:r>
              <w:rPr>
                <w:rFonts w:ascii="宋体" w:hAnsi="宋体" w:eastAsia="宋体"/>
                <w:color w:val="000000" w:themeColor="text1"/>
                <w:szCs w:val="21"/>
                <w14:textFill>
                  <w14:solidFill>
                    <w14:schemeClr w14:val="tx1"/>
                  </w14:solidFill>
                </w14:textFill>
              </w:rPr>
              <w:t>方案较完整，日常巡查方案巡查范围基本全面，垃圾处置及回收利用流程可行，垃圾运输方案合理且有一定的防扬、撒措施，基本能满足采购需求要求的，得</w:t>
            </w:r>
            <w:r>
              <w:rPr>
                <w:rFonts w:hint="eastAsia" w:ascii="宋体" w:hAnsi="宋体" w:eastAsia="宋体"/>
                <w:color w:val="000000" w:themeColor="text1"/>
                <w:szCs w:val="21"/>
                <w:lang w:val="en-US" w:eastAsia="zh-CN"/>
                <w14:textFill>
                  <w14:solidFill>
                    <w14:schemeClr w14:val="tx1"/>
                  </w14:solidFill>
                </w14:textFill>
              </w:rPr>
              <w:t>4</w:t>
            </w:r>
            <w:r>
              <w:rPr>
                <w:rFonts w:ascii="宋体" w:hAnsi="宋体" w:eastAsia="宋体"/>
                <w:color w:val="000000" w:themeColor="text1"/>
                <w:szCs w:val="21"/>
                <w14:textFill>
                  <w14:solidFill>
                    <w14:schemeClr w14:val="tx1"/>
                  </w14:solidFill>
                </w14:textFill>
              </w:rPr>
              <w:t>分；</w:t>
            </w:r>
          </w:p>
          <w:p w14:paraId="4457B6FA">
            <w:pPr>
              <w:spacing w:line="400" w:lineRule="exact"/>
              <w:rPr>
                <w:rFonts w:ascii="宋体" w:hAnsi="宋体" w:eastAsia="宋体"/>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④</w:t>
            </w:r>
            <w:r>
              <w:rPr>
                <w:rFonts w:hint="eastAsia" w:ascii="宋体" w:hAnsi="宋体" w:eastAsia="宋体"/>
                <w:color w:val="000000" w:themeColor="text1"/>
                <w:szCs w:val="21"/>
                <w:lang w:val="en-US" w:eastAsia="zh-CN"/>
                <w14:textFill>
                  <w14:solidFill>
                    <w14:schemeClr w14:val="tx1"/>
                  </w14:solidFill>
                </w14:textFill>
              </w:rPr>
              <w:t>垃圾运输</w:t>
            </w:r>
            <w:r>
              <w:rPr>
                <w:rFonts w:ascii="宋体" w:hAnsi="宋体" w:eastAsia="宋体"/>
                <w:color w:val="000000" w:themeColor="text1"/>
                <w:szCs w:val="21"/>
                <w14:textFill>
                  <w14:solidFill>
                    <w14:schemeClr w14:val="tx1"/>
                  </w14:solidFill>
                </w14:textFill>
              </w:rPr>
              <w:t>方案简陋，日常巡查方案巡查范围有缺漏，垃圾处置及回收利用流程可行性差，垃圾运输没有对应防扬、撒措施，难以满足采购需求要求的，得1分；</w:t>
            </w:r>
          </w:p>
          <w:p w14:paraId="4BA1DE34">
            <w:pPr>
              <w:spacing w:line="400" w:lineRule="exac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⑤没有提供相关方案不得分。</w:t>
            </w:r>
          </w:p>
        </w:tc>
      </w:tr>
      <w:tr w14:paraId="7F86F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4CD61DF5">
            <w:pPr>
              <w:spacing w:line="400" w:lineRule="exact"/>
              <w:jc w:val="center"/>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4</w:t>
            </w:r>
          </w:p>
        </w:tc>
        <w:tc>
          <w:tcPr>
            <w:tcW w:w="821" w:type="pct"/>
            <w:vAlign w:val="center"/>
          </w:tcPr>
          <w:p w14:paraId="4A38DA2B">
            <w:pPr>
              <w:spacing w:line="400" w:lineRule="exact"/>
              <w:jc w:val="center"/>
              <w:rPr>
                <w:rFonts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应急方案</w:t>
            </w:r>
          </w:p>
        </w:tc>
        <w:tc>
          <w:tcPr>
            <w:tcW w:w="537" w:type="pct"/>
            <w:gridSpan w:val="2"/>
            <w:vAlign w:val="center"/>
          </w:tcPr>
          <w:p w14:paraId="125510C6">
            <w:pPr>
              <w:widowControl/>
              <w:spacing w:line="400" w:lineRule="exact"/>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10</w:t>
            </w:r>
            <w:r>
              <w:rPr>
                <w:rFonts w:hint="eastAsia" w:ascii="宋体" w:hAnsi="宋体" w:eastAsia="宋体"/>
                <w:color w:val="000000" w:themeColor="text1"/>
                <w:szCs w:val="21"/>
                <w14:textFill>
                  <w14:solidFill>
                    <w14:schemeClr w14:val="tx1"/>
                  </w14:solidFill>
                </w14:textFill>
              </w:rPr>
              <w:t>分</w:t>
            </w:r>
          </w:p>
        </w:tc>
        <w:tc>
          <w:tcPr>
            <w:tcW w:w="3161" w:type="pct"/>
            <w:vAlign w:val="center"/>
          </w:tcPr>
          <w:p w14:paraId="510A1F8A">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针对本项目特点制定合理化的应急事故的响应预案，方案内容中应包含但不限于：对服务过程的发生紧急情况的应对流程、各类紧急情况的预判及预防措施等内容进行评审：</w:t>
            </w:r>
          </w:p>
          <w:p w14:paraId="5FB08069">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①应急预案不仅全面囊括了所有可能出现的紧急情形，而且应对流程极其详尽、高效，每一个步骤都清晰明确，方案科学先进、灵活多变，整个预案逻辑严密，与本项目实际实施情况完美融合的，得10分；</w:t>
            </w:r>
          </w:p>
          <w:p w14:paraId="7B42FC24">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②应急预案深入且广泛地覆盖了各种潜在的紧急状况，应对流程具体、精准，可操作性强，预防措施全面细致，紧密贴合项目的实际实施情况的，得7分；</w:t>
            </w:r>
          </w:p>
          <w:p w14:paraId="56874B10">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③应急预案较为全面地涵盖了可能的 紧急情况，应对流程较为详细。预防措施相对周全，逻辑严谨，能够较好地结 合项目的一般实际情况的，得4分；</w:t>
            </w:r>
          </w:p>
          <w:p w14:paraId="6592644E">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④应急预案包含了常见的紧急情况，并有一定的应对流程描述，预防措施有一定的涵盖，但仍存在一些漏洞，完善度低，逻辑基本清晰，能够在一定程度上指导应急处理的，得1分；</w:t>
            </w:r>
          </w:p>
          <w:p w14:paraId="242728E4">
            <w:pPr>
              <w:spacing w:line="400" w:lineRule="exac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⑤没有提供相关方案不得分。</w:t>
            </w:r>
          </w:p>
        </w:tc>
      </w:tr>
      <w:tr w14:paraId="0BB0D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2A08A881">
            <w:pPr>
              <w:spacing w:line="400" w:lineRule="exact"/>
              <w:jc w:val="center"/>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5</w:t>
            </w:r>
          </w:p>
        </w:tc>
        <w:tc>
          <w:tcPr>
            <w:tcW w:w="821" w:type="pct"/>
            <w:vAlign w:val="center"/>
          </w:tcPr>
          <w:p w14:paraId="1F2759E6">
            <w:pPr>
              <w:spacing w:line="400" w:lineRule="exact"/>
              <w:jc w:val="center"/>
              <w:rPr>
                <w:rFonts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质量保障措施</w:t>
            </w:r>
          </w:p>
        </w:tc>
        <w:tc>
          <w:tcPr>
            <w:tcW w:w="537" w:type="pct"/>
            <w:gridSpan w:val="2"/>
            <w:vAlign w:val="center"/>
          </w:tcPr>
          <w:p w14:paraId="54176E6F">
            <w:pPr>
              <w:widowControl/>
              <w:spacing w:line="400" w:lineRule="exact"/>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10</w:t>
            </w:r>
            <w:r>
              <w:rPr>
                <w:rFonts w:hint="eastAsia" w:ascii="宋体" w:hAnsi="宋体" w:eastAsia="宋体"/>
                <w:color w:val="000000" w:themeColor="text1"/>
                <w:szCs w:val="21"/>
                <w14:textFill>
                  <w14:solidFill>
                    <w14:schemeClr w14:val="tx1"/>
                  </w14:solidFill>
                </w14:textFill>
              </w:rPr>
              <w:t>分</w:t>
            </w:r>
          </w:p>
        </w:tc>
        <w:tc>
          <w:tcPr>
            <w:tcW w:w="3161" w:type="pct"/>
            <w:vAlign w:val="center"/>
          </w:tcPr>
          <w:p w14:paraId="083D105D">
            <w:pPr>
              <w:spacing w:line="400" w:lineRule="exact"/>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针对本项目特点制定合理化的质量保证措施方案(包括但不仅限于质量目标、质量控制措施、质量保证体系及措施、质量保障管理及制度等内容)</w:t>
            </w:r>
            <w:r>
              <w:rPr>
                <w:rFonts w:hint="eastAsia" w:ascii="宋体" w:hAnsi="宋体" w:eastAsia="宋体"/>
                <w:color w:val="000000" w:themeColor="text1"/>
                <w:szCs w:val="21"/>
                <w:lang w:val="en-US" w:eastAsia="zh-CN"/>
                <w14:textFill>
                  <w14:solidFill>
                    <w14:schemeClr w14:val="tx1"/>
                  </w14:solidFill>
                </w14:textFill>
              </w:rPr>
              <w:t>进行评审：</w:t>
            </w:r>
          </w:p>
          <w:p w14:paraId="75EBE31E">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①质量目标清晰明确，质量控制措施合理可行，质量保证体系系统科学、保证措施严谨规范，质量保障管理及制度科学合理具体，质量保证方案各项内容均具备，并能根据项目性质或用户需求提出合理可行的建议的，得</w:t>
            </w:r>
            <w:r>
              <w:rPr>
                <w:rFonts w:hint="eastAsia" w:ascii="宋体" w:hAnsi="宋体" w:eastAsia="宋体"/>
                <w:color w:val="000000" w:themeColor="text1"/>
                <w:szCs w:val="21"/>
                <w:lang w:val="en-US" w:eastAsia="zh-CN"/>
                <w14:textFill>
                  <w14:solidFill>
                    <w14:schemeClr w14:val="tx1"/>
                  </w14:solidFill>
                </w14:textFill>
              </w:rPr>
              <w:t>10</w:t>
            </w:r>
            <w:r>
              <w:rPr>
                <w:rFonts w:hint="eastAsia" w:ascii="宋体" w:hAnsi="宋体" w:eastAsia="宋体"/>
                <w:color w:val="000000" w:themeColor="text1"/>
                <w:szCs w:val="21"/>
                <w14:textFill>
                  <w14:solidFill>
                    <w14:schemeClr w14:val="tx1"/>
                  </w14:solidFill>
                </w14:textFill>
              </w:rPr>
              <w:t>分；</w:t>
            </w:r>
          </w:p>
          <w:p w14:paraId="4F1D6C60">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②质量目标明确，质量控制措施合理可行，质量保证体系及保证措施规范，质量保障管理及制度科学合理，质量保证方案各项内容均具备的</w:t>
            </w:r>
            <w:r>
              <w:rPr>
                <w:rFonts w:hint="eastAsia" w:ascii="宋体" w:hAnsi="宋体" w:eastAsia="宋体"/>
                <w:color w:val="000000" w:themeColor="text1"/>
                <w:szCs w:val="21"/>
                <w:lang w:eastAsia="zh-CN"/>
                <w14:textFill>
                  <w14:solidFill>
                    <w14:schemeClr w14:val="tx1"/>
                  </w14:solidFill>
                </w14:textFill>
              </w:rPr>
              <w:t>，</w:t>
            </w:r>
            <w:r>
              <w:rPr>
                <w:rFonts w:hint="eastAsia" w:ascii="宋体" w:hAnsi="宋体" w:eastAsia="宋体"/>
                <w:color w:val="000000" w:themeColor="text1"/>
                <w:szCs w:val="21"/>
                <w14:textFill>
                  <w14:solidFill>
                    <w14:schemeClr w14:val="tx1"/>
                  </w14:solidFill>
                </w14:textFill>
              </w:rPr>
              <w:t>得</w:t>
            </w:r>
            <w:r>
              <w:rPr>
                <w:rFonts w:hint="eastAsia" w:ascii="宋体" w:hAnsi="宋体" w:eastAsia="宋体"/>
                <w:color w:val="000000" w:themeColor="text1"/>
                <w:szCs w:val="21"/>
                <w:lang w:val="en-US" w:eastAsia="zh-CN"/>
                <w14:textFill>
                  <w14:solidFill>
                    <w14:schemeClr w14:val="tx1"/>
                  </w14:solidFill>
                </w14:textFill>
              </w:rPr>
              <w:t>7</w:t>
            </w:r>
            <w:r>
              <w:rPr>
                <w:rFonts w:hint="eastAsia" w:ascii="宋体" w:hAnsi="宋体" w:eastAsia="宋体"/>
                <w:color w:val="000000" w:themeColor="text1"/>
                <w:szCs w:val="21"/>
                <w14:textFill>
                  <w14:solidFill>
                    <w14:schemeClr w14:val="tx1"/>
                  </w14:solidFill>
                </w14:textFill>
              </w:rPr>
              <w:t>分；</w:t>
            </w:r>
          </w:p>
          <w:p w14:paraId="64A22588">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③质量目标明确度一般，质量控制措施合理性较差，质量保证体系及保证措施不够规范，质量保障管理及制度合理，质量保证方案各项内容都具备但是不够详细的，得</w:t>
            </w:r>
            <w:r>
              <w:rPr>
                <w:rFonts w:hint="eastAsia" w:ascii="宋体" w:hAnsi="宋体" w:eastAsia="宋体"/>
                <w:color w:val="000000" w:themeColor="text1"/>
                <w:szCs w:val="21"/>
                <w:lang w:val="en-US" w:eastAsia="zh-CN"/>
                <w14:textFill>
                  <w14:solidFill>
                    <w14:schemeClr w14:val="tx1"/>
                  </w14:solidFill>
                </w14:textFill>
              </w:rPr>
              <w:t>4</w:t>
            </w:r>
            <w:r>
              <w:rPr>
                <w:rFonts w:hint="eastAsia" w:ascii="宋体" w:hAnsi="宋体" w:eastAsia="宋体"/>
                <w:color w:val="000000" w:themeColor="text1"/>
                <w:szCs w:val="21"/>
                <w14:textFill>
                  <w14:solidFill>
                    <w14:schemeClr w14:val="tx1"/>
                  </w14:solidFill>
                </w14:textFill>
              </w:rPr>
              <w:t>分</w:t>
            </w:r>
          </w:p>
          <w:p w14:paraId="6095B334">
            <w:pPr>
              <w:spacing w:line="400" w:lineRule="exac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④质量目标不够明确，但质量控制措施、质量保证体系及保证措施和质量保障管理及制度方案不合理不可行，质量保证方案部分内容有缺漏的，得1分；</w:t>
            </w:r>
          </w:p>
          <w:p w14:paraId="58C3891E">
            <w:pPr>
              <w:spacing w:line="400" w:lineRule="exac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⑤未提供对应方案不得分。</w:t>
            </w:r>
          </w:p>
        </w:tc>
      </w:tr>
      <w:bookmarkEnd w:id="39"/>
    </w:tbl>
    <w:p w14:paraId="151CEF5D">
      <w:pPr>
        <w:pStyle w:val="27"/>
        <w:numPr>
          <w:ilvl w:val="3"/>
          <w:numId w:val="105"/>
        </w:numPr>
        <w:spacing w:before="217" w:beforeLines="50"/>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汇总、排序</w:t>
      </w:r>
    </w:p>
    <w:p w14:paraId="12177A76">
      <w:pPr>
        <w:pStyle w:val="27"/>
        <w:widowControl/>
        <w:numPr>
          <w:ilvl w:val="0"/>
          <w:numId w:val="107"/>
        </w:numPr>
        <w:ind w:left="426" w:hanging="426" w:firstLineChars="0"/>
        <w:jc w:val="left"/>
        <w:rPr>
          <w:rFonts w:ascii="宋体" w:hAnsi="宋体" w:eastAsia="宋体" w:cs="Times New Roman"/>
          <w:color w:val="auto"/>
          <w:kern w:val="0"/>
          <w:szCs w:val="21"/>
          <w:lang w:eastAsia="zh-Hans"/>
        </w:rPr>
      </w:pPr>
      <w:r>
        <w:rPr>
          <w:rFonts w:ascii="宋体" w:hAnsi="宋体" w:eastAsia="宋体" w:cs="Times New Roman"/>
          <w:kern w:val="0"/>
          <w:szCs w:val="21"/>
          <w:lang w:eastAsia="zh-Hans"/>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提供相同品牌产品（非单一产品采购，以核心产品为准。多个核心产品的，有一种产品品牌相同，即视为提供相同品牌产品），评审后得分最高的同品牌投标人获得中标人推荐资格；评审得分相同的，由采购人或者采购人委托评标委</w:t>
      </w:r>
      <w:r>
        <w:rPr>
          <w:rFonts w:ascii="宋体" w:hAnsi="宋体" w:eastAsia="宋体" w:cs="Times New Roman"/>
          <w:color w:val="auto"/>
          <w:kern w:val="0"/>
          <w:szCs w:val="21"/>
          <w:lang w:eastAsia="zh-Hans"/>
        </w:rPr>
        <w:t>员会采取随机抽取方式确定，其他同品牌投标人不作为中标候选人）。</w:t>
      </w:r>
    </w:p>
    <w:p w14:paraId="29C1B2C5">
      <w:pPr>
        <w:pStyle w:val="27"/>
        <w:numPr>
          <w:ilvl w:val="3"/>
          <w:numId w:val="105"/>
        </w:numPr>
        <w:ind w:left="284" w:hanging="284"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中标价的确定</w:t>
      </w:r>
    </w:p>
    <w:p w14:paraId="06F4085C">
      <w:pPr>
        <w:widowControl/>
        <w:ind w:firstLine="420" w:firstLineChars="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除了按第四章第一点第7条修正并经投标人确认的投标报价作为中标价外，中标价以开标时公开唱标价为准。</w:t>
      </w:r>
    </w:p>
    <w:p w14:paraId="5AF16E43">
      <w:pPr>
        <w:pStyle w:val="27"/>
        <w:numPr>
          <w:ilvl w:val="3"/>
          <w:numId w:val="105"/>
        </w:numPr>
        <w:ind w:left="284" w:hanging="284"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其他无效投标的情形：</w:t>
      </w:r>
    </w:p>
    <w:p w14:paraId="7B1FED0F">
      <w:pPr>
        <w:pStyle w:val="27"/>
        <w:widowControl/>
        <w:numPr>
          <w:ilvl w:val="0"/>
          <w:numId w:val="108"/>
        </w:numPr>
        <w:ind w:firstLineChars="0"/>
        <w:jc w:val="left"/>
        <w:rPr>
          <w:rFonts w:ascii="宋体" w:hAnsi="宋体" w:eastAsia="宋体" w:cs="Times New Roman"/>
          <w:kern w:val="0"/>
          <w:szCs w:val="21"/>
          <w:lang w:eastAsia="zh-Hans"/>
        </w:rPr>
      </w:pPr>
      <w:r>
        <w:rPr>
          <w:rFonts w:ascii="宋体" w:hAnsi="宋体" w:eastAsia="宋体" w:cs="Times New Roman"/>
          <w:color w:val="auto"/>
          <w:kern w:val="0"/>
          <w:szCs w:val="21"/>
          <w:lang w:eastAsia="zh-Hans"/>
        </w:rPr>
        <w:t>评标期间，投标人没有按评标委员会的要求提交法定代表人或其委</w:t>
      </w:r>
      <w:r>
        <w:rPr>
          <w:rFonts w:ascii="宋体" w:hAnsi="宋体" w:eastAsia="宋体" w:cs="Times New Roman"/>
          <w:kern w:val="0"/>
          <w:szCs w:val="21"/>
          <w:lang w:eastAsia="zh-Hans"/>
        </w:rPr>
        <w:t>托代理人签字的澄清、说明、补正或改变了投标文件的实质性内容的。</w:t>
      </w:r>
    </w:p>
    <w:p w14:paraId="12D647CC">
      <w:pPr>
        <w:pStyle w:val="27"/>
        <w:widowControl/>
        <w:numPr>
          <w:ilvl w:val="0"/>
          <w:numId w:val="108"/>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投标文件提供虚假材料的。</w:t>
      </w:r>
    </w:p>
    <w:p w14:paraId="418D0D97">
      <w:pPr>
        <w:pStyle w:val="27"/>
        <w:widowControl/>
        <w:numPr>
          <w:ilvl w:val="0"/>
          <w:numId w:val="108"/>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投标人以他人名义投标、串通投标、以行贿手段谋取中标或者以其他弄虚作假方式投标的。</w:t>
      </w:r>
    </w:p>
    <w:p w14:paraId="5B4F2156">
      <w:pPr>
        <w:pStyle w:val="27"/>
        <w:widowControl/>
        <w:numPr>
          <w:ilvl w:val="0"/>
          <w:numId w:val="108"/>
        </w:numPr>
        <w:ind w:firstLineChars="0"/>
        <w:jc w:val="left"/>
        <w:rPr>
          <w:rFonts w:ascii="宋体" w:hAnsi="宋体" w:eastAsia="宋体" w:cs="Times New Roman"/>
          <w:spacing w:val="-4"/>
          <w:kern w:val="0"/>
          <w:szCs w:val="21"/>
          <w:lang w:eastAsia="zh-Hans"/>
        </w:rPr>
      </w:pPr>
      <w:r>
        <w:rPr>
          <w:rFonts w:ascii="宋体" w:hAnsi="宋体" w:eastAsia="宋体" w:cs="Times New Roman"/>
          <w:spacing w:val="-4"/>
          <w:kern w:val="0"/>
          <w:szCs w:val="21"/>
          <w:lang w:eastAsia="zh-Hans"/>
        </w:rPr>
        <w:t>投标人对采购人、采购代理机构、评标委员会及其工作人员施加影响，有碍招标公平、公正的。</w:t>
      </w:r>
    </w:p>
    <w:p w14:paraId="7DDC3577">
      <w:pPr>
        <w:pStyle w:val="27"/>
        <w:widowControl/>
        <w:numPr>
          <w:ilvl w:val="0"/>
          <w:numId w:val="108"/>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投标文件含有采购人不能接受的附加条件的。</w:t>
      </w:r>
    </w:p>
    <w:p w14:paraId="0299366C">
      <w:pPr>
        <w:pStyle w:val="27"/>
        <w:widowControl/>
        <w:numPr>
          <w:ilvl w:val="0"/>
          <w:numId w:val="108"/>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法律、法规和招标文件规定的其他无效情形。</w:t>
      </w:r>
    </w:p>
    <w:p w14:paraId="2096565D">
      <w:pPr>
        <w:pageBreakBefore/>
        <w:widowControl/>
        <w:jc w:val="center"/>
        <w:outlineLvl w:val="1"/>
        <w:rPr>
          <w:rFonts w:ascii="宋体" w:hAnsi="宋体" w:eastAsia="宋体"/>
          <w:sz w:val="36"/>
          <w:szCs w:val="36"/>
        </w:rPr>
      </w:pPr>
      <w:bookmarkStart w:id="40" w:name="_Toc169799783"/>
      <w:bookmarkStart w:id="41" w:name="_Toc169807544"/>
      <w:r>
        <w:rPr>
          <w:rFonts w:ascii="宋体" w:hAnsi="宋体" w:eastAsia="宋体" w:cs="Times New Roman"/>
          <w:b/>
          <w:kern w:val="0"/>
          <w:sz w:val="36"/>
          <w:szCs w:val="36"/>
          <w:lang w:eastAsia="zh-Hans"/>
        </w:rPr>
        <w:t>第五章 合同文本</w:t>
      </w:r>
      <w:bookmarkEnd w:id="40"/>
      <w:bookmarkEnd w:id="41"/>
    </w:p>
    <w:p w14:paraId="5461F0D7">
      <w:pPr>
        <w:spacing w:line="600" w:lineRule="exact"/>
        <w:jc w:val="center"/>
        <w:rPr>
          <w:rFonts w:hint="eastAsia" w:ascii="宋体" w:hAnsi="宋体" w:cs="宋体"/>
          <w:color w:val="auto"/>
          <w:sz w:val="44"/>
          <w:szCs w:val="44"/>
          <w:highlight w:val="none"/>
          <w:lang w:eastAsia="zh-CN"/>
        </w:rPr>
      </w:pPr>
    </w:p>
    <w:p w14:paraId="57BBF868">
      <w:pPr>
        <w:spacing w:line="600" w:lineRule="exact"/>
        <w:ind w:firstLine="0"/>
        <w:jc w:val="center"/>
        <w:rPr>
          <w:rFonts w:hint="eastAsia" w:ascii="宋体" w:hAnsi="宋体" w:eastAsia="宋体" w:cs="宋体"/>
          <w:color w:val="auto"/>
          <w:sz w:val="44"/>
          <w:szCs w:val="44"/>
          <w:highlight w:val="none"/>
          <w:lang w:eastAsia="zh-CN"/>
        </w:rPr>
      </w:pPr>
      <w:bookmarkStart w:id="42" w:name="_Toc169799784"/>
      <w:bookmarkStart w:id="43" w:name="_Toc169807545"/>
      <w:r>
        <w:rPr>
          <w:rFonts w:hint="eastAsia" w:ascii="宋体" w:hAnsi="宋体" w:eastAsia="宋体" w:cs="宋体"/>
          <w:color w:val="auto"/>
          <w:sz w:val="44"/>
          <w:szCs w:val="44"/>
          <w:highlight w:val="none"/>
          <w:lang w:eastAsia="zh-CN"/>
        </w:rPr>
        <w:t>环卫清扫保洁服务</w:t>
      </w:r>
      <w:r>
        <w:rPr>
          <w:rFonts w:hint="eastAsia" w:ascii="宋体" w:hAnsi="宋体" w:eastAsia="宋体" w:cs="宋体"/>
          <w:color w:val="auto"/>
          <w:sz w:val="44"/>
          <w:szCs w:val="44"/>
          <w:highlight w:val="none"/>
        </w:rPr>
        <w:t>项目</w:t>
      </w:r>
      <w:r>
        <w:rPr>
          <w:rFonts w:hint="eastAsia" w:ascii="宋体" w:hAnsi="宋体" w:eastAsia="宋体" w:cs="宋体"/>
          <w:color w:val="auto"/>
          <w:sz w:val="44"/>
          <w:szCs w:val="44"/>
          <w:highlight w:val="none"/>
          <w:lang w:eastAsia="zh-CN"/>
        </w:rPr>
        <w:t>合同</w:t>
      </w:r>
    </w:p>
    <w:p w14:paraId="1E51EAE0">
      <w:pPr>
        <w:rPr>
          <w:rFonts w:hint="eastAsia" w:ascii="宋体" w:hAnsi="宋体" w:eastAsia="宋体" w:cs="宋体"/>
          <w:color w:val="auto"/>
          <w:sz w:val="28"/>
          <w:szCs w:val="28"/>
          <w:highlight w:val="none"/>
        </w:rPr>
      </w:pPr>
    </w:p>
    <w:p w14:paraId="23593F76">
      <w:pPr>
        <w:rPr>
          <w:rFonts w:hint="eastAsia" w:ascii="宋体" w:hAnsi="宋体" w:eastAsia="宋体" w:cs="宋体"/>
          <w:color w:val="auto"/>
          <w:sz w:val="28"/>
          <w:szCs w:val="28"/>
          <w:highlight w:val="none"/>
        </w:rPr>
      </w:pPr>
    </w:p>
    <w:p w14:paraId="744D6145">
      <w:pPr>
        <w:rPr>
          <w:rFonts w:hint="eastAsia" w:ascii="宋体" w:hAnsi="宋体" w:eastAsia="宋体" w:cs="宋体"/>
          <w:color w:val="auto"/>
          <w:sz w:val="28"/>
          <w:szCs w:val="28"/>
          <w:highlight w:val="none"/>
        </w:rPr>
      </w:pPr>
    </w:p>
    <w:p w14:paraId="24B1217A">
      <w:pPr>
        <w:rPr>
          <w:rFonts w:hint="eastAsia" w:ascii="宋体" w:hAnsi="宋体" w:eastAsia="宋体" w:cs="宋体"/>
          <w:color w:val="auto"/>
          <w:sz w:val="28"/>
          <w:szCs w:val="28"/>
          <w:highlight w:val="none"/>
        </w:rPr>
      </w:pPr>
    </w:p>
    <w:p w14:paraId="35F8946F">
      <w:pPr>
        <w:rPr>
          <w:rFonts w:hint="eastAsia" w:ascii="宋体" w:hAnsi="宋体" w:eastAsia="宋体" w:cs="宋体"/>
          <w:color w:val="auto"/>
          <w:sz w:val="28"/>
          <w:szCs w:val="28"/>
          <w:highlight w:val="none"/>
        </w:rPr>
      </w:pPr>
    </w:p>
    <w:p w14:paraId="27C0D17F">
      <w:pPr>
        <w:rPr>
          <w:rFonts w:hint="eastAsia" w:ascii="宋体" w:hAnsi="宋体" w:eastAsia="宋体" w:cs="宋体"/>
          <w:color w:val="auto"/>
          <w:sz w:val="28"/>
          <w:szCs w:val="28"/>
          <w:highlight w:val="none"/>
        </w:rPr>
      </w:pPr>
    </w:p>
    <w:p w14:paraId="65E14F57">
      <w:pPr>
        <w:rPr>
          <w:rFonts w:hint="eastAsia" w:ascii="宋体" w:hAnsi="宋体" w:eastAsia="宋体" w:cs="宋体"/>
          <w:color w:val="auto"/>
          <w:sz w:val="28"/>
          <w:szCs w:val="28"/>
          <w:highlight w:val="none"/>
        </w:rPr>
      </w:pPr>
    </w:p>
    <w:p w14:paraId="5E0C7789">
      <w:pPr>
        <w:keepNext w:val="0"/>
        <w:keepLines w:val="0"/>
        <w:pageBreakBefore w:val="0"/>
        <w:widowControl w:val="0"/>
        <w:kinsoku/>
        <w:wordWrap/>
        <w:overflowPunct/>
        <w:topLinePunct w:val="0"/>
        <w:autoSpaceDE/>
        <w:autoSpaceDN/>
        <w:bidi w:val="0"/>
        <w:adjustRightInd/>
        <w:snapToGrid/>
        <w:spacing w:line="1000" w:lineRule="exact"/>
        <w:ind w:firstLine="640" w:firstLineChars="200"/>
        <w:textAlignment w:val="auto"/>
        <w:rPr>
          <w:rFonts w:hint="eastAsia" w:ascii="宋体" w:hAnsi="宋体" w:eastAsia="宋体" w:cs="宋体"/>
          <w:color w:val="auto"/>
          <w:sz w:val="32"/>
          <w:szCs w:val="32"/>
          <w:highlight w:val="none"/>
          <w:u w:val="single"/>
          <w:lang w:val="en-US" w:eastAsia="zh-CN"/>
        </w:rPr>
      </w:pPr>
      <w:r>
        <w:rPr>
          <w:rFonts w:hint="eastAsia" w:ascii="宋体" w:hAnsi="宋体" w:eastAsia="宋体" w:cs="宋体"/>
          <w:color w:val="auto"/>
          <w:sz w:val="32"/>
          <w:szCs w:val="32"/>
          <w:highlight w:val="none"/>
          <w:lang w:eastAsia="zh-CN"/>
        </w:rPr>
        <w:t>项目名称</w:t>
      </w:r>
      <w:r>
        <w:rPr>
          <w:rFonts w:hint="eastAsia" w:ascii="宋体" w:hAnsi="宋体" w:eastAsia="宋体" w:cs="宋体"/>
          <w:color w:val="auto"/>
          <w:sz w:val="32"/>
          <w:szCs w:val="32"/>
          <w:highlight w:val="none"/>
        </w:rPr>
        <w:t>：</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u w:val="single"/>
          <w:lang w:eastAsia="zh-CN"/>
        </w:rPr>
        <w:t>虎门镇黄村社区环卫保洁服务项目</w:t>
      </w:r>
      <w:r>
        <w:rPr>
          <w:rFonts w:hint="eastAsia" w:ascii="宋体" w:hAnsi="宋体" w:eastAsia="宋体" w:cs="宋体"/>
          <w:color w:val="auto"/>
          <w:sz w:val="32"/>
          <w:szCs w:val="32"/>
          <w:highlight w:val="none"/>
          <w:u w:val="single"/>
          <w:lang w:val="en-US" w:eastAsia="zh-CN"/>
        </w:rPr>
        <w:t xml:space="preserve"> </w:t>
      </w:r>
    </w:p>
    <w:p w14:paraId="33DD0E60">
      <w:pPr>
        <w:keepNext w:val="0"/>
        <w:keepLines w:val="0"/>
        <w:pageBreakBefore w:val="0"/>
        <w:widowControl w:val="0"/>
        <w:kinsoku/>
        <w:wordWrap/>
        <w:overflowPunct/>
        <w:topLinePunct w:val="0"/>
        <w:autoSpaceDE/>
        <w:autoSpaceDN/>
        <w:bidi w:val="0"/>
        <w:adjustRightInd/>
        <w:snapToGrid/>
        <w:spacing w:line="1000" w:lineRule="exact"/>
        <w:ind w:firstLine="640" w:firstLineChars="200"/>
        <w:textAlignment w:val="auto"/>
        <w:rPr>
          <w:rFonts w:hint="eastAsia" w:ascii="宋体" w:hAnsi="宋体" w:eastAsia="宋体" w:cs="宋体"/>
          <w:color w:val="auto"/>
          <w:sz w:val="32"/>
          <w:szCs w:val="32"/>
          <w:highlight w:val="none"/>
          <w:u w:val="single"/>
          <w:lang w:val="en-US" w:eastAsia="zh-CN"/>
        </w:rPr>
      </w:pPr>
      <w:r>
        <w:rPr>
          <w:rFonts w:hint="eastAsia" w:ascii="宋体" w:hAnsi="宋体" w:eastAsia="宋体" w:cs="宋体"/>
          <w:color w:val="auto"/>
          <w:sz w:val="32"/>
          <w:szCs w:val="32"/>
          <w:highlight w:val="none"/>
          <w:lang w:eastAsia="zh-CN"/>
        </w:rPr>
        <w:t>发</w:t>
      </w:r>
      <w:r>
        <w:rPr>
          <w:rFonts w:hint="eastAsia" w:ascii="宋体" w:hAnsi="宋体" w:eastAsia="宋体" w:cs="宋体"/>
          <w:color w:val="auto"/>
          <w:sz w:val="32"/>
          <w:szCs w:val="32"/>
          <w:highlight w:val="none"/>
          <w:lang w:val="en-US" w:eastAsia="zh-CN"/>
        </w:rPr>
        <w:t xml:space="preserve"> </w:t>
      </w:r>
      <w:r>
        <w:rPr>
          <w:rFonts w:hint="eastAsia" w:ascii="宋体" w:hAnsi="宋体" w:eastAsia="宋体" w:cs="宋体"/>
          <w:color w:val="auto"/>
          <w:sz w:val="32"/>
          <w:szCs w:val="32"/>
          <w:highlight w:val="none"/>
          <w:lang w:eastAsia="zh-CN"/>
        </w:rPr>
        <w:t>包</w:t>
      </w:r>
      <w:r>
        <w:rPr>
          <w:rFonts w:hint="eastAsia" w:ascii="宋体" w:hAnsi="宋体" w:eastAsia="宋体" w:cs="宋体"/>
          <w:color w:val="auto"/>
          <w:sz w:val="32"/>
          <w:szCs w:val="32"/>
          <w:highlight w:val="none"/>
          <w:lang w:val="en-US" w:eastAsia="zh-CN"/>
        </w:rPr>
        <w:t xml:space="preserve"> </w:t>
      </w:r>
      <w:r>
        <w:rPr>
          <w:rFonts w:hint="eastAsia" w:ascii="宋体" w:hAnsi="宋体" w:eastAsia="宋体" w:cs="宋体"/>
          <w:color w:val="auto"/>
          <w:sz w:val="32"/>
          <w:szCs w:val="32"/>
          <w:highlight w:val="none"/>
          <w:lang w:eastAsia="zh-CN"/>
        </w:rPr>
        <w:t>方</w:t>
      </w:r>
      <w:r>
        <w:rPr>
          <w:rFonts w:hint="eastAsia" w:ascii="宋体" w:hAnsi="宋体" w:eastAsia="宋体" w:cs="宋体"/>
          <w:color w:val="auto"/>
          <w:sz w:val="32"/>
          <w:szCs w:val="32"/>
          <w:highlight w:val="none"/>
        </w:rPr>
        <w:t>：</w:t>
      </w:r>
      <w:r>
        <w:rPr>
          <w:rFonts w:hint="eastAsia" w:ascii="宋体" w:hAnsi="宋体" w:eastAsia="宋体" w:cs="宋体"/>
          <w:color w:val="auto"/>
          <w:sz w:val="32"/>
          <w:szCs w:val="32"/>
          <w:highlight w:val="none"/>
          <w:u w:val="single"/>
        </w:rPr>
        <w:tab/>
      </w:r>
      <w:r>
        <w:rPr>
          <w:rFonts w:hint="eastAsia" w:ascii="宋体" w:hAnsi="宋体" w:eastAsia="宋体" w:cs="宋体"/>
          <w:color w:val="auto"/>
          <w:sz w:val="32"/>
          <w:szCs w:val="32"/>
          <w:highlight w:val="none"/>
          <w:u w:val="single"/>
          <w:lang w:eastAsia="zh-CN"/>
        </w:rPr>
        <w:t>东莞市虎门镇黄村股份经济联合社</w:t>
      </w:r>
      <w:r>
        <w:rPr>
          <w:rFonts w:hint="eastAsia" w:ascii="宋体" w:hAnsi="宋体" w:eastAsia="宋体" w:cs="宋体"/>
          <w:color w:val="auto"/>
          <w:sz w:val="32"/>
          <w:szCs w:val="32"/>
          <w:highlight w:val="none"/>
          <w:u w:val="single"/>
          <w:lang w:val="en-US" w:eastAsia="zh-CN"/>
        </w:rPr>
        <w:t xml:space="preserve">  </w:t>
      </w:r>
    </w:p>
    <w:p w14:paraId="54221F35">
      <w:pPr>
        <w:keepNext w:val="0"/>
        <w:keepLines w:val="0"/>
        <w:pageBreakBefore w:val="0"/>
        <w:widowControl w:val="0"/>
        <w:kinsoku/>
        <w:wordWrap/>
        <w:overflowPunct/>
        <w:topLinePunct w:val="0"/>
        <w:autoSpaceDE/>
        <w:autoSpaceDN/>
        <w:bidi w:val="0"/>
        <w:adjustRightInd/>
        <w:snapToGrid/>
        <w:spacing w:line="1000" w:lineRule="exact"/>
        <w:ind w:firstLine="640" w:firstLineChars="200"/>
        <w:textAlignment w:val="auto"/>
        <w:rPr>
          <w:rFonts w:hint="eastAsia" w:ascii="宋体" w:hAnsi="宋体" w:eastAsia="宋体" w:cs="宋体"/>
          <w:color w:val="auto"/>
          <w:sz w:val="32"/>
          <w:szCs w:val="32"/>
          <w:highlight w:val="none"/>
          <w:u w:val="single"/>
          <w:lang w:val="en-US" w:eastAsia="zh-CN"/>
        </w:rPr>
      </w:pPr>
      <w:r>
        <w:rPr>
          <w:rFonts w:hint="eastAsia" w:ascii="宋体" w:hAnsi="宋体" w:eastAsia="宋体" w:cs="宋体"/>
          <w:color w:val="auto"/>
          <w:sz w:val="32"/>
          <w:szCs w:val="32"/>
          <w:highlight w:val="none"/>
          <w:lang w:eastAsia="zh-CN"/>
        </w:rPr>
        <w:t>承</w:t>
      </w:r>
      <w:r>
        <w:rPr>
          <w:rFonts w:hint="eastAsia" w:ascii="宋体" w:hAnsi="宋体" w:eastAsia="宋体" w:cs="宋体"/>
          <w:color w:val="auto"/>
          <w:sz w:val="32"/>
          <w:szCs w:val="32"/>
          <w:highlight w:val="none"/>
          <w:lang w:val="en-US" w:eastAsia="zh-CN"/>
        </w:rPr>
        <w:t xml:space="preserve"> </w:t>
      </w:r>
      <w:r>
        <w:rPr>
          <w:rFonts w:hint="eastAsia" w:ascii="宋体" w:hAnsi="宋体" w:eastAsia="宋体" w:cs="宋体"/>
          <w:color w:val="auto"/>
          <w:sz w:val="32"/>
          <w:szCs w:val="32"/>
          <w:highlight w:val="none"/>
          <w:lang w:eastAsia="zh-CN"/>
        </w:rPr>
        <w:t>包</w:t>
      </w:r>
      <w:r>
        <w:rPr>
          <w:rFonts w:hint="eastAsia" w:ascii="宋体" w:hAnsi="宋体" w:eastAsia="宋体" w:cs="宋体"/>
          <w:color w:val="auto"/>
          <w:sz w:val="32"/>
          <w:szCs w:val="32"/>
          <w:highlight w:val="none"/>
          <w:lang w:val="en-US" w:eastAsia="zh-CN"/>
        </w:rPr>
        <w:t xml:space="preserve"> </w:t>
      </w:r>
      <w:r>
        <w:rPr>
          <w:rFonts w:hint="eastAsia" w:ascii="宋体" w:hAnsi="宋体" w:eastAsia="宋体" w:cs="宋体"/>
          <w:color w:val="auto"/>
          <w:sz w:val="32"/>
          <w:szCs w:val="32"/>
          <w:highlight w:val="none"/>
          <w:lang w:eastAsia="zh-CN"/>
        </w:rPr>
        <w:t>方</w:t>
      </w:r>
      <w:r>
        <w:rPr>
          <w:rFonts w:hint="eastAsia" w:ascii="宋体" w:hAnsi="宋体" w:eastAsia="宋体" w:cs="宋体"/>
          <w:color w:val="auto"/>
          <w:sz w:val="32"/>
          <w:szCs w:val="32"/>
          <w:highlight w:val="none"/>
        </w:rPr>
        <w:t>：</w:t>
      </w:r>
      <w:r>
        <w:rPr>
          <w:rFonts w:hint="eastAsia" w:ascii="宋体" w:hAnsi="宋体" w:eastAsia="宋体" w:cs="宋体"/>
          <w:color w:val="auto"/>
          <w:sz w:val="32"/>
          <w:szCs w:val="32"/>
          <w:highlight w:val="none"/>
          <w:u w:val="single"/>
        </w:rPr>
        <w:tab/>
      </w:r>
      <w:r>
        <w:rPr>
          <w:rFonts w:hint="eastAsia" w:ascii="宋体" w:hAnsi="宋体" w:eastAsia="宋体" w:cs="宋体"/>
          <w:color w:val="auto"/>
          <w:sz w:val="32"/>
          <w:szCs w:val="32"/>
          <w:highlight w:val="none"/>
          <w:u w:val="single"/>
        </w:rPr>
        <w:tab/>
      </w:r>
      <w:r>
        <w:rPr>
          <w:rFonts w:hint="eastAsia" w:ascii="宋体" w:hAnsi="宋体" w:eastAsia="宋体" w:cs="宋体"/>
          <w:color w:val="auto"/>
          <w:sz w:val="32"/>
          <w:szCs w:val="32"/>
          <w:highlight w:val="none"/>
          <w:u w:val="single"/>
          <w:lang w:val="en-US" w:eastAsia="zh-CN"/>
        </w:rPr>
        <w:t xml:space="preserve"> </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u w:val="single"/>
          <w:lang w:val="en-US" w:eastAsia="zh-CN"/>
        </w:rPr>
        <w:t xml:space="preserve">                              </w:t>
      </w:r>
      <w:bookmarkStart w:id="44" w:name="_Toc7142"/>
      <w:bookmarkStart w:id="45" w:name="_Toc23782"/>
      <w:bookmarkStart w:id="46" w:name="_Toc68095451"/>
    </w:p>
    <w:p w14:paraId="15B894AB">
      <w:pPr>
        <w:rPr>
          <w:rFonts w:hint="eastAsia" w:ascii="宋体" w:hAnsi="宋体" w:eastAsia="宋体" w:cs="宋体"/>
          <w:color w:val="auto"/>
          <w:sz w:val="32"/>
          <w:szCs w:val="32"/>
          <w:highlight w:val="none"/>
          <w:u w:val="single"/>
          <w:lang w:val="en-US" w:eastAsia="zh-CN"/>
        </w:rPr>
      </w:pPr>
      <w:r>
        <w:rPr>
          <w:rFonts w:hint="eastAsia" w:ascii="宋体" w:hAnsi="宋体" w:eastAsia="宋体" w:cs="宋体"/>
          <w:color w:val="auto"/>
          <w:sz w:val="32"/>
          <w:szCs w:val="32"/>
          <w:highlight w:val="none"/>
          <w:u w:val="single"/>
          <w:lang w:val="en-US" w:eastAsia="zh-CN"/>
        </w:rPr>
        <w:br w:type="page"/>
      </w:r>
    </w:p>
    <w:bookmarkEnd w:id="44"/>
    <w:bookmarkEnd w:id="45"/>
    <w:bookmarkEnd w:id="46"/>
    <w:p w14:paraId="58C8573E">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甲方（采购人）：</w:t>
      </w:r>
      <w:r>
        <w:rPr>
          <w:rFonts w:hint="eastAsia" w:ascii="宋体" w:hAnsi="宋体" w:eastAsia="宋体" w:cs="宋体"/>
          <w:color w:val="auto"/>
          <w:kern w:val="2"/>
          <w:sz w:val="21"/>
          <w:szCs w:val="21"/>
          <w:highlight w:val="none"/>
          <w:u w:val="single"/>
          <w:lang w:val="en-US" w:eastAsia="zh-CN" w:bidi="ar-SA"/>
        </w:rPr>
        <w:t>东莞市虎门镇黄村股份经济联合社</w:t>
      </w:r>
      <w:r>
        <w:rPr>
          <w:rFonts w:hint="eastAsia" w:ascii="宋体" w:hAnsi="宋体" w:eastAsia="宋体" w:cs="宋体"/>
          <w:color w:val="auto"/>
          <w:kern w:val="2"/>
          <w:sz w:val="21"/>
          <w:szCs w:val="21"/>
          <w:highlight w:val="none"/>
          <w:lang w:val="en-US" w:eastAsia="zh-CN" w:bidi="ar-SA"/>
        </w:rPr>
        <w:t xml:space="preserve">  </w:t>
      </w:r>
    </w:p>
    <w:p w14:paraId="43B99E07">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乙方（中标人）：</w:t>
      </w:r>
      <w:r>
        <w:rPr>
          <w:rFonts w:hint="eastAsia" w:ascii="宋体" w:hAnsi="宋体" w:eastAsia="宋体" w:cs="宋体"/>
          <w:color w:val="auto"/>
          <w:kern w:val="2"/>
          <w:sz w:val="21"/>
          <w:szCs w:val="21"/>
          <w:highlight w:val="none"/>
          <w:u w:val="single"/>
          <w:lang w:val="en-US" w:eastAsia="zh-CN" w:bidi="ar-SA"/>
        </w:rPr>
        <w:t xml:space="preserve">                            </w:t>
      </w:r>
      <w:r>
        <w:rPr>
          <w:rFonts w:hint="eastAsia" w:ascii="宋体" w:hAnsi="宋体" w:eastAsia="宋体" w:cs="宋体"/>
          <w:color w:val="auto"/>
          <w:kern w:val="2"/>
          <w:sz w:val="21"/>
          <w:szCs w:val="21"/>
          <w:highlight w:val="none"/>
          <w:lang w:val="en-US" w:eastAsia="zh-CN" w:bidi="ar-SA"/>
        </w:rPr>
        <w:t xml:space="preserve">       </w:t>
      </w:r>
    </w:p>
    <w:p w14:paraId="426B841C">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 xml:space="preserve">依照《中华人民共和国政府采购法》， </w:t>
      </w:r>
      <w:r>
        <w:rPr>
          <w:rFonts w:hint="eastAsia" w:ascii="宋体" w:hAnsi="宋体" w:eastAsia="宋体" w:cs="宋体"/>
          <w:color w:val="auto"/>
          <w:kern w:val="2"/>
          <w:sz w:val="21"/>
          <w:szCs w:val="21"/>
          <w:highlight w:val="none"/>
          <w:u w:val="single"/>
          <w:lang w:val="en-US" w:eastAsia="zh-CN" w:bidi="ar-SA"/>
        </w:rPr>
        <w:t>虎门镇黄村社区环卫保洁服务项目</w:t>
      </w:r>
      <w:r>
        <w:rPr>
          <w:rFonts w:hint="eastAsia" w:ascii="宋体" w:hAnsi="宋体" w:eastAsia="宋体" w:cs="宋体"/>
          <w:color w:val="auto"/>
          <w:kern w:val="2"/>
          <w:sz w:val="21"/>
          <w:szCs w:val="21"/>
          <w:highlight w:val="none"/>
          <w:lang w:val="en-US" w:eastAsia="zh-CN" w:bidi="ar-SA"/>
        </w:rPr>
        <w:t>（采购编号：</w:t>
      </w:r>
      <w:r>
        <w:rPr>
          <w:rFonts w:hint="eastAsia" w:ascii="宋体" w:hAnsi="宋体" w:eastAsia="宋体" w:cs="宋体"/>
          <w:color w:val="auto"/>
          <w:kern w:val="2"/>
          <w:sz w:val="21"/>
          <w:szCs w:val="21"/>
          <w:highlight w:val="none"/>
          <w:u w:val="single"/>
          <w:lang w:val="en-US" w:eastAsia="zh-CN" w:bidi="ar-SA"/>
        </w:rPr>
        <w:t xml:space="preserve">             </w:t>
      </w:r>
      <w:r>
        <w:rPr>
          <w:rFonts w:hint="eastAsia" w:ascii="宋体" w:hAnsi="宋体" w:eastAsia="宋体" w:cs="宋体"/>
          <w:color w:val="auto"/>
          <w:kern w:val="2"/>
          <w:sz w:val="21"/>
          <w:szCs w:val="21"/>
          <w:highlight w:val="none"/>
          <w:lang w:val="en-US" w:eastAsia="zh-CN" w:bidi="ar-SA"/>
        </w:rPr>
        <w:t>）于 2025 年     月    日经公开招标确定由乙方承包，按照《中华人民共和国民法典》的规定，经双方协商一致，订立本合同。</w:t>
      </w:r>
    </w:p>
    <w:p w14:paraId="0E69E13A">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2" w:firstLineChars="200"/>
        <w:jc w:val="both"/>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一、项目名称</w:t>
      </w:r>
    </w:p>
    <w:p w14:paraId="4412CE00">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u w:val="single"/>
          <w:lang w:val="en-US" w:eastAsia="zh-CN" w:bidi="ar-SA"/>
        </w:rPr>
        <w:t>虎门镇黄村社区环卫保洁服务项目</w:t>
      </w:r>
      <w:r>
        <w:rPr>
          <w:rFonts w:hint="eastAsia" w:ascii="宋体" w:hAnsi="宋体" w:eastAsia="宋体" w:cs="宋体"/>
          <w:color w:val="auto"/>
          <w:kern w:val="2"/>
          <w:sz w:val="21"/>
          <w:szCs w:val="21"/>
          <w:highlight w:val="none"/>
          <w:lang w:val="en-US" w:eastAsia="zh-CN" w:bidi="ar-SA"/>
        </w:rPr>
        <w:t>。</w:t>
      </w:r>
    </w:p>
    <w:p w14:paraId="1F6F3E5B">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left="0" w:leftChars="0" w:firstLine="422"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二、合同组成</w:t>
      </w:r>
    </w:p>
    <w:p w14:paraId="626B7EE5">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招标文件、投标文件、中标通知书及附件均为本合同的有效组成部分，本合同书及本合同的各有效组成部分就同一事项规定不一致的，以对乙方要求最高者或最为严格者为准。（如乙方在投标文件中承诺的设备多于招标文件中要求乙方投入的设备的，以乙方在投标文件中的承诺为准；又如乙方在投标文件中承诺的道路冲洗频次高于招标文件中要求的道路冲洗频次的，以乙方在投标文件中的承诺为准；其他诸如此类情形均按该原则解释）。</w:t>
      </w:r>
    </w:p>
    <w:p w14:paraId="1BC1D009">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2" w:firstLineChars="200"/>
        <w:jc w:val="both"/>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三、服务范围</w:t>
      </w:r>
    </w:p>
    <w:p w14:paraId="4159AD16">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2" w:firstLineChars="200"/>
        <w:jc w:val="both"/>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（一）工作范围及内容</w:t>
      </w:r>
    </w:p>
    <w:p w14:paraId="20050972">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1、总体范围及内容</w:t>
      </w:r>
    </w:p>
    <w:p w14:paraId="6D3B5D5E">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主要包含虎门镇黄村社区区域范围内的清扫保洁、冲洗降尘、“牛皮癣”清理、雨水井清理、生活垃圾收集至转运站（收集点）、大件垃圾的清运处理、河涌垃圾清理、保洁、河道边坡卫生清理保洁、辖区范围内的绿化维护保洁和杂草清除、以及社区负责的范围维护绿化修剪、（除出动大型设备：如吊机车等所需吊机车费由甲方与乙方协商具体费用等）、环卫器具清洗管理等环卫保洁作业内容，道路共计长约21.52748公里，道路保洁面积约137303.8平方米，绿化保洁面积约4960平方米。河道面积3653平方米。另外包括每年对项目区域范围提供不少于12次的除四害活动。</w:t>
      </w:r>
    </w:p>
    <w:p w14:paraId="15E05D67">
      <w:pPr>
        <w:keepNext w:val="0"/>
        <w:keepLines w:val="0"/>
        <w:pageBreakBefore w:val="0"/>
        <w:widowControl w:val="0"/>
        <w:numPr>
          <w:ilvl w:val="0"/>
          <w:numId w:val="0"/>
        </w:numPr>
        <w:kinsoku/>
        <w:wordWrap/>
        <w:overflowPunct/>
        <w:topLinePunct w:val="0"/>
        <w:autoSpaceDE/>
        <w:autoSpaceDN/>
        <w:bidi w:val="0"/>
        <w:adjustRightInd w:val="0"/>
        <w:snapToGrid w:val="0"/>
        <w:spacing w:before="0" w:beforeAutospacing="0" w:after="0" w:afterAutospacing="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2、道路明细表</w:t>
      </w:r>
    </w:p>
    <w:tbl>
      <w:tblPr>
        <w:tblStyle w:val="14"/>
        <w:tblpPr w:leftFromText="180" w:rightFromText="180" w:vertAnchor="text" w:horzAnchor="page" w:tblpX="1426" w:tblpY="40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637"/>
        <w:gridCol w:w="846"/>
        <w:gridCol w:w="741"/>
        <w:gridCol w:w="120"/>
        <w:gridCol w:w="951"/>
        <w:gridCol w:w="741"/>
        <w:gridCol w:w="741"/>
        <w:gridCol w:w="985"/>
        <w:gridCol w:w="1522"/>
        <w:gridCol w:w="1576"/>
      </w:tblGrid>
      <w:tr w14:paraId="08F529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339" w:type="dxa"/>
            <w:vMerge w:val="restart"/>
            <w:tcBorders>
              <w:top w:val="single" w:color="auto" w:sz="4" w:space="0"/>
              <w:left w:val="single" w:color="auto" w:sz="4" w:space="0"/>
              <w:right w:val="single" w:color="auto" w:sz="4" w:space="0"/>
            </w:tcBorders>
            <w:shd w:val="clear" w:color="auto" w:fill="auto"/>
            <w:noWrap w:val="0"/>
            <w:vAlign w:val="center"/>
          </w:tcPr>
          <w:p w14:paraId="3A6FF388">
            <w:pPr>
              <w:keepNext w:val="0"/>
              <w:keepLines w:val="0"/>
              <w:pageBreakBefore w:val="0"/>
              <w:kinsoku/>
              <w:wordWrap/>
              <w:overflowPunct/>
              <w:topLinePunct w:val="0"/>
              <w:autoSpaceDE/>
              <w:autoSpaceDN/>
              <w:bidi w:val="0"/>
              <w:adjustRightInd w:val="0"/>
              <w:snapToGrid w:val="0"/>
              <w:spacing w:beforeAutospacing="0" w:afterAutospacing="0" w:line="500" w:lineRule="exact"/>
              <w:ind w:firstLine="0" w:firstLineChars="0"/>
              <w:jc w:val="center"/>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序号</w:t>
            </w:r>
          </w:p>
        </w:tc>
        <w:tc>
          <w:tcPr>
            <w:tcW w:w="637" w:type="dxa"/>
            <w:vMerge w:val="restart"/>
            <w:tcBorders>
              <w:top w:val="single" w:color="auto" w:sz="4" w:space="0"/>
              <w:left w:val="single" w:color="auto" w:sz="4" w:space="0"/>
              <w:right w:val="single" w:color="auto" w:sz="4" w:space="0"/>
            </w:tcBorders>
            <w:shd w:val="clear" w:color="auto" w:fill="auto"/>
            <w:noWrap w:val="0"/>
            <w:vAlign w:val="center"/>
          </w:tcPr>
          <w:p w14:paraId="447F9EF3">
            <w:pPr>
              <w:keepNext w:val="0"/>
              <w:keepLines w:val="0"/>
              <w:pageBreakBefore w:val="0"/>
              <w:kinsoku/>
              <w:wordWrap/>
              <w:overflowPunct/>
              <w:topLinePunct w:val="0"/>
              <w:autoSpaceDE/>
              <w:autoSpaceDN/>
              <w:bidi w:val="0"/>
              <w:adjustRightInd w:val="0"/>
              <w:snapToGrid w:val="0"/>
              <w:spacing w:beforeAutospacing="0" w:afterAutospacing="0" w:line="500" w:lineRule="exact"/>
              <w:ind w:firstLine="0" w:firstLineChars="0"/>
              <w:jc w:val="center"/>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道路（区域）</w:t>
            </w:r>
          </w:p>
          <w:p w14:paraId="79DDFA7F">
            <w:pPr>
              <w:keepNext w:val="0"/>
              <w:keepLines w:val="0"/>
              <w:pageBreakBefore w:val="0"/>
              <w:kinsoku/>
              <w:wordWrap/>
              <w:overflowPunct/>
              <w:topLinePunct w:val="0"/>
              <w:autoSpaceDE/>
              <w:autoSpaceDN/>
              <w:bidi w:val="0"/>
              <w:adjustRightInd w:val="0"/>
              <w:snapToGrid w:val="0"/>
              <w:spacing w:beforeAutospacing="0" w:afterAutospacing="0" w:line="500" w:lineRule="exact"/>
              <w:ind w:firstLine="0" w:firstLineChars="0"/>
              <w:jc w:val="center"/>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名称</w:t>
            </w:r>
          </w:p>
        </w:tc>
        <w:tc>
          <w:tcPr>
            <w:tcW w:w="2281" w:type="dxa"/>
            <w:gridSpan w:val="4"/>
            <w:tcBorders>
              <w:top w:val="single" w:color="auto" w:sz="4" w:space="0"/>
              <w:left w:val="single" w:color="auto" w:sz="4" w:space="0"/>
              <w:bottom w:val="single" w:color="auto" w:sz="4" w:space="0"/>
              <w:right w:val="single" w:color="auto" w:sz="4" w:space="0"/>
            </w:tcBorders>
            <w:shd w:val="clear" w:color="auto" w:fill="auto"/>
            <w:noWrap w:val="0"/>
            <w:vAlign w:val="center"/>
          </w:tcPr>
          <w:p w14:paraId="2A34A51C">
            <w:pPr>
              <w:keepNext w:val="0"/>
              <w:keepLines w:val="0"/>
              <w:pageBreakBefore w:val="0"/>
              <w:kinsoku/>
              <w:wordWrap/>
              <w:overflowPunct/>
              <w:topLinePunct w:val="0"/>
              <w:autoSpaceDE/>
              <w:autoSpaceDN/>
              <w:bidi w:val="0"/>
              <w:adjustRightInd w:val="0"/>
              <w:snapToGrid w:val="0"/>
              <w:spacing w:beforeAutospacing="0" w:afterAutospacing="0" w:line="500" w:lineRule="exact"/>
              <w:ind w:firstLine="0" w:firstLineChars="0"/>
              <w:jc w:val="center"/>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bCs/>
                <w:i w:val="0"/>
                <w:iCs w:val="0"/>
                <w:color w:val="auto"/>
                <w:kern w:val="0"/>
                <w:sz w:val="21"/>
                <w:szCs w:val="21"/>
                <w:highlight w:val="none"/>
                <w:u w:val="none"/>
                <w:lang w:val="en-US" w:eastAsia="zh-CN" w:bidi="ar"/>
              </w:rPr>
              <w:t>车道</w:t>
            </w:r>
          </w:p>
        </w:tc>
        <w:tc>
          <w:tcPr>
            <w:tcW w:w="2238" w:type="dxa"/>
            <w:gridSpan w:val="3"/>
            <w:tcBorders>
              <w:top w:val="single" w:color="auto" w:sz="4" w:space="0"/>
              <w:left w:val="single" w:color="auto" w:sz="4" w:space="0"/>
              <w:bottom w:val="single" w:color="auto" w:sz="4" w:space="0"/>
              <w:right w:val="single" w:color="auto" w:sz="4" w:space="0"/>
            </w:tcBorders>
            <w:shd w:val="clear" w:color="auto" w:fill="auto"/>
            <w:noWrap w:val="0"/>
            <w:vAlign w:val="center"/>
          </w:tcPr>
          <w:p w14:paraId="0E830159">
            <w:pPr>
              <w:keepNext w:val="0"/>
              <w:keepLines w:val="0"/>
              <w:pageBreakBefore w:val="0"/>
              <w:kinsoku/>
              <w:wordWrap/>
              <w:overflowPunct/>
              <w:topLinePunct w:val="0"/>
              <w:autoSpaceDE/>
              <w:autoSpaceDN/>
              <w:bidi w:val="0"/>
              <w:adjustRightInd w:val="0"/>
              <w:snapToGrid w:val="0"/>
              <w:spacing w:beforeAutospacing="0" w:afterAutospacing="0" w:line="500" w:lineRule="exact"/>
              <w:ind w:firstLine="0" w:firstLineChars="0"/>
              <w:jc w:val="center"/>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bCs/>
                <w:i w:val="0"/>
                <w:iCs w:val="0"/>
                <w:color w:val="auto"/>
                <w:kern w:val="0"/>
                <w:sz w:val="21"/>
                <w:szCs w:val="21"/>
                <w:highlight w:val="none"/>
                <w:u w:val="none"/>
                <w:lang w:val="en-US" w:eastAsia="zh-CN" w:bidi="ar"/>
              </w:rPr>
              <w:t>人行道</w:t>
            </w:r>
          </w:p>
        </w:tc>
        <w:tc>
          <w:tcPr>
            <w:tcW w:w="18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144F98B">
            <w:pPr>
              <w:keepNext w:val="0"/>
              <w:keepLines w:val="0"/>
              <w:pageBreakBefore w:val="0"/>
              <w:kinsoku/>
              <w:wordWrap/>
              <w:overflowPunct/>
              <w:topLinePunct w:val="0"/>
              <w:autoSpaceDE/>
              <w:autoSpaceDN/>
              <w:bidi w:val="0"/>
              <w:adjustRightInd w:val="0"/>
              <w:snapToGrid w:val="0"/>
              <w:spacing w:beforeAutospacing="0" w:afterAutospacing="0" w:line="500" w:lineRule="exact"/>
              <w:ind w:firstLine="0" w:firstLineChars="0"/>
              <w:jc w:val="center"/>
              <w:textAlignment w:val="auto"/>
              <w:rPr>
                <w:rFonts w:hint="default" w:ascii="宋体" w:hAnsi="宋体" w:eastAsia="宋体" w:cs="宋体"/>
                <w:b/>
                <w:bCs/>
                <w:i w:val="0"/>
                <w:iCs w:val="0"/>
                <w:color w:val="auto"/>
                <w:kern w:val="0"/>
                <w:sz w:val="21"/>
                <w:szCs w:val="21"/>
                <w:highlight w:val="none"/>
                <w:u w:val="none"/>
                <w:lang w:val="en-US" w:eastAsia="zh-CN" w:bidi="ar"/>
              </w:rPr>
            </w:pPr>
            <w:r>
              <w:rPr>
                <w:rFonts w:hint="eastAsia" w:ascii="宋体" w:hAnsi="宋体" w:eastAsia="宋体" w:cs="宋体"/>
                <w:b/>
                <w:bCs/>
                <w:i w:val="0"/>
                <w:iCs w:val="0"/>
                <w:color w:val="auto"/>
                <w:kern w:val="0"/>
                <w:sz w:val="21"/>
                <w:szCs w:val="21"/>
                <w:highlight w:val="none"/>
                <w:u w:val="none"/>
                <w:lang w:val="en-US" w:eastAsia="zh-CN" w:bidi="ar"/>
              </w:rPr>
              <w:t>养护等级</w:t>
            </w:r>
          </w:p>
        </w:tc>
        <w:tc>
          <w:tcPr>
            <w:tcW w:w="18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0B5B6BF">
            <w:pPr>
              <w:keepNext w:val="0"/>
              <w:keepLines w:val="0"/>
              <w:pageBreakBefore w:val="0"/>
              <w:kinsoku/>
              <w:wordWrap/>
              <w:overflowPunct/>
              <w:topLinePunct w:val="0"/>
              <w:autoSpaceDE/>
              <w:autoSpaceDN/>
              <w:bidi w:val="0"/>
              <w:adjustRightInd w:val="0"/>
              <w:snapToGrid w:val="0"/>
              <w:spacing w:beforeAutospacing="0" w:afterAutospacing="0" w:line="500" w:lineRule="exact"/>
              <w:ind w:firstLine="0" w:firstLineChars="0"/>
              <w:jc w:val="center"/>
              <w:textAlignment w:val="auto"/>
              <w:rPr>
                <w:rFonts w:hint="default" w:ascii="宋体" w:hAnsi="宋体" w:eastAsia="宋体" w:cs="宋体"/>
                <w:b/>
                <w:bCs/>
                <w:i w:val="0"/>
                <w:iCs w:val="0"/>
                <w:color w:val="auto"/>
                <w:kern w:val="0"/>
                <w:sz w:val="21"/>
                <w:szCs w:val="21"/>
                <w:highlight w:val="none"/>
                <w:u w:val="none"/>
                <w:lang w:val="en-US" w:eastAsia="zh-CN" w:bidi="ar"/>
              </w:rPr>
            </w:pPr>
            <w:r>
              <w:rPr>
                <w:rFonts w:hint="eastAsia" w:ascii="宋体" w:hAnsi="宋体" w:eastAsia="宋体" w:cs="宋体"/>
                <w:b/>
                <w:bCs/>
                <w:i w:val="0"/>
                <w:iCs w:val="0"/>
                <w:color w:val="auto"/>
                <w:kern w:val="0"/>
                <w:sz w:val="21"/>
                <w:szCs w:val="21"/>
                <w:highlight w:val="none"/>
                <w:u w:val="none"/>
                <w:lang w:val="en-US" w:eastAsia="zh-CN" w:bidi="ar"/>
              </w:rPr>
              <w:t>道路（区域）类别</w:t>
            </w:r>
          </w:p>
        </w:tc>
      </w:tr>
      <w:tr w14:paraId="290934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trPr>
        <w:tc>
          <w:tcPr>
            <w:tcW w:w="339" w:type="dxa"/>
            <w:vMerge w:val="continue"/>
            <w:tcBorders>
              <w:left w:val="single" w:color="auto" w:sz="4" w:space="0"/>
              <w:bottom w:val="single" w:color="auto" w:sz="4" w:space="0"/>
              <w:right w:val="single" w:color="auto" w:sz="4" w:space="0"/>
            </w:tcBorders>
            <w:shd w:val="clear" w:color="auto" w:fill="auto"/>
            <w:noWrap w:val="0"/>
            <w:vAlign w:val="center"/>
          </w:tcPr>
          <w:p w14:paraId="05A8353F">
            <w:pPr>
              <w:keepNext w:val="0"/>
              <w:keepLines w:val="0"/>
              <w:pageBreakBefore w:val="0"/>
              <w:kinsoku/>
              <w:wordWrap/>
              <w:overflowPunct/>
              <w:topLinePunct w:val="0"/>
              <w:autoSpaceDE/>
              <w:autoSpaceDN/>
              <w:bidi w:val="0"/>
              <w:adjustRightInd w:val="0"/>
              <w:snapToGrid w:val="0"/>
              <w:spacing w:beforeAutospacing="0" w:afterAutospacing="0" w:line="500" w:lineRule="exact"/>
              <w:ind w:firstLine="0" w:firstLineChars="0"/>
              <w:jc w:val="center"/>
              <w:textAlignment w:val="auto"/>
              <w:rPr>
                <w:rFonts w:hint="eastAsia" w:ascii="宋体" w:hAnsi="宋体" w:eastAsia="宋体" w:cs="宋体"/>
                <w:b w:val="0"/>
                <w:bCs w:val="0"/>
                <w:color w:val="auto"/>
                <w:sz w:val="21"/>
                <w:szCs w:val="21"/>
                <w:highlight w:val="none"/>
                <w:vertAlign w:val="baseline"/>
                <w:lang w:val="en-US" w:eastAsia="zh-CN"/>
              </w:rPr>
            </w:pPr>
          </w:p>
        </w:tc>
        <w:tc>
          <w:tcPr>
            <w:tcW w:w="637" w:type="dxa"/>
            <w:vMerge w:val="continue"/>
            <w:tcBorders>
              <w:left w:val="single" w:color="auto" w:sz="4" w:space="0"/>
              <w:bottom w:val="single" w:color="auto" w:sz="4" w:space="0"/>
              <w:right w:val="single" w:color="auto" w:sz="4" w:space="0"/>
            </w:tcBorders>
            <w:shd w:val="clear" w:color="auto" w:fill="auto"/>
            <w:noWrap w:val="0"/>
            <w:vAlign w:val="center"/>
          </w:tcPr>
          <w:p w14:paraId="76DDFC77">
            <w:pPr>
              <w:keepNext w:val="0"/>
              <w:keepLines w:val="0"/>
              <w:pageBreakBefore w:val="0"/>
              <w:kinsoku/>
              <w:wordWrap/>
              <w:overflowPunct/>
              <w:topLinePunct w:val="0"/>
              <w:autoSpaceDE/>
              <w:autoSpaceDN/>
              <w:bidi w:val="0"/>
              <w:adjustRightInd w:val="0"/>
              <w:snapToGrid w:val="0"/>
              <w:spacing w:beforeAutospacing="0" w:afterAutospacing="0" w:line="500" w:lineRule="exact"/>
              <w:ind w:firstLine="0" w:firstLineChars="0"/>
              <w:jc w:val="center"/>
              <w:textAlignment w:val="auto"/>
              <w:rPr>
                <w:rFonts w:hint="eastAsia" w:ascii="宋体" w:hAnsi="宋体" w:eastAsia="宋体" w:cs="宋体"/>
                <w:b w:val="0"/>
                <w:bCs w:val="0"/>
                <w:color w:val="auto"/>
                <w:sz w:val="21"/>
                <w:szCs w:val="21"/>
                <w:highlight w:val="none"/>
                <w:vertAlign w:val="baseline"/>
                <w:lang w:val="en-US" w:eastAsia="zh-CN"/>
              </w:rPr>
            </w:pPr>
          </w:p>
        </w:tc>
        <w:tc>
          <w:tcPr>
            <w:tcW w:w="71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FB9C0F9">
            <w:pPr>
              <w:keepNext w:val="0"/>
              <w:keepLines w:val="0"/>
              <w:pageBreakBefore w:val="0"/>
              <w:kinsoku/>
              <w:wordWrap/>
              <w:overflowPunct/>
              <w:topLinePunct w:val="0"/>
              <w:autoSpaceDE/>
              <w:autoSpaceDN/>
              <w:bidi w:val="0"/>
              <w:adjustRightInd w:val="0"/>
              <w:snapToGrid w:val="0"/>
              <w:spacing w:beforeAutospacing="0" w:afterAutospacing="0" w:line="500" w:lineRule="exact"/>
              <w:ind w:firstLine="0" w:firstLineChars="0"/>
              <w:jc w:val="center"/>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道路长度（m）</w:t>
            </w:r>
          </w:p>
        </w:tc>
        <w:tc>
          <w:tcPr>
            <w:tcW w:w="65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B5CE2DC">
            <w:pPr>
              <w:keepNext w:val="0"/>
              <w:keepLines w:val="0"/>
              <w:pageBreakBefore w:val="0"/>
              <w:kinsoku/>
              <w:wordWrap/>
              <w:overflowPunct/>
              <w:topLinePunct w:val="0"/>
              <w:autoSpaceDE/>
              <w:autoSpaceDN/>
              <w:bidi w:val="0"/>
              <w:adjustRightInd w:val="0"/>
              <w:snapToGrid w:val="0"/>
              <w:spacing w:beforeAutospacing="0" w:afterAutospacing="0" w:line="500" w:lineRule="exact"/>
              <w:ind w:firstLine="0" w:firstLineChars="0"/>
              <w:jc w:val="center"/>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道路宽度（m）</w:t>
            </w:r>
          </w:p>
        </w:tc>
        <w:tc>
          <w:tcPr>
            <w:tcW w:w="919"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045BAC0E">
            <w:pPr>
              <w:keepNext w:val="0"/>
              <w:keepLines w:val="0"/>
              <w:pageBreakBefore w:val="0"/>
              <w:kinsoku/>
              <w:wordWrap/>
              <w:overflowPunct/>
              <w:topLinePunct w:val="0"/>
              <w:autoSpaceDE/>
              <w:autoSpaceDN/>
              <w:bidi w:val="0"/>
              <w:adjustRightInd w:val="0"/>
              <w:snapToGrid w:val="0"/>
              <w:spacing w:beforeAutospacing="0" w:afterAutospacing="0" w:line="500" w:lineRule="exact"/>
              <w:ind w:firstLine="0" w:firstLineChars="0"/>
              <w:jc w:val="center"/>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保洁面积（㎡）</w:t>
            </w:r>
          </w:p>
        </w:tc>
        <w:tc>
          <w:tcPr>
            <w:tcW w:w="65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F236D6A">
            <w:pPr>
              <w:keepNext w:val="0"/>
              <w:keepLines w:val="0"/>
              <w:pageBreakBefore w:val="0"/>
              <w:kinsoku/>
              <w:wordWrap/>
              <w:overflowPunct/>
              <w:topLinePunct w:val="0"/>
              <w:autoSpaceDE/>
              <w:autoSpaceDN/>
              <w:bidi w:val="0"/>
              <w:adjustRightInd w:val="0"/>
              <w:snapToGrid w:val="0"/>
              <w:spacing w:beforeAutospacing="0" w:afterAutospacing="0" w:line="500" w:lineRule="exact"/>
              <w:ind w:firstLine="0" w:firstLineChars="0"/>
              <w:jc w:val="center"/>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道路长度（m）</w:t>
            </w:r>
          </w:p>
        </w:tc>
        <w:tc>
          <w:tcPr>
            <w:tcW w:w="58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4B4DDB9">
            <w:pPr>
              <w:keepNext w:val="0"/>
              <w:keepLines w:val="0"/>
              <w:pageBreakBefore w:val="0"/>
              <w:kinsoku/>
              <w:wordWrap/>
              <w:overflowPunct/>
              <w:topLinePunct w:val="0"/>
              <w:autoSpaceDE/>
              <w:autoSpaceDN/>
              <w:bidi w:val="0"/>
              <w:adjustRightInd w:val="0"/>
              <w:snapToGrid w:val="0"/>
              <w:spacing w:beforeAutospacing="0" w:afterAutospacing="0" w:line="500" w:lineRule="exact"/>
              <w:ind w:firstLine="0" w:firstLineChars="0"/>
              <w:jc w:val="center"/>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道路宽度（m）</w:t>
            </w:r>
          </w:p>
        </w:tc>
        <w:tc>
          <w:tcPr>
            <w:tcW w:w="99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DEFEB9">
            <w:pPr>
              <w:keepNext w:val="0"/>
              <w:keepLines w:val="0"/>
              <w:pageBreakBefore w:val="0"/>
              <w:kinsoku/>
              <w:wordWrap/>
              <w:overflowPunct/>
              <w:topLinePunct w:val="0"/>
              <w:autoSpaceDE/>
              <w:autoSpaceDN/>
              <w:bidi w:val="0"/>
              <w:adjustRightInd w:val="0"/>
              <w:snapToGrid w:val="0"/>
              <w:spacing w:beforeAutospacing="0" w:afterAutospacing="0" w:line="500" w:lineRule="exact"/>
              <w:ind w:firstLine="0" w:firstLineChars="0"/>
              <w:jc w:val="center"/>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保洁面积（㎡）</w:t>
            </w:r>
          </w:p>
        </w:tc>
        <w:tc>
          <w:tcPr>
            <w:tcW w:w="18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938C833">
            <w:pPr>
              <w:keepNext w:val="0"/>
              <w:keepLines w:val="0"/>
              <w:pageBreakBefore w:val="0"/>
              <w:kinsoku/>
              <w:wordWrap/>
              <w:overflowPunct/>
              <w:topLinePunct w:val="0"/>
              <w:autoSpaceDE/>
              <w:autoSpaceDN/>
              <w:bidi w:val="0"/>
              <w:adjustRightInd w:val="0"/>
              <w:snapToGrid w:val="0"/>
              <w:spacing w:beforeAutospacing="0" w:afterAutospacing="0" w:line="500" w:lineRule="exact"/>
              <w:ind w:firstLine="0" w:firstLineChars="0"/>
              <w:jc w:val="center"/>
              <w:textAlignment w:val="auto"/>
              <w:rPr>
                <w:rFonts w:hint="eastAsia" w:ascii="宋体" w:hAnsi="宋体" w:eastAsia="宋体" w:cs="宋体"/>
                <w:b w:val="0"/>
                <w:bCs w:val="0"/>
                <w:color w:val="auto"/>
                <w:sz w:val="21"/>
                <w:szCs w:val="21"/>
                <w:highlight w:val="none"/>
                <w:vertAlign w:val="baseline"/>
                <w:lang w:val="en-US" w:eastAsia="zh-CN"/>
              </w:rPr>
            </w:pPr>
          </w:p>
        </w:tc>
        <w:tc>
          <w:tcPr>
            <w:tcW w:w="18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E683F44">
            <w:pPr>
              <w:keepNext w:val="0"/>
              <w:keepLines w:val="0"/>
              <w:pageBreakBefore w:val="0"/>
              <w:kinsoku/>
              <w:wordWrap/>
              <w:overflowPunct/>
              <w:topLinePunct w:val="0"/>
              <w:autoSpaceDE/>
              <w:autoSpaceDN/>
              <w:bidi w:val="0"/>
              <w:adjustRightInd w:val="0"/>
              <w:snapToGrid w:val="0"/>
              <w:spacing w:beforeAutospacing="0" w:afterAutospacing="0" w:line="500" w:lineRule="exact"/>
              <w:ind w:firstLine="0" w:firstLineChars="0"/>
              <w:jc w:val="center"/>
              <w:textAlignment w:val="auto"/>
              <w:rPr>
                <w:rFonts w:hint="eastAsia" w:ascii="宋体" w:hAnsi="宋体" w:eastAsia="宋体" w:cs="宋体"/>
                <w:b w:val="0"/>
                <w:bCs w:val="0"/>
                <w:color w:val="auto"/>
                <w:sz w:val="21"/>
                <w:szCs w:val="21"/>
                <w:highlight w:val="none"/>
                <w:vertAlign w:val="baseline"/>
                <w:lang w:val="en-US" w:eastAsia="zh-CN"/>
              </w:rPr>
            </w:pPr>
          </w:p>
        </w:tc>
      </w:tr>
      <w:tr w14:paraId="04136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3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0536CF8">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i w:val="0"/>
                <w:iCs w:val="0"/>
                <w:color w:val="auto"/>
                <w:kern w:val="0"/>
                <w:sz w:val="21"/>
                <w:szCs w:val="21"/>
                <w:highlight w:val="none"/>
                <w:u w:val="none"/>
                <w:lang w:val="en-US" w:eastAsia="zh-CN" w:bidi="ar"/>
              </w:rPr>
              <w:t>1</w:t>
            </w:r>
          </w:p>
        </w:tc>
        <w:tc>
          <w:tcPr>
            <w:tcW w:w="63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232A0D5">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陈黄一路(泉井路)</w:t>
            </w:r>
          </w:p>
        </w:tc>
        <w:tc>
          <w:tcPr>
            <w:tcW w:w="71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C5C8C9A">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876</w:t>
            </w:r>
          </w:p>
        </w:tc>
        <w:tc>
          <w:tcPr>
            <w:tcW w:w="813"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38FB40C1">
            <w:pPr>
              <w:widowControl/>
              <w:spacing w:line="360" w:lineRule="auto"/>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18</w:t>
            </w:r>
          </w:p>
        </w:tc>
        <w:tc>
          <w:tcPr>
            <w:tcW w:w="75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16311E6">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15768</w:t>
            </w:r>
          </w:p>
        </w:tc>
        <w:tc>
          <w:tcPr>
            <w:tcW w:w="65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CDC9441">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500</w:t>
            </w:r>
          </w:p>
        </w:tc>
        <w:tc>
          <w:tcPr>
            <w:tcW w:w="58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4DE5F6E">
            <w:pPr>
              <w:widowControl/>
              <w:spacing w:line="360" w:lineRule="auto"/>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2</w:t>
            </w:r>
          </w:p>
        </w:tc>
        <w:tc>
          <w:tcPr>
            <w:tcW w:w="99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4D53D8F">
            <w:pPr>
              <w:widowControl/>
              <w:spacing w:line="360" w:lineRule="auto"/>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1000</w:t>
            </w:r>
          </w:p>
        </w:tc>
        <w:tc>
          <w:tcPr>
            <w:tcW w:w="18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CE3A74A">
            <w:pPr>
              <w:widowControl/>
              <w:spacing w:line="360" w:lineRule="auto"/>
              <w:jc w:val="center"/>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三级</w:t>
            </w:r>
          </w:p>
        </w:tc>
        <w:tc>
          <w:tcPr>
            <w:tcW w:w="18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AF0F182">
            <w:pPr>
              <w:widowControl/>
              <w:spacing w:line="360" w:lineRule="auto"/>
              <w:jc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sz w:val="20"/>
                <w:szCs w:val="20"/>
                <w:highlight w:val="none"/>
                <w:vertAlign w:val="baseline"/>
                <w:lang w:val="en-US" w:eastAsia="zh-CN"/>
              </w:rPr>
              <w:t>虎门镇村（社区）中心区域及居住区巷道</w:t>
            </w:r>
          </w:p>
        </w:tc>
      </w:tr>
      <w:tr w14:paraId="0BF9F5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D890C47">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i w:val="0"/>
                <w:iCs w:val="0"/>
                <w:color w:val="auto"/>
                <w:kern w:val="0"/>
                <w:sz w:val="21"/>
                <w:szCs w:val="21"/>
                <w:highlight w:val="none"/>
                <w:u w:val="none"/>
                <w:lang w:val="en-US" w:eastAsia="zh-CN" w:bidi="ar"/>
              </w:rPr>
              <w:t>2</w:t>
            </w:r>
          </w:p>
        </w:tc>
        <w:tc>
          <w:tcPr>
            <w:tcW w:w="63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C2C7EAC">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兴塘东路</w:t>
            </w:r>
          </w:p>
        </w:tc>
        <w:tc>
          <w:tcPr>
            <w:tcW w:w="71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4595F52">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833</w:t>
            </w:r>
          </w:p>
        </w:tc>
        <w:tc>
          <w:tcPr>
            <w:tcW w:w="813"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19B57961">
            <w:pPr>
              <w:widowControl/>
              <w:spacing w:line="360" w:lineRule="auto"/>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15</w:t>
            </w:r>
          </w:p>
        </w:tc>
        <w:tc>
          <w:tcPr>
            <w:tcW w:w="75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955207B">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12495</w:t>
            </w:r>
          </w:p>
        </w:tc>
        <w:tc>
          <w:tcPr>
            <w:tcW w:w="65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91D45A2">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225</w:t>
            </w:r>
          </w:p>
        </w:tc>
        <w:tc>
          <w:tcPr>
            <w:tcW w:w="58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BDDA7B0">
            <w:pPr>
              <w:widowControl/>
              <w:spacing w:line="360" w:lineRule="auto"/>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2</w:t>
            </w:r>
          </w:p>
        </w:tc>
        <w:tc>
          <w:tcPr>
            <w:tcW w:w="99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EAD4F4F">
            <w:pPr>
              <w:widowControl/>
              <w:spacing w:line="360" w:lineRule="auto"/>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450</w:t>
            </w:r>
          </w:p>
        </w:tc>
        <w:tc>
          <w:tcPr>
            <w:tcW w:w="18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B9B9F0D">
            <w:pPr>
              <w:widowControl/>
              <w:spacing w:line="360" w:lineRule="auto"/>
              <w:jc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三级</w:t>
            </w:r>
          </w:p>
        </w:tc>
        <w:tc>
          <w:tcPr>
            <w:tcW w:w="18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A92EB07">
            <w:pPr>
              <w:widowControl/>
              <w:spacing w:line="360" w:lineRule="auto"/>
              <w:jc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sz w:val="20"/>
                <w:szCs w:val="20"/>
                <w:highlight w:val="none"/>
                <w:vertAlign w:val="baseline"/>
                <w:lang w:val="en-US" w:eastAsia="zh-CN"/>
              </w:rPr>
              <w:t>虎门镇村（社区）中心区域及居住区巷道</w:t>
            </w:r>
          </w:p>
        </w:tc>
      </w:tr>
      <w:tr w14:paraId="24AF4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735E3E8">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i w:val="0"/>
                <w:iCs w:val="0"/>
                <w:color w:val="auto"/>
                <w:kern w:val="0"/>
                <w:sz w:val="21"/>
                <w:szCs w:val="21"/>
                <w:highlight w:val="none"/>
                <w:u w:val="none"/>
                <w:lang w:val="en-US" w:eastAsia="zh-CN" w:bidi="ar"/>
              </w:rPr>
              <w:t>3</w:t>
            </w:r>
          </w:p>
        </w:tc>
        <w:tc>
          <w:tcPr>
            <w:tcW w:w="63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F1A9024">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兴塘西路</w:t>
            </w:r>
          </w:p>
        </w:tc>
        <w:tc>
          <w:tcPr>
            <w:tcW w:w="71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1E74368">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952</w:t>
            </w:r>
          </w:p>
        </w:tc>
        <w:tc>
          <w:tcPr>
            <w:tcW w:w="813"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0F77344C">
            <w:pPr>
              <w:widowControl/>
              <w:spacing w:line="360" w:lineRule="auto"/>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18</w:t>
            </w:r>
          </w:p>
        </w:tc>
        <w:tc>
          <w:tcPr>
            <w:tcW w:w="75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FBC77A7">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17136</w:t>
            </w:r>
          </w:p>
        </w:tc>
        <w:tc>
          <w:tcPr>
            <w:tcW w:w="65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00E216F">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225</w:t>
            </w:r>
          </w:p>
        </w:tc>
        <w:tc>
          <w:tcPr>
            <w:tcW w:w="58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F145EBC">
            <w:pPr>
              <w:widowControl/>
              <w:spacing w:line="360" w:lineRule="auto"/>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2</w:t>
            </w:r>
          </w:p>
        </w:tc>
        <w:tc>
          <w:tcPr>
            <w:tcW w:w="99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F048047">
            <w:pPr>
              <w:widowControl/>
              <w:spacing w:line="360" w:lineRule="auto"/>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450</w:t>
            </w:r>
          </w:p>
        </w:tc>
        <w:tc>
          <w:tcPr>
            <w:tcW w:w="18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1DFA965">
            <w:pPr>
              <w:widowControl/>
              <w:spacing w:line="360" w:lineRule="auto"/>
              <w:jc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三级</w:t>
            </w:r>
          </w:p>
        </w:tc>
        <w:tc>
          <w:tcPr>
            <w:tcW w:w="18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6B0429B">
            <w:pPr>
              <w:widowControl/>
              <w:spacing w:line="360" w:lineRule="auto"/>
              <w:jc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sz w:val="20"/>
                <w:szCs w:val="20"/>
                <w:highlight w:val="none"/>
                <w:vertAlign w:val="baseline"/>
                <w:lang w:val="en-US" w:eastAsia="zh-CN"/>
              </w:rPr>
              <w:t>虎门镇村（社区）中心区域及居住区巷道</w:t>
            </w:r>
          </w:p>
        </w:tc>
      </w:tr>
      <w:tr w14:paraId="629FD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FB6C14D">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i w:val="0"/>
                <w:iCs w:val="0"/>
                <w:color w:val="auto"/>
                <w:kern w:val="0"/>
                <w:sz w:val="21"/>
                <w:szCs w:val="21"/>
                <w:highlight w:val="none"/>
                <w:u w:val="none"/>
                <w:lang w:val="en-US" w:eastAsia="zh-CN" w:bidi="ar"/>
              </w:rPr>
              <w:t>4</w:t>
            </w:r>
          </w:p>
        </w:tc>
        <w:tc>
          <w:tcPr>
            <w:tcW w:w="63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2D69C93">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工业路至吉泰厂</w:t>
            </w:r>
          </w:p>
        </w:tc>
        <w:tc>
          <w:tcPr>
            <w:tcW w:w="71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FA49491">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657</w:t>
            </w:r>
          </w:p>
        </w:tc>
        <w:tc>
          <w:tcPr>
            <w:tcW w:w="813"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79B939B8">
            <w:pPr>
              <w:widowControl/>
              <w:spacing w:line="360" w:lineRule="auto"/>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16</w:t>
            </w:r>
          </w:p>
        </w:tc>
        <w:tc>
          <w:tcPr>
            <w:tcW w:w="75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D89F1AE">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10512</w:t>
            </w:r>
          </w:p>
        </w:tc>
        <w:tc>
          <w:tcPr>
            <w:tcW w:w="65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81A96A6">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170</w:t>
            </w:r>
          </w:p>
        </w:tc>
        <w:tc>
          <w:tcPr>
            <w:tcW w:w="58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3D23E10">
            <w:pPr>
              <w:widowControl/>
              <w:spacing w:line="360" w:lineRule="auto"/>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20</w:t>
            </w:r>
          </w:p>
        </w:tc>
        <w:tc>
          <w:tcPr>
            <w:tcW w:w="99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D04B69D">
            <w:pPr>
              <w:widowControl/>
              <w:spacing w:line="360" w:lineRule="auto"/>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3400</w:t>
            </w:r>
          </w:p>
        </w:tc>
        <w:tc>
          <w:tcPr>
            <w:tcW w:w="18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C7CF416">
            <w:pPr>
              <w:widowControl/>
              <w:spacing w:line="360" w:lineRule="auto"/>
              <w:jc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三级</w:t>
            </w:r>
          </w:p>
        </w:tc>
        <w:tc>
          <w:tcPr>
            <w:tcW w:w="18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2D51956">
            <w:pPr>
              <w:widowControl/>
              <w:spacing w:line="360" w:lineRule="auto"/>
              <w:jc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sz w:val="20"/>
                <w:szCs w:val="20"/>
                <w:highlight w:val="none"/>
                <w:vertAlign w:val="baseline"/>
                <w:lang w:val="en-US" w:eastAsia="zh-CN"/>
              </w:rPr>
              <w:t>虎门镇村（社区）中心区域及居住区巷道</w:t>
            </w:r>
          </w:p>
        </w:tc>
      </w:tr>
      <w:tr w14:paraId="0740F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5926FB4">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i w:val="0"/>
                <w:iCs w:val="0"/>
                <w:color w:val="auto"/>
                <w:kern w:val="0"/>
                <w:sz w:val="21"/>
                <w:szCs w:val="21"/>
                <w:highlight w:val="none"/>
                <w:u w:val="none"/>
                <w:lang w:val="en-US" w:eastAsia="zh-CN" w:bidi="ar"/>
              </w:rPr>
              <w:t>5</w:t>
            </w:r>
          </w:p>
        </w:tc>
        <w:tc>
          <w:tcPr>
            <w:tcW w:w="63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1E5F529">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黄村大道至广场路</w:t>
            </w:r>
          </w:p>
        </w:tc>
        <w:tc>
          <w:tcPr>
            <w:tcW w:w="71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1C0D300">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362</w:t>
            </w:r>
          </w:p>
        </w:tc>
        <w:tc>
          <w:tcPr>
            <w:tcW w:w="813"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7C86332C">
            <w:pPr>
              <w:widowControl/>
              <w:spacing w:line="360" w:lineRule="auto"/>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15</w:t>
            </w:r>
          </w:p>
        </w:tc>
        <w:tc>
          <w:tcPr>
            <w:tcW w:w="75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163770C">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5430</w:t>
            </w:r>
          </w:p>
        </w:tc>
        <w:tc>
          <w:tcPr>
            <w:tcW w:w="65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4771527">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p>
        </w:tc>
        <w:tc>
          <w:tcPr>
            <w:tcW w:w="58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AB8DF6B">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99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5F34571">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18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036E65C">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三级</w:t>
            </w:r>
          </w:p>
        </w:tc>
        <w:tc>
          <w:tcPr>
            <w:tcW w:w="18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49DBC">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sz w:val="20"/>
                <w:szCs w:val="20"/>
                <w:highlight w:val="none"/>
                <w:vertAlign w:val="baseline"/>
                <w:lang w:val="en-US" w:eastAsia="zh-CN"/>
              </w:rPr>
              <w:t>虎门镇村（社区）中心区域及居住区巷道</w:t>
            </w:r>
          </w:p>
        </w:tc>
      </w:tr>
      <w:tr w14:paraId="3C12D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FE9C9A1">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i w:val="0"/>
                <w:iCs w:val="0"/>
                <w:color w:val="auto"/>
                <w:kern w:val="0"/>
                <w:sz w:val="21"/>
                <w:szCs w:val="21"/>
                <w:highlight w:val="none"/>
                <w:u w:val="none"/>
                <w:lang w:val="en-US" w:eastAsia="zh-CN" w:bidi="ar"/>
              </w:rPr>
              <w:t>6</w:t>
            </w:r>
          </w:p>
        </w:tc>
        <w:tc>
          <w:tcPr>
            <w:tcW w:w="63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01B276D">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工业路</w:t>
            </w:r>
          </w:p>
        </w:tc>
        <w:tc>
          <w:tcPr>
            <w:tcW w:w="71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253D0B3">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196</w:t>
            </w:r>
          </w:p>
        </w:tc>
        <w:tc>
          <w:tcPr>
            <w:tcW w:w="813"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5A8EA098">
            <w:pPr>
              <w:widowControl/>
              <w:spacing w:line="360" w:lineRule="auto"/>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12</w:t>
            </w:r>
          </w:p>
        </w:tc>
        <w:tc>
          <w:tcPr>
            <w:tcW w:w="75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101EC52">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2352</w:t>
            </w:r>
          </w:p>
        </w:tc>
        <w:tc>
          <w:tcPr>
            <w:tcW w:w="65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CC82CF0">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p>
        </w:tc>
        <w:tc>
          <w:tcPr>
            <w:tcW w:w="58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F4066C">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99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F0BA259">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18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3A5FE82">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三级</w:t>
            </w:r>
          </w:p>
        </w:tc>
        <w:tc>
          <w:tcPr>
            <w:tcW w:w="18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43FD222">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sz w:val="20"/>
                <w:szCs w:val="20"/>
                <w:highlight w:val="none"/>
                <w:vertAlign w:val="baseline"/>
                <w:lang w:val="en-US" w:eastAsia="zh-CN"/>
              </w:rPr>
              <w:t>虎门镇村（社区）中心区域及居住区巷道</w:t>
            </w:r>
          </w:p>
        </w:tc>
      </w:tr>
      <w:tr w14:paraId="7F3AE5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D622EA1">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i w:val="0"/>
                <w:iCs w:val="0"/>
                <w:color w:val="auto"/>
                <w:kern w:val="0"/>
                <w:sz w:val="21"/>
                <w:szCs w:val="21"/>
                <w:highlight w:val="none"/>
                <w:u w:val="none"/>
                <w:lang w:val="en-US" w:eastAsia="zh-CN" w:bidi="ar"/>
              </w:rPr>
              <w:t>7</w:t>
            </w:r>
          </w:p>
        </w:tc>
        <w:tc>
          <w:tcPr>
            <w:tcW w:w="63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FE695F6">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园美路</w:t>
            </w:r>
          </w:p>
        </w:tc>
        <w:tc>
          <w:tcPr>
            <w:tcW w:w="71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026152C">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941</w:t>
            </w:r>
          </w:p>
        </w:tc>
        <w:tc>
          <w:tcPr>
            <w:tcW w:w="813"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5951F7F7">
            <w:pPr>
              <w:widowControl/>
              <w:spacing w:line="360" w:lineRule="auto"/>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6</w:t>
            </w:r>
          </w:p>
        </w:tc>
        <w:tc>
          <w:tcPr>
            <w:tcW w:w="75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5C4209C">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5646</w:t>
            </w:r>
          </w:p>
        </w:tc>
        <w:tc>
          <w:tcPr>
            <w:tcW w:w="65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EDFC91F">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p>
        </w:tc>
        <w:tc>
          <w:tcPr>
            <w:tcW w:w="58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F6E59AC">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99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E57F8FA">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18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2DFBC87">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三级</w:t>
            </w:r>
          </w:p>
        </w:tc>
        <w:tc>
          <w:tcPr>
            <w:tcW w:w="18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6C7EA5B">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sz w:val="20"/>
                <w:szCs w:val="20"/>
                <w:highlight w:val="none"/>
                <w:vertAlign w:val="baseline"/>
                <w:lang w:val="en-US" w:eastAsia="zh-CN"/>
              </w:rPr>
              <w:t>虎门镇村（社区）中心区域及居住区巷道</w:t>
            </w:r>
          </w:p>
        </w:tc>
      </w:tr>
      <w:tr w14:paraId="0221E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F366D8B">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i w:val="0"/>
                <w:iCs w:val="0"/>
                <w:color w:val="auto"/>
                <w:kern w:val="0"/>
                <w:sz w:val="21"/>
                <w:szCs w:val="21"/>
                <w:highlight w:val="none"/>
                <w:u w:val="none"/>
                <w:lang w:val="en-US" w:eastAsia="zh-CN" w:bidi="ar"/>
              </w:rPr>
              <w:t>8</w:t>
            </w:r>
          </w:p>
        </w:tc>
        <w:tc>
          <w:tcPr>
            <w:tcW w:w="63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C876929">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社区路口至十字口(1号楼)</w:t>
            </w:r>
          </w:p>
        </w:tc>
        <w:tc>
          <w:tcPr>
            <w:tcW w:w="71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7176212">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265</w:t>
            </w:r>
          </w:p>
        </w:tc>
        <w:tc>
          <w:tcPr>
            <w:tcW w:w="813"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70814EA9">
            <w:pPr>
              <w:widowControl/>
              <w:spacing w:line="360" w:lineRule="auto"/>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20</w:t>
            </w:r>
          </w:p>
        </w:tc>
        <w:tc>
          <w:tcPr>
            <w:tcW w:w="75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4854A6A">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5300</w:t>
            </w:r>
          </w:p>
        </w:tc>
        <w:tc>
          <w:tcPr>
            <w:tcW w:w="65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067C47D">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p>
        </w:tc>
        <w:tc>
          <w:tcPr>
            <w:tcW w:w="58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2BB188">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99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EBAECCF">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18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165A60A">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三级</w:t>
            </w:r>
          </w:p>
        </w:tc>
        <w:tc>
          <w:tcPr>
            <w:tcW w:w="18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C2A4AFB">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sz w:val="20"/>
                <w:szCs w:val="20"/>
                <w:highlight w:val="none"/>
                <w:vertAlign w:val="baseline"/>
                <w:lang w:val="en-US" w:eastAsia="zh-CN"/>
              </w:rPr>
              <w:t>虎门镇村（社区）中心区域及居住区巷道</w:t>
            </w:r>
          </w:p>
        </w:tc>
      </w:tr>
      <w:tr w14:paraId="50FB8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trPr>
        <w:tc>
          <w:tcPr>
            <w:tcW w:w="33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A34D184">
            <w:pPr>
              <w:jc w:val="center"/>
              <w:rPr>
                <w:rFonts w:hint="eastAsia" w:ascii="宋体" w:hAnsi="宋体" w:eastAsia="宋体" w:cs="宋体"/>
                <w:b w:val="0"/>
                <w:bCs w:val="0"/>
                <w:color w:val="auto"/>
                <w:sz w:val="21"/>
                <w:szCs w:val="21"/>
                <w:highlight w:val="none"/>
                <w:vertAlign w:val="baseline"/>
                <w:lang w:val="en-US" w:eastAsia="zh-CN"/>
              </w:rPr>
            </w:pPr>
          </w:p>
        </w:tc>
        <w:tc>
          <w:tcPr>
            <w:tcW w:w="63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DF7CE67">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长寿公园及周边</w:t>
            </w:r>
          </w:p>
        </w:tc>
        <w:tc>
          <w:tcPr>
            <w:tcW w:w="71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C0A5CD9">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197</w:t>
            </w:r>
          </w:p>
        </w:tc>
        <w:tc>
          <w:tcPr>
            <w:tcW w:w="813"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1F087BDF">
            <w:pPr>
              <w:widowControl/>
              <w:spacing w:line="360" w:lineRule="auto"/>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14</w:t>
            </w:r>
          </w:p>
        </w:tc>
        <w:tc>
          <w:tcPr>
            <w:tcW w:w="75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F079C3D">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2758</w:t>
            </w:r>
          </w:p>
        </w:tc>
        <w:tc>
          <w:tcPr>
            <w:tcW w:w="65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E94F270">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p>
        </w:tc>
        <w:tc>
          <w:tcPr>
            <w:tcW w:w="58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A324A6">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99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F14AF87">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18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A910407">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18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37FAEA0">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sz w:val="20"/>
                <w:szCs w:val="20"/>
                <w:highlight w:val="none"/>
                <w:vertAlign w:val="baseline"/>
                <w:lang w:val="en-US" w:eastAsia="zh-CN"/>
              </w:rPr>
              <w:t>虎门镇村（社区）中心区域及居住区巷道</w:t>
            </w:r>
          </w:p>
        </w:tc>
      </w:tr>
      <w:tr w14:paraId="69424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atLeast"/>
        </w:trPr>
        <w:tc>
          <w:tcPr>
            <w:tcW w:w="33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0B3F319">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i w:val="0"/>
                <w:iCs w:val="0"/>
                <w:color w:val="auto"/>
                <w:kern w:val="0"/>
                <w:sz w:val="21"/>
                <w:szCs w:val="21"/>
                <w:highlight w:val="none"/>
                <w:u w:val="none"/>
                <w:lang w:val="en-US" w:eastAsia="zh-CN" w:bidi="ar"/>
              </w:rPr>
              <w:t>9</w:t>
            </w:r>
          </w:p>
        </w:tc>
        <w:tc>
          <w:tcPr>
            <w:tcW w:w="63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E0417A5">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育幼幼儿园周边</w:t>
            </w:r>
          </w:p>
        </w:tc>
        <w:tc>
          <w:tcPr>
            <w:tcW w:w="71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AEC4D51">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197</w:t>
            </w:r>
          </w:p>
        </w:tc>
        <w:tc>
          <w:tcPr>
            <w:tcW w:w="813"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4A9B02D5">
            <w:pPr>
              <w:widowControl/>
              <w:spacing w:line="360" w:lineRule="auto"/>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10</w:t>
            </w:r>
          </w:p>
        </w:tc>
        <w:tc>
          <w:tcPr>
            <w:tcW w:w="75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AE51288">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1970</w:t>
            </w:r>
          </w:p>
        </w:tc>
        <w:tc>
          <w:tcPr>
            <w:tcW w:w="65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6E646DD">
            <w:pPr>
              <w:keepNext w:val="0"/>
              <w:keepLines w:val="0"/>
              <w:widowControl/>
              <w:suppressLineNumbers w:val="0"/>
              <w:jc w:val="center"/>
              <w:textAlignment w:val="center"/>
              <w:rPr>
                <w:rFonts w:hint="eastAsia" w:ascii="宋体" w:hAnsi="宋体" w:eastAsia="宋体" w:cs="宋体"/>
                <w:b w:val="0"/>
                <w:bCs w:val="0"/>
                <w:color w:val="auto"/>
                <w:kern w:val="0"/>
                <w:sz w:val="21"/>
                <w:szCs w:val="21"/>
                <w:highlight w:val="none"/>
                <w:lang w:val="en-US" w:eastAsia="zh-CN" w:bidi="ar"/>
              </w:rPr>
            </w:pPr>
          </w:p>
        </w:tc>
        <w:tc>
          <w:tcPr>
            <w:tcW w:w="58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EB61EBB">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99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F76C620">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18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FD3E20F">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三级</w:t>
            </w:r>
          </w:p>
        </w:tc>
        <w:tc>
          <w:tcPr>
            <w:tcW w:w="18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48FC778">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sz w:val="20"/>
                <w:szCs w:val="20"/>
                <w:highlight w:val="none"/>
                <w:vertAlign w:val="baseline"/>
                <w:lang w:val="en-US" w:eastAsia="zh-CN"/>
              </w:rPr>
              <w:t>虎门镇村（社区）中心区域及居住区巷道</w:t>
            </w:r>
          </w:p>
        </w:tc>
      </w:tr>
      <w:tr w14:paraId="7B09E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5" w:hRule="atLeast"/>
        </w:trPr>
        <w:tc>
          <w:tcPr>
            <w:tcW w:w="33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2C4501C">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i w:val="0"/>
                <w:iCs w:val="0"/>
                <w:color w:val="auto"/>
                <w:kern w:val="0"/>
                <w:sz w:val="21"/>
                <w:szCs w:val="21"/>
                <w:highlight w:val="none"/>
                <w:u w:val="none"/>
                <w:lang w:val="en-US" w:eastAsia="zh-CN" w:bidi="ar"/>
              </w:rPr>
              <w:t>10</w:t>
            </w:r>
          </w:p>
        </w:tc>
        <w:tc>
          <w:tcPr>
            <w:tcW w:w="63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76BBA23">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长联亿得厂和合标厂交界消防通道</w:t>
            </w:r>
          </w:p>
        </w:tc>
        <w:tc>
          <w:tcPr>
            <w:tcW w:w="71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EED68A5">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275</w:t>
            </w:r>
          </w:p>
        </w:tc>
        <w:tc>
          <w:tcPr>
            <w:tcW w:w="813"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47C4BCAF">
            <w:pPr>
              <w:widowControl/>
              <w:spacing w:line="360" w:lineRule="auto"/>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8</w:t>
            </w:r>
          </w:p>
        </w:tc>
        <w:tc>
          <w:tcPr>
            <w:tcW w:w="75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7E03804">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2200</w:t>
            </w:r>
          </w:p>
        </w:tc>
        <w:tc>
          <w:tcPr>
            <w:tcW w:w="65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87D214E">
            <w:pPr>
              <w:keepNext w:val="0"/>
              <w:keepLines w:val="0"/>
              <w:widowControl/>
              <w:suppressLineNumbers w:val="0"/>
              <w:jc w:val="center"/>
              <w:textAlignment w:val="center"/>
              <w:rPr>
                <w:rFonts w:hint="eastAsia" w:ascii="宋体" w:hAnsi="宋体" w:eastAsia="宋体" w:cs="宋体"/>
                <w:b w:val="0"/>
                <w:bCs w:val="0"/>
                <w:color w:val="auto"/>
                <w:kern w:val="0"/>
                <w:sz w:val="21"/>
                <w:szCs w:val="21"/>
                <w:highlight w:val="none"/>
                <w:lang w:val="en-US" w:eastAsia="zh-CN" w:bidi="ar"/>
              </w:rPr>
            </w:pPr>
          </w:p>
        </w:tc>
        <w:tc>
          <w:tcPr>
            <w:tcW w:w="58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30D68D0">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99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0D69D00">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18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0B9083">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三级</w:t>
            </w:r>
          </w:p>
        </w:tc>
        <w:tc>
          <w:tcPr>
            <w:tcW w:w="18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3C51748">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sz w:val="20"/>
                <w:szCs w:val="20"/>
                <w:highlight w:val="none"/>
                <w:vertAlign w:val="baseline"/>
                <w:lang w:val="en-US" w:eastAsia="zh-CN"/>
              </w:rPr>
              <w:t>虎门镇村（社区）中心区域及居住区巷道</w:t>
            </w:r>
          </w:p>
        </w:tc>
      </w:tr>
      <w:tr w14:paraId="4D7552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3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2B702AC">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i w:val="0"/>
                <w:iCs w:val="0"/>
                <w:color w:val="auto"/>
                <w:kern w:val="0"/>
                <w:sz w:val="21"/>
                <w:szCs w:val="21"/>
                <w:highlight w:val="none"/>
                <w:u w:val="none"/>
                <w:lang w:val="en-US" w:eastAsia="zh-CN" w:bidi="ar"/>
              </w:rPr>
              <w:t>11</w:t>
            </w:r>
          </w:p>
        </w:tc>
        <w:tc>
          <w:tcPr>
            <w:tcW w:w="63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48E1A36">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广场及周边路</w:t>
            </w:r>
          </w:p>
        </w:tc>
        <w:tc>
          <w:tcPr>
            <w:tcW w:w="71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BCB507D">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412.5</w:t>
            </w:r>
          </w:p>
        </w:tc>
        <w:tc>
          <w:tcPr>
            <w:tcW w:w="813"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646AF1E5">
            <w:pPr>
              <w:widowControl/>
              <w:spacing w:line="360" w:lineRule="auto"/>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8</w:t>
            </w:r>
          </w:p>
        </w:tc>
        <w:tc>
          <w:tcPr>
            <w:tcW w:w="75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0C18C5E">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3300</w:t>
            </w:r>
          </w:p>
        </w:tc>
        <w:tc>
          <w:tcPr>
            <w:tcW w:w="65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19430A">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p>
        </w:tc>
        <w:tc>
          <w:tcPr>
            <w:tcW w:w="58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6F53D28">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99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2D97949">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18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F006A55">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三级</w:t>
            </w:r>
          </w:p>
        </w:tc>
        <w:tc>
          <w:tcPr>
            <w:tcW w:w="18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849C7D6">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sz w:val="20"/>
                <w:szCs w:val="20"/>
                <w:highlight w:val="none"/>
                <w:vertAlign w:val="baseline"/>
                <w:lang w:val="en-US" w:eastAsia="zh-CN"/>
              </w:rPr>
              <w:t>虎门镇村（社区）中心区域及居住区巷道</w:t>
            </w:r>
          </w:p>
        </w:tc>
      </w:tr>
      <w:tr w14:paraId="0AA79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3122D43">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i w:val="0"/>
                <w:iCs w:val="0"/>
                <w:color w:val="auto"/>
                <w:kern w:val="0"/>
                <w:sz w:val="21"/>
                <w:szCs w:val="21"/>
                <w:highlight w:val="none"/>
                <w:u w:val="none"/>
                <w:lang w:val="en-US" w:eastAsia="zh-CN" w:bidi="ar"/>
              </w:rPr>
              <w:t>12</w:t>
            </w:r>
          </w:p>
        </w:tc>
        <w:tc>
          <w:tcPr>
            <w:tcW w:w="63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C1A839D">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东区巷</w:t>
            </w:r>
          </w:p>
        </w:tc>
        <w:tc>
          <w:tcPr>
            <w:tcW w:w="71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345A666">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5123</w:t>
            </w:r>
          </w:p>
        </w:tc>
        <w:tc>
          <w:tcPr>
            <w:tcW w:w="813"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3D187828">
            <w:pPr>
              <w:widowControl/>
              <w:spacing w:line="360" w:lineRule="auto"/>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1.5</w:t>
            </w:r>
          </w:p>
        </w:tc>
        <w:tc>
          <w:tcPr>
            <w:tcW w:w="75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12E5F49">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7684.5</w:t>
            </w:r>
          </w:p>
        </w:tc>
        <w:tc>
          <w:tcPr>
            <w:tcW w:w="65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F523B75">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p>
        </w:tc>
        <w:tc>
          <w:tcPr>
            <w:tcW w:w="58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C9F5D0E">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99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969F613">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18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B384A78">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三级</w:t>
            </w:r>
          </w:p>
        </w:tc>
        <w:tc>
          <w:tcPr>
            <w:tcW w:w="18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8DFA584">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sz w:val="20"/>
                <w:szCs w:val="20"/>
                <w:highlight w:val="none"/>
                <w:vertAlign w:val="baseline"/>
                <w:lang w:val="en-US" w:eastAsia="zh-CN"/>
              </w:rPr>
              <w:t>虎门镇村（社区）中心区域及居住区巷道</w:t>
            </w:r>
          </w:p>
        </w:tc>
      </w:tr>
      <w:tr w14:paraId="492E5B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33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AE5DED3">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i w:val="0"/>
                <w:iCs w:val="0"/>
                <w:color w:val="auto"/>
                <w:kern w:val="0"/>
                <w:sz w:val="21"/>
                <w:szCs w:val="21"/>
                <w:highlight w:val="none"/>
                <w:u w:val="none"/>
                <w:lang w:val="en-US" w:eastAsia="zh-CN" w:bidi="ar"/>
              </w:rPr>
              <w:t>13</w:t>
            </w:r>
          </w:p>
        </w:tc>
        <w:tc>
          <w:tcPr>
            <w:tcW w:w="63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F04E28F">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西区巷</w:t>
            </w:r>
          </w:p>
        </w:tc>
        <w:tc>
          <w:tcPr>
            <w:tcW w:w="71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9B21F9D">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5480</w:t>
            </w:r>
          </w:p>
        </w:tc>
        <w:tc>
          <w:tcPr>
            <w:tcW w:w="813"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1B9184D4">
            <w:pPr>
              <w:widowControl/>
              <w:spacing w:line="360" w:lineRule="auto"/>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1.5</w:t>
            </w:r>
          </w:p>
        </w:tc>
        <w:tc>
          <w:tcPr>
            <w:tcW w:w="75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C7F912">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8220</w:t>
            </w:r>
          </w:p>
        </w:tc>
        <w:tc>
          <w:tcPr>
            <w:tcW w:w="65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AE0EEA2">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p>
        </w:tc>
        <w:tc>
          <w:tcPr>
            <w:tcW w:w="58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37DBF8E">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99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BCA4C2B">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18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4DA88A9">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三级</w:t>
            </w:r>
          </w:p>
        </w:tc>
        <w:tc>
          <w:tcPr>
            <w:tcW w:w="18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BEE2354">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sz w:val="20"/>
                <w:szCs w:val="20"/>
                <w:highlight w:val="none"/>
                <w:vertAlign w:val="baseline"/>
                <w:lang w:val="en-US" w:eastAsia="zh-CN"/>
              </w:rPr>
              <w:t>虎门镇村（社区）中心区域及居住区巷道</w:t>
            </w:r>
          </w:p>
        </w:tc>
      </w:tr>
      <w:tr w14:paraId="03EBF7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75F7AB">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i w:val="0"/>
                <w:iCs w:val="0"/>
                <w:color w:val="auto"/>
                <w:kern w:val="0"/>
                <w:sz w:val="21"/>
                <w:szCs w:val="21"/>
                <w:highlight w:val="none"/>
                <w:u w:val="none"/>
                <w:lang w:val="en-US" w:eastAsia="zh-CN" w:bidi="ar"/>
              </w:rPr>
              <w:t>14</w:t>
            </w:r>
          </w:p>
        </w:tc>
        <w:tc>
          <w:tcPr>
            <w:tcW w:w="63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A2B9389">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社区旁</w:t>
            </w:r>
          </w:p>
        </w:tc>
        <w:tc>
          <w:tcPr>
            <w:tcW w:w="71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31C53EA">
            <w:pPr>
              <w:widowControl/>
              <w:spacing w:line="360" w:lineRule="auto"/>
              <w:jc w:val="center"/>
              <w:rPr>
                <w:rFonts w:hint="eastAsia" w:ascii="宋体" w:hAnsi="宋体" w:eastAsia="宋体" w:cs="宋体"/>
                <w:b w:val="0"/>
                <w:bCs w:val="0"/>
                <w:color w:val="auto"/>
                <w:kern w:val="2"/>
                <w:sz w:val="21"/>
                <w:szCs w:val="21"/>
                <w:highlight w:val="none"/>
                <w:vertAlign w:val="baseline"/>
                <w:lang w:val="en-US" w:eastAsia="zh-CN" w:bidi="ar-SA"/>
              </w:rPr>
            </w:pPr>
            <w:r>
              <w:rPr>
                <w:rFonts w:hint="eastAsia" w:ascii="宋体" w:hAnsi="宋体" w:eastAsia="宋体" w:cs="宋体"/>
                <w:color w:val="auto"/>
                <w:kern w:val="0"/>
                <w:sz w:val="21"/>
                <w:szCs w:val="21"/>
                <w:highlight w:val="none"/>
                <w:lang w:val="en-US" w:eastAsia="zh-CN"/>
              </w:rPr>
              <w:t>149</w:t>
            </w:r>
          </w:p>
        </w:tc>
        <w:tc>
          <w:tcPr>
            <w:tcW w:w="813"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7D47B590">
            <w:pPr>
              <w:widowControl/>
              <w:spacing w:line="360" w:lineRule="auto"/>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6</w:t>
            </w:r>
          </w:p>
        </w:tc>
        <w:tc>
          <w:tcPr>
            <w:tcW w:w="75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5A631EE">
            <w:pPr>
              <w:widowControl/>
              <w:spacing w:line="360" w:lineRule="auto"/>
              <w:jc w:val="center"/>
              <w:rPr>
                <w:rFonts w:hint="eastAsia" w:ascii="宋体" w:hAnsi="宋体" w:eastAsia="宋体" w:cs="宋体"/>
                <w:b w:val="0"/>
                <w:bCs w:val="0"/>
                <w:color w:val="auto"/>
                <w:kern w:val="2"/>
                <w:sz w:val="21"/>
                <w:szCs w:val="21"/>
                <w:highlight w:val="none"/>
                <w:vertAlign w:val="baseline"/>
                <w:lang w:val="en-US" w:eastAsia="zh-CN" w:bidi="ar-SA"/>
              </w:rPr>
            </w:pPr>
            <w:r>
              <w:rPr>
                <w:rFonts w:hint="eastAsia" w:ascii="宋体" w:hAnsi="宋体" w:eastAsia="宋体" w:cs="宋体"/>
                <w:color w:val="auto"/>
                <w:kern w:val="0"/>
                <w:sz w:val="21"/>
                <w:szCs w:val="21"/>
                <w:highlight w:val="none"/>
                <w:lang w:val="en-US" w:eastAsia="zh-CN"/>
              </w:rPr>
              <w:t>894</w:t>
            </w:r>
          </w:p>
        </w:tc>
        <w:tc>
          <w:tcPr>
            <w:tcW w:w="65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E5179B6">
            <w:pPr>
              <w:keepNext w:val="0"/>
              <w:keepLines w:val="0"/>
              <w:widowControl/>
              <w:suppressLineNumbers w:val="0"/>
              <w:jc w:val="center"/>
              <w:textAlignment w:val="center"/>
              <w:rPr>
                <w:rFonts w:hint="eastAsia" w:ascii="宋体" w:hAnsi="宋体" w:eastAsia="宋体" w:cs="宋体"/>
                <w:b w:val="0"/>
                <w:bCs w:val="0"/>
                <w:color w:val="auto"/>
                <w:kern w:val="2"/>
                <w:sz w:val="21"/>
                <w:szCs w:val="21"/>
                <w:highlight w:val="none"/>
                <w:vertAlign w:val="baseline"/>
                <w:lang w:val="en-US" w:eastAsia="zh-CN" w:bidi="ar-SA"/>
              </w:rPr>
            </w:pPr>
          </w:p>
        </w:tc>
        <w:tc>
          <w:tcPr>
            <w:tcW w:w="58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E41A97">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99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5C183F">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18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A357F09">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三级</w:t>
            </w:r>
          </w:p>
        </w:tc>
        <w:tc>
          <w:tcPr>
            <w:tcW w:w="18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6304D98">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sz w:val="20"/>
                <w:szCs w:val="20"/>
                <w:highlight w:val="none"/>
                <w:vertAlign w:val="baseline"/>
                <w:lang w:val="en-US" w:eastAsia="zh-CN"/>
              </w:rPr>
              <w:t>虎门镇村（社区）中心区域及居住区巷道</w:t>
            </w:r>
          </w:p>
        </w:tc>
      </w:tr>
      <w:tr w14:paraId="011D0D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8B32CFC">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i w:val="0"/>
                <w:iCs w:val="0"/>
                <w:color w:val="auto"/>
                <w:kern w:val="0"/>
                <w:sz w:val="21"/>
                <w:szCs w:val="21"/>
                <w:highlight w:val="none"/>
                <w:u w:val="none"/>
                <w:lang w:val="en-US" w:eastAsia="zh-CN" w:bidi="ar"/>
              </w:rPr>
              <w:t>15</w:t>
            </w:r>
          </w:p>
        </w:tc>
        <w:tc>
          <w:tcPr>
            <w:tcW w:w="63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3FC938B">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新桥+小公园</w:t>
            </w:r>
          </w:p>
        </w:tc>
        <w:tc>
          <w:tcPr>
            <w:tcW w:w="71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E1B86ED">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139</w:t>
            </w:r>
          </w:p>
        </w:tc>
        <w:tc>
          <w:tcPr>
            <w:tcW w:w="813"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47ED2966">
            <w:pPr>
              <w:widowControl/>
              <w:spacing w:line="360" w:lineRule="auto"/>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6</w:t>
            </w:r>
          </w:p>
        </w:tc>
        <w:tc>
          <w:tcPr>
            <w:tcW w:w="75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36F2D66">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834</w:t>
            </w:r>
          </w:p>
        </w:tc>
        <w:tc>
          <w:tcPr>
            <w:tcW w:w="65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A7CD78C">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p>
        </w:tc>
        <w:tc>
          <w:tcPr>
            <w:tcW w:w="58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686E085">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99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2C48AF5">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18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ADC52C1">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三级</w:t>
            </w:r>
          </w:p>
        </w:tc>
        <w:tc>
          <w:tcPr>
            <w:tcW w:w="18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D6829F1">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sz w:val="20"/>
                <w:szCs w:val="20"/>
                <w:highlight w:val="none"/>
                <w:vertAlign w:val="baseline"/>
                <w:lang w:val="en-US" w:eastAsia="zh-CN"/>
              </w:rPr>
              <w:t>虎门镇村（社区）中心区域及居住区巷道</w:t>
            </w:r>
          </w:p>
        </w:tc>
      </w:tr>
      <w:tr w14:paraId="50E07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6BFFF55">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i w:val="0"/>
                <w:iCs w:val="0"/>
                <w:color w:val="auto"/>
                <w:kern w:val="0"/>
                <w:sz w:val="21"/>
                <w:szCs w:val="21"/>
                <w:highlight w:val="none"/>
                <w:u w:val="none"/>
                <w:lang w:val="en-US" w:eastAsia="zh-CN" w:bidi="ar"/>
              </w:rPr>
              <w:t>16</w:t>
            </w:r>
          </w:p>
        </w:tc>
        <w:tc>
          <w:tcPr>
            <w:tcW w:w="63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0960817">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金德丰后停车</w:t>
            </w:r>
          </w:p>
        </w:tc>
        <w:tc>
          <w:tcPr>
            <w:tcW w:w="71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D1CF8A8">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145</w:t>
            </w:r>
          </w:p>
        </w:tc>
        <w:tc>
          <w:tcPr>
            <w:tcW w:w="813"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1C223C6F">
            <w:pPr>
              <w:widowControl/>
              <w:spacing w:line="360" w:lineRule="auto"/>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15</w:t>
            </w:r>
          </w:p>
        </w:tc>
        <w:tc>
          <w:tcPr>
            <w:tcW w:w="75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64CDE89">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2175</w:t>
            </w:r>
          </w:p>
        </w:tc>
        <w:tc>
          <w:tcPr>
            <w:tcW w:w="65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8C42AD2">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p>
        </w:tc>
        <w:tc>
          <w:tcPr>
            <w:tcW w:w="58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635C5D4">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99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FF65DCE">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18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05A74A5">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三级</w:t>
            </w:r>
          </w:p>
        </w:tc>
        <w:tc>
          <w:tcPr>
            <w:tcW w:w="18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8AEFC1D">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sz w:val="20"/>
                <w:szCs w:val="20"/>
                <w:highlight w:val="none"/>
                <w:vertAlign w:val="baseline"/>
                <w:lang w:val="en-US" w:eastAsia="zh-CN"/>
              </w:rPr>
              <w:t>虎门镇村（社区）中心区域及居住区巷道</w:t>
            </w:r>
          </w:p>
        </w:tc>
      </w:tr>
      <w:tr w14:paraId="06F19B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B6A4AB9">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b w:val="0"/>
                <w:bCs w:val="0"/>
                <w:i w:val="0"/>
                <w:iCs w:val="0"/>
                <w:color w:val="auto"/>
                <w:kern w:val="0"/>
                <w:sz w:val="21"/>
                <w:szCs w:val="21"/>
                <w:highlight w:val="none"/>
                <w:u w:val="none"/>
                <w:lang w:val="en-US" w:eastAsia="zh-CN" w:bidi="ar"/>
              </w:rPr>
              <w:t>17</w:t>
            </w:r>
          </w:p>
        </w:tc>
        <w:tc>
          <w:tcPr>
            <w:tcW w:w="63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3FDF406">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厚虎路行人道</w:t>
            </w:r>
          </w:p>
        </w:tc>
        <w:tc>
          <w:tcPr>
            <w:tcW w:w="71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4E8DFC1">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p>
        </w:tc>
        <w:tc>
          <w:tcPr>
            <w:tcW w:w="813"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6A0382D4">
            <w:pPr>
              <w:widowControl/>
              <w:spacing w:line="360" w:lineRule="auto"/>
              <w:jc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75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4746C59">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p>
        </w:tc>
        <w:tc>
          <w:tcPr>
            <w:tcW w:w="65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11A1A0D">
            <w:pPr>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i w:val="0"/>
                <w:iCs w:val="0"/>
                <w:color w:val="auto"/>
                <w:sz w:val="21"/>
                <w:szCs w:val="21"/>
                <w:highlight w:val="none"/>
                <w:u w:val="none"/>
                <w:lang w:val="en-US" w:eastAsia="zh-CN"/>
              </w:rPr>
              <w:t>2005</w:t>
            </w:r>
          </w:p>
        </w:tc>
        <w:tc>
          <w:tcPr>
            <w:tcW w:w="58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17EBBBF">
            <w:pPr>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i w:val="0"/>
                <w:iCs w:val="0"/>
                <w:color w:val="auto"/>
                <w:sz w:val="21"/>
                <w:szCs w:val="21"/>
                <w:highlight w:val="none"/>
                <w:u w:val="none"/>
                <w:lang w:val="en-US" w:eastAsia="zh-CN"/>
              </w:rPr>
              <w:t>6.5</w:t>
            </w:r>
          </w:p>
        </w:tc>
        <w:tc>
          <w:tcPr>
            <w:tcW w:w="99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02FE39B">
            <w:pPr>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i w:val="0"/>
                <w:iCs w:val="0"/>
                <w:color w:val="auto"/>
                <w:sz w:val="21"/>
                <w:szCs w:val="21"/>
                <w:highlight w:val="none"/>
                <w:u w:val="none"/>
                <w:lang w:val="en-US" w:eastAsia="zh-CN"/>
              </w:rPr>
              <w:t>13032.5</w:t>
            </w:r>
          </w:p>
        </w:tc>
        <w:tc>
          <w:tcPr>
            <w:tcW w:w="18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1058051">
            <w:pPr>
              <w:jc w:val="center"/>
              <w:rPr>
                <w:rFonts w:hint="eastAsia" w:ascii="宋体" w:hAnsi="宋体" w:eastAsia="宋体" w:cs="宋体"/>
                <w:i w:val="0"/>
                <w:iCs w:val="0"/>
                <w:color w:val="auto"/>
                <w:sz w:val="21"/>
                <w:szCs w:val="21"/>
                <w:highlight w:val="none"/>
                <w:u w:val="none"/>
                <w:lang w:val="en-US" w:eastAsia="zh-CN"/>
              </w:rPr>
            </w:pPr>
            <w:r>
              <w:rPr>
                <w:rFonts w:hint="eastAsia" w:ascii="宋体" w:hAnsi="宋体" w:eastAsia="宋体" w:cs="宋体"/>
                <w:color w:val="auto"/>
                <w:kern w:val="0"/>
                <w:sz w:val="21"/>
                <w:szCs w:val="21"/>
                <w:highlight w:val="none"/>
                <w:lang w:val="en-US" w:eastAsia="zh-CN"/>
              </w:rPr>
              <w:t>三级</w:t>
            </w:r>
          </w:p>
        </w:tc>
        <w:tc>
          <w:tcPr>
            <w:tcW w:w="18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3086A72">
            <w:pPr>
              <w:jc w:val="center"/>
              <w:rPr>
                <w:rFonts w:hint="eastAsia" w:ascii="宋体" w:hAnsi="宋体" w:eastAsia="宋体" w:cs="宋体"/>
                <w:i w:val="0"/>
                <w:iCs w:val="0"/>
                <w:color w:val="auto"/>
                <w:sz w:val="21"/>
                <w:szCs w:val="21"/>
                <w:highlight w:val="none"/>
                <w:u w:val="none"/>
                <w:lang w:val="en-US" w:eastAsia="zh-CN"/>
              </w:rPr>
            </w:pPr>
            <w:r>
              <w:rPr>
                <w:rFonts w:hint="eastAsia" w:ascii="宋体" w:hAnsi="宋体" w:eastAsia="宋体" w:cs="宋体"/>
                <w:color w:val="auto"/>
                <w:sz w:val="20"/>
                <w:szCs w:val="20"/>
                <w:highlight w:val="none"/>
                <w:vertAlign w:val="baseline"/>
                <w:lang w:val="en-US" w:eastAsia="zh-CN"/>
              </w:rPr>
              <w:t>虎门镇村（社区）中心区域及居住区巷道</w:t>
            </w:r>
          </w:p>
        </w:tc>
      </w:tr>
      <w:tr w14:paraId="010F2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E87988F">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b w:val="0"/>
                <w:bCs w:val="0"/>
                <w:i w:val="0"/>
                <w:iCs w:val="0"/>
                <w:color w:val="auto"/>
                <w:kern w:val="0"/>
                <w:sz w:val="21"/>
                <w:szCs w:val="21"/>
                <w:highlight w:val="none"/>
                <w:u w:val="none"/>
                <w:lang w:val="en-US" w:eastAsia="zh-CN" w:bidi="ar"/>
              </w:rPr>
              <w:t>18</w:t>
            </w:r>
          </w:p>
        </w:tc>
        <w:tc>
          <w:tcPr>
            <w:tcW w:w="63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2E2CB6C">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泉丰厂至雍成加消防通道</w:t>
            </w:r>
          </w:p>
        </w:tc>
        <w:tc>
          <w:tcPr>
            <w:tcW w:w="71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9F2BDBF">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225.98</w:t>
            </w:r>
          </w:p>
        </w:tc>
        <w:tc>
          <w:tcPr>
            <w:tcW w:w="813"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0B307232">
            <w:pPr>
              <w:widowControl/>
              <w:spacing w:line="360" w:lineRule="auto"/>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8</w:t>
            </w:r>
          </w:p>
        </w:tc>
        <w:tc>
          <w:tcPr>
            <w:tcW w:w="75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4D8DA59">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1807.84</w:t>
            </w:r>
          </w:p>
        </w:tc>
        <w:tc>
          <w:tcPr>
            <w:tcW w:w="65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644C5E8">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p>
        </w:tc>
        <w:tc>
          <w:tcPr>
            <w:tcW w:w="58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12A6FDF">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99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185FECC">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18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2040467">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三级</w:t>
            </w:r>
          </w:p>
        </w:tc>
        <w:tc>
          <w:tcPr>
            <w:tcW w:w="18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9685A05">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sz w:val="20"/>
                <w:szCs w:val="20"/>
                <w:highlight w:val="none"/>
                <w:vertAlign w:val="baseline"/>
                <w:lang w:val="en-US" w:eastAsia="zh-CN"/>
              </w:rPr>
              <w:t>虎门镇村（社区）中心区域及居住区巷道</w:t>
            </w:r>
          </w:p>
        </w:tc>
      </w:tr>
      <w:tr w14:paraId="44EE5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B4970E9">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b w:val="0"/>
                <w:bCs w:val="0"/>
                <w:i w:val="0"/>
                <w:iCs w:val="0"/>
                <w:color w:val="auto"/>
                <w:kern w:val="0"/>
                <w:sz w:val="21"/>
                <w:szCs w:val="21"/>
                <w:highlight w:val="none"/>
                <w:u w:val="none"/>
                <w:lang w:val="en-US" w:eastAsia="zh-CN" w:bidi="ar"/>
              </w:rPr>
              <w:t>19</w:t>
            </w:r>
          </w:p>
        </w:tc>
        <w:tc>
          <w:tcPr>
            <w:tcW w:w="63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EAE68CC">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泉井东路铺面后</w:t>
            </w:r>
          </w:p>
        </w:tc>
        <w:tc>
          <w:tcPr>
            <w:tcW w:w="71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BD58C8F">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196</w:t>
            </w:r>
          </w:p>
        </w:tc>
        <w:tc>
          <w:tcPr>
            <w:tcW w:w="813"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20D9CAC6">
            <w:pPr>
              <w:widowControl/>
              <w:spacing w:line="360" w:lineRule="auto"/>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8</w:t>
            </w:r>
          </w:p>
        </w:tc>
        <w:tc>
          <w:tcPr>
            <w:tcW w:w="75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A49CB">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1568</w:t>
            </w:r>
          </w:p>
        </w:tc>
        <w:tc>
          <w:tcPr>
            <w:tcW w:w="65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6954C4">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p>
        </w:tc>
        <w:tc>
          <w:tcPr>
            <w:tcW w:w="58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DF6D65C">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99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E1A6079">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18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D91550A">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三级</w:t>
            </w:r>
          </w:p>
        </w:tc>
        <w:tc>
          <w:tcPr>
            <w:tcW w:w="18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9F4F79">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sz w:val="20"/>
                <w:szCs w:val="20"/>
                <w:highlight w:val="none"/>
                <w:vertAlign w:val="baseline"/>
                <w:lang w:val="en-US" w:eastAsia="zh-CN"/>
              </w:rPr>
              <w:t>虎门镇村（社区）中心区域及居住区巷道</w:t>
            </w:r>
          </w:p>
        </w:tc>
      </w:tr>
      <w:tr w14:paraId="4A00A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0947E82">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b w:val="0"/>
                <w:bCs w:val="0"/>
                <w:i w:val="0"/>
                <w:iCs w:val="0"/>
                <w:color w:val="auto"/>
                <w:kern w:val="0"/>
                <w:sz w:val="21"/>
                <w:szCs w:val="21"/>
                <w:highlight w:val="none"/>
                <w:u w:val="none"/>
                <w:lang w:val="en-US" w:eastAsia="zh-CN" w:bidi="ar"/>
              </w:rPr>
              <w:t>20</w:t>
            </w:r>
          </w:p>
        </w:tc>
        <w:tc>
          <w:tcPr>
            <w:tcW w:w="63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58FB79A">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厚虎路商铺后面加商业</w:t>
            </w:r>
          </w:p>
        </w:tc>
        <w:tc>
          <w:tcPr>
            <w:tcW w:w="71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44D7558">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356</w:t>
            </w:r>
          </w:p>
        </w:tc>
        <w:tc>
          <w:tcPr>
            <w:tcW w:w="813"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2EFB3E90">
            <w:pPr>
              <w:widowControl/>
              <w:spacing w:line="360" w:lineRule="auto"/>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6</w:t>
            </w:r>
          </w:p>
        </w:tc>
        <w:tc>
          <w:tcPr>
            <w:tcW w:w="75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115CE89">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2136</w:t>
            </w:r>
          </w:p>
        </w:tc>
        <w:tc>
          <w:tcPr>
            <w:tcW w:w="65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14EE7EF">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p>
        </w:tc>
        <w:tc>
          <w:tcPr>
            <w:tcW w:w="58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77DB7D8">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99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E5EA61E">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18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8A1ADFC">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三级</w:t>
            </w:r>
          </w:p>
        </w:tc>
        <w:tc>
          <w:tcPr>
            <w:tcW w:w="18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7D5E4EC">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sz w:val="20"/>
                <w:szCs w:val="20"/>
                <w:highlight w:val="none"/>
                <w:vertAlign w:val="baseline"/>
                <w:lang w:val="en-US" w:eastAsia="zh-CN"/>
              </w:rPr>
              <w:t>虎门镇村（社区）中心区域及居住区巷道</w:t>
            </w:r>
          </w:p>
        </w:tc>
      </w:tr>
      <w:tr w14:paraId="1373EA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C5D2703">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b w:val="0"/>
                <w:bCs w:val="0"/>
                <w:i w:val="0"/>
                <w:iCs w:val="0"/>
                <w:color w:val="auto"/>
                <w:kern w:val="0"/>
                <w:sz w:val="21"/>
                <w:szCs w:val="21"/>
                <w:highlight w:val="none"/>
                <w:u w:val="none"/>
                <w:lang w:val="en-US" w:eastAsia="zh-CN" w:bidi="ar"/>
              </w:rPr>
              <w:t>21</w:t>
            </w:r>
          </w:p>
        </w:tc>
        <w:tc>
          <w:tcPr>
            <w:tcW w:w="63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0BACB9B">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五马山横山路</w:t>
            </w:r>
          </w:p>
        </w:tc>
        <w:tc>
          <w:tcPr>
            <w:tcW w:w="71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673BF2F">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425</w:t>
            </w:r>
          </w:p>
        </w:tc>
        <w:tc>
          <w:tcPr>
            <w:tcW w:w="813"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2D52CCA3">
            <w:pPr>
              <w:widowControl/>
              <w:spacing w:line="360" w:lineRule="auto"/>
              <w:jc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9</w:t>
            </w:r>
          </w:p>
        </w:tc>
        <w:tc>
          <w:tcPr>
            <w:tcW w:w="75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066CBF8">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color w:val="auto"/>
                <w:kern w:val="0"/>
                <w:sz w:val="21"/>
                <w:szCs w:val="21"/>
                <w:highlight w:val="none"/>
                <w:lang w:val="en-US" w:eastAsia="zh-CN"/>
              </w:rPr>
              <w:t>3825</w:t>
            </w:r>
          </w:p>
        </w:tc>
        <w:tc>
          <w:tcPr>
            <w:tcW w:w="65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2189639">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p>
        </w:tc>
        <w:tc>
          <w:tcPr>
            <w:tcW w:w="58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4CB0F22">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99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1BA3F16">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18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3E6CDF4">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rPr>
              <w:t>三级</w:t>
            </w:r>
          </w:p>
        </w:tc>
        <w:tc>
          <w:tcPr>
            <w:tcW w:w="18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458B08">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color w:val="auto"/>
                <w:sz w:val="20"/>
                <w:szCs w:val="20"/>
                <w:highlight w:val="none"/>
                <w:vertAlign w:val="baseline"/>
                <w:lang w:val="en-US" w:eastAsia="zh-CN"/>
              </w:rPr>
              <w:t>虎门镇村（社区）中心区域及居住区巷道</w:t>
            </w:r>
          </w:p>
        </w:tc>
      </w:tr>
      <w:tr w14:paraId="259C3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dxa"/>
            <w:vMerge w:val="restart"/>
            <w:tcBorders>
              <w:top w:val="single" w:color="auto" w:sz="4" w:space="0"/>
              <w:left w:val="single" w:color="auto" w:sz="4" w:space="0"/>
              <w:right w:val="single" w:color="auto" w:sz="4" w:space="0"/>
            </w:tcBorders>
            <w:shd w:val="clear" w:color="auto" w:fill="auto"/>
            <w:noWrap w:val="0"/>
            <w:vAlign w:val="center"/>
          </w:tcPr>
          <w:p w14:paraId="5B403675">
            <w:pPr>
              <w:keepNext w:val="0"/>
              <w:keepLines w:val="0"/>
              <w:widowControl/>
              <w:suppressLineNumbers w:val="0"/>
              <w:jc w:val="center"/>
              <w:textAlignment w:val="center"/>
              <w:rPr>
                <w:rFonts w:hint="default" w:ascii="宋体" w:hAnsi="宋体" w:eastAsia="宋体" w:cs="宋体"/>
                <w:b w:val="0"/>
                <w:bCs w:val="0"/>
                <w:i w:val="0"/>
                <w:iCs w:val="0"/>
                <w:color w:val="auto"/>
                <w:kern w:val="0"/>
                <w:sz w:val="21"/>
                <w:szCs w:val="21"/>
                <w:highlight w:val="none"/>
                <w:u w:val="none"/>
                <w:lang w:val="en-US" w:eastAsia="zh-CN" w:bidi="ar"/>
              </w:rPr>
            </w:pPr>
            <w:r>
              <w:rPr>
                <w:rFonts w:hint="eastAsia" w:ascii="宋体" w:hAnsi="宋体" w:eastAsia="宋体" w:cs="宋体"/>
                <w:b w:val="0"/>
                <w:bCs w:val="0"/>
                <w:i w:val="0"/>
                <w:iCs w:val="0"/>
                <w:color w:val="auto"/>
                <w:kern w:val="0"/>
                <w:sz w:val="21"/>
                <w:szCs w:val="21"/>
                <w:highlight w:val="none"/>
                <w:u w:val="none"/>
                <w:lang w:val="en-US" w:eastAsia="zh-CN" w:bidi="ar"/>
              </w:rPr>
              <w:t>22</w:t>
            </w:r>
          </w:p>
        </w:tc>
        <w:tc>
          <w:tcPr>
            <w:tcW w:w="637" w:type="dxa"/>
            <w:vMerge w:val="restart"/>
            <w:tcBorders>
              <w:top w:val="single" w:color="auto" w:sz="4" w:space="0"/>
              <w:left w:val="single" w:color="auto" w:sz="4" w:space="0"/>
              <w:right w:val="single" w:color="auto" w:sz="4" w:space="0"/>
            </w:tcBorders>
            <w:shd w:val="clear" w:color="auto" w:fill="auto"/>
            <w:noWrap w:val="0"/>
            <w:vAlign w:val="center"/>
          </w:tcPr>
          <w:p w14:paraId="4EF21769">
            <w:pPr>
              <w:widowControl/>
              <w:spacing w:line="360" w:lineRule="auto"/>
              <w:jc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泉丰厂门道路至文头兴塘路绿化面积</w:t>
            </w:r>
          </w:p>
        </w:tc>
        <w:tc>
          <w:tcPr>
            <w:tcW w:w="71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AFA3E88">
            <w:pPr>
              <w:keepNext w:val="0"/>
              <w:keepLines w:val="0"/>
              <w:pageBreakBefore w:val="0"/>
              <w:kinsoku/>
              <w:wordWrap/>
              <w:overflowPunct/>
              <w:topLinePunct w:val="0"/>
              <w:autoSpaceDE/>
              <w:autoSpaceDN/>
              <w:bidi w:val="0"/>
              <w:adjustRightInd w:val="0"/>
              <w:snapToGrid w:val="0"/>
              <w:spacing w:beforeAutospacing="0" w:afterAutospacing="0" w:line="500" w:lineRule="exact"/>
              <w:ind w:firstLine="0" w:firstLineChars="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b w:val="0"/>
                <w:bCs w:val="0"/>
                <w:color w:val="auto"/>
                <w:sz w:val="21"/>
                <w:szCs w:val="21"/>
                <w:highlight w:val="none"/>
                <w:vertAlign w:val="baseline"/>
                <w:lang w:val="en-US" w:eastAsia="zh-CN"/>
              </w:rPr>
              <w:t>道路长度（m）</w:t>
            </w:r>
          </w:p>
        </w:tc>
        <w:tc>
          <w:tcPr>
            <w:tcW w:w="813"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588AD63B">
            <w:pPr>
              <w:keepNext w:val="0"/>
              <w:keepLines w:val="0"/>
              <w:pageBreakBefore w:val="0"/>
              <w:kinsoku/>
              <w:wordWrap/>
              <w:overflowPunct/>
              <w:topLinePunct w:val="0"/>
              <w:autoSpaceDE/>
              <w:autoSpaceDN/>
              <w:bidi w:val="0"/>
              <w:adjustRightInd w:val="0"/>
              <w:snapToGrid w:val="0"/>
              <w:spacing w:beforeAutospacing="0" w:afterAutospacing="0" w:line="500" w:lineRule="exact"/>
              <w:ind w:firstLine="0" w:firstLineChars="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b w:val="0"/>
                <w:bCs w:val="0"/>
                <w:color w:val="auto"/>
                <w:sz w:val="21"/>
                <w:szCs w:val="21"/>
                <w:highlight w:val="none"/>
                <w:vertAlign w:val="baseline"/>
                <w:lang w:val="en-US" w:eastAsia="zh-CN"/>
              </w:rPr>
              <w:t>道路宽度（m）</w:t>
            </w:r>
          </w:p>
        </w:tc>
        <w:tc>
          <w:tcPr>
            <w:tcW w:w="75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AB4CD73">
            <w:pPr>
              <w:keepNext w:val="0"/>
              <w:keepLines w:val="0"/>
              <w:pageBreakBefore w:val="0"/>
              <w:kinsoku/>
              <w:wordWrap/>
              <w:overflowPunct/>
              <w:topLinePunct w:val="0"/>
              <w:autoSpaceDE/>
              <w:autoSpaceDN/>
              <w:bidi w:val="0"/>
              <w:adjustRightInd w:val="0"/>
              <w:snapToGrid w:val="0"/>
              <w:spacing w:beforeAutospacing="0" w:afterAutospacing="0" w:line="500" w:lineRule="exact"/>
              <w:ind w:firstLine="0" w:firstLineChars="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b w:val="0"/>
                <w:bCs w:val="0"/>
                <w:color w:val="auto"/>
                <w:sz w:val="21"/>
                <w:szCs w:val="21"/>
                <w:highlight w:val="none"/>
                <w:vertAlign w:val="baseline"/>
                <w:lang w:val="en-US" w:eastAsia="zh-CN"/>
              </w:rPr>
              <w:t>保洁面积（㎡）</w:t>
            </w:r>
          </w:p>
        </w:tc>
        <w:tc>
          <w:tcPr>
            <w:tcW w:w="65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D91A8D4">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p>
        </w:tc>
        <w:tc>
          <w:tcPr>
            <w:tcW w:w="58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08D86A3">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99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1366FC0">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18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7EA7001">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18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35906DA">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r>
      <w:tr w14:paraId="7CBFC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 w:type="dxa"/>
            <w:vMerge w:val="continue"/>
            <w:tcBorders>
              <w:left w:val="single" w:color="auto" w:sz="4" w:space="0"/>
              <w:bottom w:val="single" w:color="auto" w:sz="4" w:space="0"/>
              <w:right w:val="single" w:color="auto" w:sz="4" w:space="0"/>
            </w:tcBorders>
            <w:shd w:val="clear" w:color="auto" w:fill="auto"/>
            <w:noWrap w:val="0"/>
            <w:vAlign w:val="center"/>
          </w:tcPr>
          <w:p w14:paraId="19C3E4C9">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637" w:type="dxa"/>
            <w:vMerge w:val="continue"/>
            <w:tcBorders>
              <w:left w:val="single" w:color="auto" w:sz="4" w:space="0"/>
              <w:bottom w:val="single" w:color="auto" w:sz="4" w:space="0"/>
              <w:right w:val="single" w:color="auto" w:sz="4" w:space="0"/>
            </w:tcBorders>
            <w:shd w:val="clear" w:color="auto" w:fill="auto"/>
            <w:noWrap w:val="0"/>
            <w:vAlign w:val="center"/>
          </w:tcPr>
          <w:p w14:paraId="71342766">
            <w:pPr>
              <w:widowControl/>
              <w:spacing w:line="360" w:lineRule="auto"/>
              <w:jc w:val="center"/>
              <w:rPr>
                <w:rFonts w:hint="eastAsia" w:ascii="宋体" w:hAnsi="宋体" w:eastAsia="宋体" w:cs="宋体"/>
                <w:b w:val="0"/>
                <w:bCs w:val="0"/>
                <w:color w:val="auto"/>
                <w:kern w:val="0"/>
                <w:sz w:val="21"/>
                <w:szCs w:val="21"/>
                <w:highlight w:val="none"/>
                <w:lang w:val="en-US" w:eastAsia="zh-CN"/>
              </w:rPr>
            </w:pPr>
          </w:p>
        </w:tc>
        <w:tc>
          <w:tcPr>
            <w:tcW w:w="71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DE72D4E">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cs="宋体"/>
                <w:color w:val="auto"/>
                <w:kern w:val="0"/>
                <w:szCs w:val="21"/>
                <w:highlight w:val="none"/>
                <w:lang w:val="en-US" w:eastAsia="zh-CN"/>
              </w:rPr>
              <w:t>248</w:t>
            </w:r>
          </w:p>
        </w:tc>
        <w:tc>
          <w:tcPr>
            <w:tcW w:w="813"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1CEFE185">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cs="宋体"/>
                <w:color w:val="auto"/>
                <w:kern w:val="0"/>
                <w:szCs w:val="21"/>
                <w:highlight w:val="none"/>
                <w:lang w:val="en-US" w:eastAsia="zh-CN"/>
              </w:rPr>
              <w:t>20</w:t>
            </w:r>
          </w:p>
        </w:tc>
        <w:tc>
          <w:tcPr>
            <w:tcW w:w="75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74F23F0">
            <w:pPr>
              <w:widowControl/>
              <w:spacing w:line="360" w:lineRule="auto"/>
              <w:jc w:val="center"/>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cs="宋体"/>
                <w:color w:val="auto"/>
                <w:kern w:val="0"/>
                <w:szCs w:val="21"/>
                <w:highlight w:val="none"/>
                <w:lang w:val="en-US" w:eastAsia="zh-CN"/>
              </w:rPr>
              <w:t>4960</w:t>
            </w:r>
          </w:p>
        </w:tc>
        <w:tc>
          <w:tcPr>
            <w:tcW w:w="65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D0FE501">
            <w:pPr>
              <w:keepNext w:val="0"/>
              <w:keepLines w:val="0"/>
              <w:widowControl/>
              <w:suppressLineNumbers w:val="0"/>
              <w:jc w:val="center"/>
              <w:textAlignment w:val="center"/>
              <w:rPr>
                <w:rFonts w:hint="eastAsia" w:ascii="宋体" w:hAnsi="宋体" w:eastAsia="宋体" w:cs="宋体"/>
                <w:b w:val="0"/>
                <w:bCs w:val="0"/>
                <w:color w:val="auto"/>
                <w:sz w:val="21"/>
                <w:szCs w:val="21"/>
                <w:highlight w:val="none"/>
                <w:vertAlign w:val="baseline"/>
                <w:lang w:val="en-US" w:eastAsia="zh-CN"/>
              </w:rPr>
            </w:pPr>
          </w:p>
        </w:tc>
        <w:tc>
          <w:tcPr>
            <w:tcW w:w="58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1762D64">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99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A1BD1CD">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18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54DF8AE">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c>
          <w:tcPr>
            <w:tcW w:w="189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1BE2A2">
            <w:pPr>
              <w:keepNext w:val="0"/>
              <w:keepLines w:val="0"/>
              <w:widowControl/>
              <w:suppressLineNumbers w:val="0"/>
              <w:jc w:val="center"/>
              <w:textAlignment w:val="center"/>
              <w:rPr>
                <w:rFonts w:hint="eastAsia" w:ascii="宋体" w:hAnsi="宋体" w:eastAsia="宋体" w:cs="宋体"/>
                <w:b w:val="0"/>
                <w:bCs w:val="0"/>
                <w:i w:val="0"/>
                <w:iCs w:val="0"/>
                <w:color w:val="auto"/>
                <w:kern w:val="0"/>
                <w:sz w:val="21"/>
                <w:szCs w:val="21"/>
                <w:highlight w:val="none"/>
                <w:u w:val="none"/>
                <w:lang w:val="en-US" w:eastAsia="zh-CN" w:bidi="ar"/>
              </w:rPr>
            </w:pPr>
          </w:p>
        </w:tc>
      </w:tr>
    </w:tbl>
    <w:tbl>
      <w:tblPr>
        <w:tblStyle w:val="14"/>
        <w:tblpPr w:leftFromText="180" w:rightFromText="180" w:vertAnchor="text" w:horzAnchor="page" w:tblpX="1426" w:tblpY="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9"/>
        <w:gridCol w:w="8827"/>
      </w:tblGrid>
      <w:tr w14:paraId="7597E0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6EB0BE">
            <w:pPr>
              <w:keepNext w:val="0"/>
              <w:keepLines w:val="0"/>
              <w:pageBreakBefore w:val="0"/>
              <w:kinsoku/>
              <w:wordWrap/>
              <w:overflowPunct/>
              <w:topLinePunct w:val="0"/>
              <w:autoSpaceDE/>
              <w:autoSpaceDN/>
              <w:bidi w:val="0"/>
              <w:adjustRightInd w:val="0"/>
              <w:snapToGrid w:val="0"/>
              <w:spacing w:beforeAutospacing="0" w:afterAutospacing="0" w:line="500" w:lineRule="exact"/>
              <w:ind w:firstLine="0" w:firstLineChars="0"/>
              <w:jc w:val="center"/>
              <w:textAlignment w:val="auto"/>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合计</w:t>
            </w:r>
          </w:p>
        </w:tc>
        <w:tc>
          <w:tcPr>
            <w:tcW w:w="882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604B8AA">
            <w:pPr>
              <w:widowControl/>
              <w:spacing w:line="360" w:lineRule="auto"/>
              <w:jc w:val="left"/>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保洁面积=道路面积（含绿化面积）+人行道面积</w:t>
            </w:r>
          </w:p>
          <w:p w14:paraId="07A0669D">
            <w:pPr>
              <w:widowControl/>
              <w:spacing w:line="360" w:lineRule="auto"/>
              <w:jc w:val="left"/>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=118971.3㎡（4960㎡）+18332.5㎡</w:t>
            </w:r>
          </w:p>
          <w:p w14:paraId="5ADAFEA5">
            <w:pPr>
              <w:keepNext w:val="0"/>
              <w:keepLines w:val="0"/>
              <w:pageBreakBefore w:val="0"/>
              <w:kinsoku/>
              <w:wordWrap/>
              <w:overflowPunct/>
              <w:topLinePunct w:val="0"/>
              <w:autoSpaceDE/>
              <w:autoSpaceDN/>
              <w:bidi w:val="0"/>
              <w:adjustRightInd w:val="0"/>
              <w:snapToGrid w:val="0"/>
              <w:spacing w:beforeAutospacing="0" w:afterAutospacing="0" w:line="500" w:lineRule="exact"/>
              <w:ind w:firstLine="0" w:firstLineChars="0"/>
              <w:jc w:val="left"/>
              <w:textAlignment w:val="auto"/>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kern w:val="0"/>
                <w:szCs w:val="21"/>
                <w:highlight w:val="none"/>
                <w:lang w:val="en-US" w:eastAsia="zh-CN"/>
              </w:rPr>
              <w:t>=137303.8㎡</w:t>
            </w:r>
          </w:p>
        </w:tc>
      </w:tr>
      <w:tr w14:paraId="089115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trPr>
        <w:tc>
          <w:tcPr>
            <w:tcW w:w="45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2759546">
            <w:pPr>
              <w:keepNext w:val="0"/>
              <w:keepLines w:val="0"/>
              <w:pageBreakBefore w:val="0"/>
              <w:kinsoku/>
              <w:wordWrap/>
              <w:overflowPunct/>
              <w:topLinePunct w:val="0"/>
              <w:autoSpaceDE/>
              <w:autoSpaceDN/>
              <w:bidi w:val="0"/>
              <w:adjustRightInd w:val="0"/>
              <w:snapToGrid w:val="0"/>
              <w:spacing w:beforeAutospacing="0" w:afterAutospacing="0" w:line="500" w:lineRule="exact"/>
              <w:ind w:firstLine="0" w:firstLineChars="0"/>
              <w:jc w:val="center"/>
              <w:textAlignment w:val="auto"/>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备注</w:t>
            </w:r>
          </w:p>
        </w:tc>
        <w:tc>
          <w:tcPr>
            <w:tcW w:w="882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58793A3">
            <w:pPr>
              <w:keepNext w:val="0"/>
              <w:keepLines w:val="0"/>
              <w:pageBreakBefore w:val="0"/>
              <w:kinsoku/>
              <w:wordWrap/>
              <w:overflowPunct/>
              <w:topLinePunct w:val="0"/>
              <w:autoSpaceDE/>
              <w:autoSpaceDN/>
              <w:bidi w:val="0"/>
              <w:adjustRightInd w:val="0"/>
              <w:snapToGrid w:val="0"/>
              <w:spacing w:beforeAutospacing="0" w:afterAutospacing="0" w:line="500" w:lineRule="exact"/>
              <w:ind w:firstLine="0" w:firstLineChars="0"/>
              <w:jc w:val="left"/>
              <w:textAlignment w:val="auto"/>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除以上明确的环卫保洁面积外，处于道路边线向外延伸2米范围（含“三边三地”等）也需中标人进行清理保洁。</w:t>
            </w:r>
          </w:p>
        </w:tc>
      </w:tr>
    </w:tbl>
    <w:p w14:paraId="69BC4CC6">
      <w:pPr>
        <w:keepNext w:val="0"/>
        <w:keepLines w:val="0"/>
        <w:pageBreakBefore w:val="0"/>
        <w:widowControl w:val="0"/>
        <w:kinsoku/>
        <w:wordWrap/>
        <w:overflowPunct/>
        <w:topLinePunct w:val="0"/>
        <w:autoSpaceDE/>
        <w:autoSpaceDN/>
        <w:bidi w:val="0"/>
        <w:adjustRightInd/>
        <w:snapToGrid w:val="0"/>
        <w:spacing w:after="0" w:line="360" w:lineRule="auto"/>
        <w:ind w:firstLine="420" w:firstLineChars="200"/>
        <w:jc w:val="both"/>
        <w:textAlignment w:val="auto"/>
        <w:outlineLvl w:val="0"/>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（1）如承包期内因道路新建、改建造成清扫保洁面积增减，以补充协议形式进行确定，具体面积按实际丈量面积为准。</w:t>
      </w:r>
    </w:p>
    <w:p w14:paraId="75608145">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2" w:firstLineChars="200"/>
        <w:jc w:val="both"/>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四、服务方式和要求</w:t>
      </w:r>
    </w:p>
    <w:p w14:paraId="7A782CA4">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2" w:firstLineChars="200"/>
        <w:jc w:val="both"/>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（一）服务方式</w:t>
      </w:r>
    </w:p>
    <w:p w14:paraId="4C7ABBF1">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采用全包干形式，即业务包干、经费包干。甲方将上述清扫保洁服务业务发包给乙方，乙方按甲方的要求和标准组织日常清扫工作、冲洗工作、保洁工作及管理工作，并接受甲方的指导、监督、检查、考核和验收，乙方未经甲方书面同意不得将业务转包或将项目的主体、关键性工作分包。乙方需在签订合同后一个月内申请业务行政主管部门颁发的《城市生活垃圾经营性清扫、收集、运输服务许可证》。</w:t>
      </w:r>
    </w:p>
    <w:p w14:paraId="78C3DE5E">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2" w:firstLineChars="200"/>
        <w:jc w:val="both"/>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（二）环境卫生质量要求</w:t>
      </w:r>
    </w:p>
    <w:p w14:paraId="0B5C190D">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1、城市道路、广场、步行街清扫保洁的质量要求：</w:t>
      </w:r>
    </w:p>
    <w:p w14:paraId="693CDCB4">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（1）日间，一至四级清扫保洁区域的路面废弃物总数应符合下表规定。</w:t>
      </w:r>
    </w:p>
    <w:p w14:paraId="48766A00">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2" w:firstLineChars="200"/>
        <w:jc w:val="both"/>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表1城市道路路面废弃物控制指标</w:t>
      </w:r>
    </w:p>
    <w:tbl>
      <w:tblPr>
        <w:tblStyle w:val="1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3" w:type="dxa"/>
          <w:bottom w:w="0" w:type="dxa"/>
          <w:right w:w="23" w:type="dxa"/>
        </w:tblCellMar>
      </w:tblPr>
      <w:tblGrid>
        <w:gridCol w:w="1221"/>
        <w:gridCol w:w="2442"/>
        <w:gridCol w:w="1738"/>
        <w:gridCol w:w="1925"/>
        <w:gridCol w:w="1786"/>
      </w:tblGrid>
      <w:tr w14:paraId="51E38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jc w:val="center"/>
        </w:trPr>
        <w:tc>
          <w:tcPr>
            <w:tcW w:w="1142" w:type="dxa"/>
            <w:tcBorders>
              <w:top w:val="single" w:color="auto" w:sz="4" w:space="0"/>
              <w:left w:val="single" w:color="auto" w:sz="4" w:space="0"/>
              <w:bottom w:val="single" w:color="auto" w:sz="4" w:space="0"/>
              <w:right w:val="single" w:color="auto" w:sz="4" w:space="0"/>
            </w:tcBorders>
            <w:noWrap w:val="0"/>
            <w:vAlign w:val="center"/>
          </w:tcPr>
          <w:p w14:paraId="007C4E4A">
            <w:pPr>
              <w:keepNext w:val="0"/>
              <w:keepLines w:val="0"/>
              <w:pageBreakBefore w:val="0"/>
              <w:widowControl w:val="0"/>
              <w:numPr>
                <w:ilvl w:val="0"/>
                <w:numId w:val="0"/>
              </w:numPr>
              <w:kinsoku/>
              <w:wordWrap/>
              <w:overflowPunct/>
              <w:topLinePunct w:val="0"/>
              <w:autoSpaceDE/>
              <w:autoSpaceDN/>
              <w:bidi w:val="0"/>
              <w:adjustRightInd/>
              <w:snapToGrid w:val="0"/>
              <w:spacing w:before="0"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保洁等级</w:t>
            </w:r>
          </w:p>
        </w:tc>
        <w:tc>
          <w:tcPr>
            <w:tcW w:w="2283" w:type="dxa"/>
            <w:tcBorders>
              <w:top w:val="single" w:color="auto" w:sz="4" w:space="0"/>
              <w:left w:val="single" w:color="auto" w:sz="4" w:space="0"/>
              <w:bottom w:val="single" w:color="auto" w:sz="4" w:space="0"/>
              <w:right w:val="single" w:color="auto" w:sz="4" w:space="0"/>
            </w:tcBorders>
            <w:noWrap w:val="0"/>
            <w:vAlign w:val="center"/>
          </w:tcPr>
          <w:p w14:paraId="502FD2CF">
            <w:pPr>
              <w:keepNext w:val="0"/>
              <w:keepLines w:val="0"/>
              <w:pageBreakBefore w:val="0"/>
              <w:widowControl w:val="0"/>
              <w:numPr>
                <w:ilvl w:val="0"/>
                <w:numId w:val="0"/>
              </w:numPr>
              <w:kinsoku/>
              <w:wordWrap/>
              <w:overflowPunct/>
              <w:topLinePunct w:val="0"/>
              <w:autoSpaceDE/>
              <w:autoSpaceDN/>
              <w:bidi w:val="0"/>
              <w:adjustRightInd/>
              <w:snapToGrid w:val="0"/>
              <w:spacing w:before="0"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果皮、纸屑、塑膜及其他杂物（件/500平方米）</w:t>
            </w:r>
          </w:p>
        </w:tc>
        <w:tc>
          <w:tcPr>
            <w:tcW w:w="1625" w:type="dxa"/>
            <w:tcBorders>
              <w:top w:val="single" w:color="auto" w:sz="4" w:space="0"/>
              <w:left w:val="single" w:color="auto" w:sz="4" w:space="0"/>
              <w:bottom w:val="single" w:color="auto" w:sz="4" w:space="0"/>
              <w:right w:val="single" w:color="auto" w:sz="4" w:space="0"/>
            </w:tcBorders>
            <w:noWrap w:val="0"/>
            <w:vAlign w:val="center"/>
          </w:tcPr>
          <w:p w14:paraId="6D2E0D8B">
            <w:pPr>
              <w:keepNext w:val="0"/>
              <w:keepLines w:val="0"/>
              <w:pageBreakBefore w:val="0"/>
              <w:widowControl w:val="0"/>
              <w:numPr>
                <w:ilvl w:val="0"/>
                <w:numId w:val="0"/>
              </w:numPr>
              <w:kinsoku/>
              <w:wordWrap/>
              <w:overflowPunct/>
              <w:topLinePunct w:val="0"/>
              <w:autoSpaceDE/>
              <w:autoSpaceDN/>
              <w:bidi w:val="0"/>
              <w:adjustRightInd/>
              <w:snapToGrid w:val="0"/>
              <w:spacing w:before="0"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烟蒂（个/500平方米）</w:t>
            </w:r>
          </w:p>
        </w:tc>
        <w:tc>
          <w:tcPr>
            <w:tcW w:w="1800" w:type="dxa"/>
            <w:tcBorders>
              <w:top w:val="single" w:color="auto" w:sz="4" w:space="0"/>
              <w:left w:val="single" w:color="auto" w:sz="4" w:space="0"/>
              <w:bottom w:val="single" w:color="auto" w:sz="4" w:space="0"/>
              <w:right w:val="single" w:color="auto" w:sz="4" w:space="0"/>
            </w:tcBorders>
            <w:noWrap w:val="0"/>
            <w:vAlign w:val="center"/>
          </w:tcPr>
          <w:p w14:paraId="1F58DA20">
            <w:pPr>
              <w:keepNext w:val="0"/>
              <w:keepLines w:val="0"/>
              <w:pageBreakBefore w:val="0"/>
              <w:widowControl w:val="0"/>
              <w:numPr>
                <w:ilvl w:val="0"/>
                <w:numId w:val="0"/>
              </w:numPr>
              <w:kinsoku/>
              <w:wordWrap/>
              <w:overflowPunct/>
              <w:topLinePunct w:val="0"/>
              <w:autoSpaceDE/>
              <w:autoSpaceDN/>
              <w:bidi w:val="0"/>
              <w:adjustRightInd/>
              <w:snapToGrid w:val="0"/>
              <w:spacing w:before="0"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污水、污渍（平方米/500平方米）</w:t>
            </w:r>
          </w:p>
        </w:tc>
        <w:tc>
          <w:tcPr>
            <w:tcW w:w="1669" w:type="dxa"/>
            <w:tcBorders>
              <w:top w:val="single" w:color="auto" w:sz="4" w:space="0"/>
              <w:left w:val="single" w:color="auto" w:sz="4" w:space="0"/>
              <w:bottom w:val="single" w:color="auto" w:sz="4" w:space="0"/>
              <w:right w:val="single" w:color="auto" w:sz="4" w:space="0"/>
            </w:tcBorders>
            <w:noWrap w:val="0"/>
            <w:vAlign w:val="center"/>
          </w:tcPr>
          <w:p w14:paraId="72226CB8">
            <w:pPr>
              <w:keepNext w:val="0"/>
              <w:keepLines w:val="0"/>
              <w:pageBreakBefore w:val="0"/>
              <w:widowControl w:val="0"/>
              <w:numPr>
                <w:ilvl w:val="0"/>
                <w:numId w:val="0"/>
              </w:numPr>
              <w:kinsoku/>
              <w:wordWrap/>
              <w:overflowPunct/>
              <w:topLinePunct w:val="0"/>
              <w:autoSpaceDE/>
              <w:autoSpaceDN/>
              <w:bidi w:val="0"/>
              <w:adjustRightInd/>
              <w:snapToGrid w:val="0"/>
              <w:spacing w:before="0"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尘土量（千克/500平方米）</w:t>
            </w:r>
          </w:p>
        </w:tc>
      </w:tr>
      <w:tr w14:paraId="6A2C36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jc w:val="center"/>
        </w:trPr>
        <w:tc>
          <w:tcPr>
            <w:tcW w:w="1142" w:type="dxa"/>
            <w:tcBorders>
              <w:top w:val="single" w:color="auto" w:sz="4" w:space="0"/>
              <w:left w:val="single" w:color="auto" w:sz="4" w:space="0"/>
              <w:bottom w:val="single" w:color="auto" w:sz="4" w:space="0"/>
              <w:right w:val="single" w:color="auto" w:sz="4" w:space="0"/>
            </w:tcBorders>
            <w:noWrap w:val="0"/>
            <w:vAlign w:val="top"/>
          </w:tcPr>
          <w:p w14:paraId="4CC6BDD6">
            <w:pPr>
              <w:keepNext w:val="0"/>
              <w:keepLines w:val="0"/>
              <w:pageBreakBefore w:val="0"/>
              <w:widowControl w:val="0"/>
              <w:numPr>
                <w:ilvl w:val="0"/>
                <w:numId w:val="0"/>
              </w:numPr>
              <w:kinsoku/>
              <w:wordWrap/>
              <w:overflowPunct/>
              <w:topLinePunct w:val="0"/>
              <w:autoSpaceDE/>
              <w:autoSpaceDN/>
              <w:bidi w:val="0"/>
              <w:adjustRightInd/>
              <w:snapToGrid w:val="0"/>
              <w:spacing w:before="0" w:after="0" w:line="440" w:lineRule="exact"/>
              <w:ind w:firstLine="420" w:firstLineChars="20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一级</w:t>
            </w:r>
          </w:p>
        </w:tc>
        <w:tc>
          <w:tcPr>
            <w:tcW w:w="2283" w:type="dxa"/>
            <w:tcBorders>
              <w:top w:val="single" w:color="auto" w:sz="4" w:space="0"/>
              <w:left w:val="single" w:color="auto" w:sz="4" w:space="0"/>
              <w:bottom w:val="single" w:color="auto" w:sz="4" w:space="0"/>
              <w:right w:val="single" w:color="auto" w:sz="4" w:space="0"/>
            </w:tcBorders>
            <w:noWrap w:val="0"/>
            <w:vAlign w:val="center"/>
          </w:tcPr>
          <w:p w14:paraId="498C6FED">
            <w:pPr>
              <w:keepNext w:val="0"/>
              <w:keepLines w:val="0"/>
              <w:pageBreakBefore w:val="0"/>
              <w:widowControl w:val="0"/>
              <w:numPr>
                <w:ilvl w:val="0"/>
                <w:numId w:val="0"/>
              </w:numPr>
              <w:kinsoku/>
              <w:wordWrap/>
              <w:overflowPunct/>
              <w:topLinePunct w:val="0"/>
              <w:autoSpaceDE/>
              <w:autoSpaceDN/>
              <w:bidi w:val="0"/>
              <w:adjustRightInd/>
              <w:snapToGrid w:val="0"/>
              <w:spacing w:before="0"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w:t>
            </w:r>
          </w:p>
        </w:tc>
        <w:tc>
          <w:tcPr>
            <w:tcW w:w="1625" w:type="dxa"/>
            <w:tcBorders>
              <w:top w:val="single" w:color="auto" w:sz="4" w:space="0"/>
              <w:left w:val="single" w:color="auto" w:sz="4" w:space="0"/>
              <w:bottom w:val="single" w:color="auto" w:sz="4" w:space="0"/>
              <w:right w:val="single" w:color="auto" w:sz="4" w:space="0"/>
            </w:tcBorders>
            <w:noWrap w:val="0"/>
            <w:vAlign w:val="center"/>
          </w:tcPr>
          <w:p w14:paraId="0F4E6F76">
            <w:pPr>
              <w:keepNext w:val="0"/>
              <w:keepLines w:val="0"/>
              <w:pageBreakBefore w:val="0"/>
              <w:widowControl w:val="0"/>
              <w:numPr>
                <w:ilvl w:val="0"/>
                <w:numId w:val="0"/>
              </w:numPr>
              <w:kinsoku/>
              <w:wordWrap/>
              <w:overflowPunct/>
              <w:topLinePunct w:val="0"/>
              <w:autoSpaceDE/>
              <w:autoSpaceDN/>
              <w:bidi w:val="0"/>
              <w:adjustRightInd/>
              <w:snapToGrid w:val="0"/>
              <w:spacing w:before="0"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w:t>
            </w:r>
          </w:p>
        </w:tc>
        <w:tc>
          <w:tcPr>
            <w:tcW w:w="1800" w:type="dxa"/>
            <w:tcBorders>
              <w:top w:val="single" w:color="auto" w:sz="4" w:space="0"/>
              <w:left w:val="single" w:color="auto" w:sz="4" w:space="0"/>
              <w:bottom w:val="single" w:color="auto" w:sz="4" w:space="0"/>
              <w:right w:val="single" w:color="auto" w:sz="4" w:space="0"/>
            </w:tcBorders>
            <w:noWrap w:val="0"/>
            <w:vAlign w:val="center"/>
          </w:tcPr>
          <w:p w14:paraId="76627CA3">
            <w:pPr>
              <w:keepNext w:val="0"/>
              <w:keepLines w:val="0"/>
              <w:pageBreakBefore w:val="0"/>
              <w:widowControl w:val="0"/>
              <w:numPr>
                <w:ilvl w:val="0"/>
                <w:numId w:val="0"/>
              </w:numPr>
              <w:kinsoku/>
              <w:wordWrap/>
              <w:overflowPunct/>
              <w:topLinePunct w:val="0"/>
              <w:autoSpaceDE/>
              <w:autoSpaceDN/>
              <w:bidi w:val="0"/>
              <w:adjustRightInd/>
              <w:snapToGrid w:val="0"/>
              <w:spacing w:before="0"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无</w:t>
            </w:r>
          </w:p>
        </w:tc>
        <w:tc>
          <w:tcPr>
            <w:tcW w:w="1669" w:type="dxa"/>
            <w:tcBorders>
              <w:top w:val="single" w:color="auto" w:sz="4" w:space="0"/>
              <w:left w:val="single" w:color="auto" w:sz="4" w:space="0"/>
              <w:bottom w:val="single" w:color="auto" w:sz="4" w:space="0"/>
              <w:right w:val="single" w:color="auto" w:sz="4" w:space="0"/>
            </w:tcBorders>
            <w:noWrap w:val="0"/>
            <w:vAlign w:val="center"/>
          </w:tcPr>
          <w:p w14:paraId="23029E3E">
            <w:pPr>
              <w:keepNext w:val="0"/>
              <w:keepLines w:val="0"/>
              <w:pageBreakBefore w:val="0"/>
              <w:widowControl w:val="0"/>
              <w:numPr>
                <w:ilvl w:val="0"/>
                <w:numId w:val="0"/>
              </w:numPr>
              <w:kinsoku/>
              <w:wordWrap/>
              <w:overflowPunct/>
              <w:topLinePunct w:val="0"/>
              <w:autoSpaceDE/>
              <w:autoSpaceDN/>
              <w:bidi w:val="0"/>
              <w:adjustRightInd/>
              <w:snapToGrid w:val="0"/>
              <w:spacing w:before="0"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w:t>
            </w:r>
          </w:p>
        </w:tc>
      </w:tr>
      <w:tr w14:paraId="4D04CA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jc w:val="center"/>
        </w:trPr>
        <w:tc>
          <w:tcPr>
            <w:tcW w:w="1142" w:type="dxa"/>
            <w:tcBorders>
              <w:top w:val="single" w:color="auto" w:sz="4" w:space="0"/>
              <w:left w:val="single" w:color="auto" w:sz="4" w:space="0"/>
              <w:bottom w:val="single" w:color="auto" w:sz="4" w:space="0"/>
              <w:right w:val="single" w:color="auto" w:sz="4" w:space="0"/>
            </w:tcBorders>
            <w:noWrap w:val="0"/>
            <w:vAlign w:val="top"/>
          </w:tcPr>
          <w:p w14:paraId="54B864CD">
            <w:pPr>
              <w:keepNext w:val="0"/>
              <w:keepLines w:val="0"/>
              <w:pageBreakBefore w:val="0"/>
              <w:widowControl w:val="0"/>
              <w:numPr>
                <w:ilvl w:val="0"/>
                <w:numId w:val="0"/>
              </w:numPr>
              <w:kinsoku/>
              <w:wordWrap/>
              <w:overflowPunct/>
              <w:topLinePunct w:val="0"/>
              <w:autoSpaceDE/>
              <w:autoSpaceDN/>
              <w:bidi w:val="0"/>
              <w:adjustRightInd/>
              <w:snapToGrid w:val="0"/>
              <w:spacing w:before="0" w:after="0" w:line="440" w:lineRule="exact"/>
              <w:ind w:firstLine="420" w:firstLineChars="20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二级</w:t>
            </w:r>
          </w:p>
        </w:tc>
        <w:tc>
          <w:tcPr>
            <w:tcW w:w="2283" w:type="dxa"/>
            <w:tcBorders>
              <w:top w:val="single" w:color="auto" w:sz="4" w:space="0"/>
              <w:left w:val="single" w:color="auto" w:sz="4" w:space="0"/>
              <w:bottom w:val="single" w:color="auto" w:sz="4" w:space="0"/>
              <w:right w:val="single" w:color="auto" w:sz="4" w:space="0"/>
            </w:tcBorders>
            <w:noWrap w:val="0"/>
            <w:vAlign w:val="center"/>
          </w:tcPr>
          <w:p w14:paraId="076A2307">
            <w:pPr>
              <w:keepNext w:val="0"/>
              <w:keepLines w:val="0"/>
              <w:pageBreakBefore w:val="0"/>
              <w:widowControl w:val="0"/>
              <w:numPr>
                <w:ilvl w:val="0"/>
                <w:numId w:val="0"/>
              </w:numPr>
              <w:kinsoku/>
              <w:wordWrap/>
              <w:overflowPunct/>
              <w:topLinePunct w:val="0"/>
              <w:autoSpaceDE/>
              <w:autoSpaceDN/>
              <w:bidi w:val="0"/>
              <w:adjustRightInd/>
              <w:snapToGrid w:val="0"/>
              <w:spacing w:before="0"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w:t>
            </w:r>
          </w:p>
        </w:tc>
        <w:tc>
          <w:tcPr>
            <w:tcW w:w="1625" w:type="dxa"/>
            <w:tcBorders>
              <w:top w:val="single" w:color="auto" w:sz="4" w:space="0"/>
              <w:left w:val="single" w:color="auto" w:sz="4" w:space="0"/>
              <w:bottom w:val="single" w:color="auto" w:sz="4" w:space="0"/>
              <w:right w:val="single" w:color="auto" w:sz="4" w:space="0"/>
            </w:tcBorders>
            <w:noWrap w:val="0"/>
            <w:vAlign w:val="center"/>
          </w:tcPr>
          <w:p w14:paraId="464A118E">
            <w:pPr>
              <w:keepNext w:val="0"/>
              <w:keepLines w:val="0"/>
              <w:pageBreakBefore w:val="0"/>
              <w:widowControl w:val="0"/>
              <w:numPr>
                <w:ilvl w:val="0"/>
                <w:numId w:val="0"/>
              </w:numPr>
              <w:kinsoku/>
              <w:wordWrap/>
              <w:overflowPunct/>
              <w:topLinePunct w:val="0"/>
              <w:autoSpaceDE/>
              <w:autoSpaceDN/>
              <w:bidi w:val="0"/>
              <w:adjustRightInd/>
              <w:snapToGrid w:val="0"/>
              <w:spacing w:before="0"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w:t>
            </w:r>
          </w:p>
        </w:tc>
        <w:tc>
          <w:tcPr>
            <w:tcW w:w="1800" w:type="dxa"/>
            <w:tcBorders>
              <w:top w:val="single" w:color="auto" w:sz="4" w:space="0"/>
              <w:left w:val="single" w:color="auto" w:sz="4" w:space="0"/>
              <w:bottom w:val="single" w:color="auto" w:sz="4" w:space="0"/>
              <w:right w:val="single" w:color="auto" w:sz="4" w:space="0"/>
            </w:tcBorders>
            <w:noWrap w:val="0"/>
            <w:vAlign w:val="center"/>
          </w:tcPr>
          <w:p w14:paraId="4BFE8AEB">
            <w:pPr>
              <w:keepNext w:val="0"/>
              <w:keepLines w:val="0"/>
              <w:pageBreakBefore w:val="0"/>
              <w:widowControl w:val="0"/>
              <w:numPr>
                <w:ilvl w:val="0"/>
                <w:numId w:val="0"/>
              </w:numPr>
              <w:kinsoku/>
              <w:wordWrap/>
              <w:overflowPunct/>
              <w:topLinePunct w:val="0"/>
              <w:autoSpaceDE/>
              <w:autoSpaceDN/>
              <w:bidi w:val="0"/>
              <w:adjustRightInd/>
              <w:snapToGrid w:val="0"/>
              <w:spacing w:before="0"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无</w:t>
            </w:r>
          </w:p>
        </w:tc>
        <w:tc>
          <w:tcPr>
            <w:tcW w:w="1669" w:type="dxa"/>
            <w:tcBorders>
              <w:top w:val="single" w:color="auto" w:sz="4" w:space="0"/>
              <w:left w:val="single" w:color="auto" w:sz="4" w:space="0"/>
              <w:bottom w:val="single" w:color="auto" w:sz="4" w:space="0"/>
              <w:right w:val="single" w:color="auto" w:sz="4" w:space="0"/>
            </w:tcBorders>
            <w:noWrap w:val="0"/>
            <w:vAlign w:val="center"/>
          </w:tcPr>
          <w:p w14:paraId="5E219C80">
            <w:pPr>
              <w:keepNext w:val="0"/>
              <w:keepLines w:val="0"/>
              <w:pageBreakBefore w:val="0"/>
              <w:widowControl w:val="0"/>
              <w:numPr>
                <w:ilvl w:val="0"/>
                <w:numId w:val="0"/>
              </w:numPr>
              <w:kinsoku/>
              <w:wordWrap/>
              <w:overflowPunct/>
              <w:topLinePunct w:val="0"/>
              <w:autoSpaceDE/>
              <w:autoSpaceDN/>
              <w:bidi w:val="0"/>
              <w:adjustRightInd/>
              <w:snapToGrid w:val="0"/>
              <w:spacing w:before="0"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≤10</w:t>
            </w:r>
          </w:p>
        </w:tc>
      </w:tr>
      <w:tr w14:paraId="70A3C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jc w:val="center"/>
        </w:trPr>
        <w:tc>
          <w:tcPr>
            <w:tcW w:w="1142" w:type="dxa"/>
            <w:tcBorders>
              <w:top w:val="single" w:color="auto" w:sz="4" w:space="0"/>
              <w:left w:val="single" w:color="auto" w:sz="4" w:space="0"/>
              <w:bottom w:val="single" w:color="auto" w:sz="4" w:space="0"/>
              <w:right w:val="single" w:color="auto" w:sz="4" w:space="0"/>
            </w:tcBorders>
            <w:noWrap w:val="0"/>
            <w:vAlign w:val="top"/>
          </w:tcPr>
          <w:p w14:paraId="54863056">
            <w:pPr>
              <w:keepNext w:val="0"/>
              <w:keepLines w:val="0"/>
              <w:pageBreakBefore w:val="0"/>
              <w:widowControl w:val="0"/>
              <w:numPr>
                <w:ilvl w:val="0"/>
                <w:numId w:val="0"/>
              </w:numPr>
              <w:kinsoku/>
              <w:wordWrap/>
              <w:overflowPunct/>
              <w:topLinePunct w:val="0"/>
              <w:autoSpaceDE/>
              <w:autoSpaceDN/>
              <w:bidi w:val="0"/>
              <w:adjustRightInd/>
              <w:snapToGrid w:val="0"/>
              <w:spacing w:before="0" w:after="0" w:line="440" w:lineRule="exact"/>
              <w:ind w:firstLine="420" w:firstLineChars="20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三级</w:t>
            </w:r>
          </w:p>
        </w:tc>
        <w:tc>
          <w:tcPr>
            <w:tcW w:w="2283" w:type="dxa"/>
            <w:tcBorders>
              <w:top w:val="single" w:color="auto" w:sz="4" w:space="0"/>
              <w:left w:val="single" w:color="auto" w:sz="4" w:space="0"/>
              <w:bottom w:val="single" w:color="auto" w:sz="4" w:space="0"/>
              <w:right w:val="single" w:color="auto" w:sz="4" w:space="0"/>
            </w:tcBorders>
            <w:noWrap w:val="0"/>
            <w:vAlign w:val="center"/>
          </w:tcPr>
          <w:p w14:paraId="5226B39F">
            <w:pPr>
              <w:keepNext w:val="0"/>
              <w:keepLines w:val="0"/>
              <w:pageBreakBefore w:val="0"/>
              <w:widowControl w:val="0"/>
              <w:numPr>
                <w:ilvl w:val="0"/>
                <w:numId w:val="0"/>
              </w:numPr>
              <w:kinsoku/>
              <w:wordWrap/>
              <w:overflowPunct/>
              <w:topLinePunct w:val="0"/>
              <w:autoSpaceDE/>
              <w:autoSpaceDN/>
              <w:bidi w:val="0"/>
              <w:adjustRightInd/>
              <w:snapToGrid w:val="0"/>
              <w:spacing w:before="0"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w:t>
            </w:r>
          </w:p>
        </w:tc>
        <w:tc>
          <w:tcPr>
            <w:tcW w:w="1625" w:type="dxa"/>
            <w:tcBorders>
              <w:top w:val="single" w:color="auto" w:sz="4" w:space="0"/>
              <w:left w:val="single" w:color="auto" w:sz="4" w:space="0"/>
              <w:bottom w:val="single" w:color="auto" w:sz="4" w:space="0"/>
              <w:right w:val="single" w:color="auto" w:sz="4" w:space="0"/>
            </w:tcBorders>
            <w:noWrap w:val="0"/>
            <w:vAlign w:val="center"/>
          </w:tcPr>
          <w:p w14:paraId="5F22DDEF">
            <w:pPr>
              <w:keepNext w:val="0"/>
              <w:keepLines w:val="0"/>
              <w:pageBreakBefore w:val="0"/>
              <w:widowControl w:val="0"/>
              <w:numPr>
                <w:ilvl w:val="0"/>
                <w:numId w:val="0"/>
              </w:numPr>
              <w:kinsoku/>
              <w:wordWrap/>
              <w:overflowPunct/>
              <w:topLinePunct w:val="0"/>
              <w:autoSpaceDE/>
              <w:autoSpaceDN/>
              <w:bidi w:val="0"/>
              <w:adjustRightInd/>
              <w:snapToGrid w:val="0"/>
              <w:spacing w:before="0"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w:t>
            </w:r>
          </w:p>
        </w:tc>
        <w:tc>
          <w:tcPr>
            <w:tcW w:w="1800" w:type="dxa"/>
            <w:tcBorders>
              <w:top w:val="single" w:color="auto" w:sz="4" w:space="0"/>
              <w:left w:val="single" w:color="auto" w:sz="4" w:space="0"/>
              <w:bottom w:val="single" w:color="auto" w:sz="4" w:space="0"/>
              <w:right w:val="single" w:color="auto" w:sz="4" w:space="0"/>
            </w:tcBorders>
            <w:noWrap w:val="0"/>
            <w:vAlign w:val="center"/>
          </w:tcPr>
          <w:p w14:paraId="48DBF212">
            <w:pPr>
              <w:keepNext w:val="0"/>
              <w:keepLines w:val="0"/>
              <w:pageBreakBefore w:val="0"/>
              <w:widowControl w:val="0"/>
              <w:numPr>
                <w:ilvl w:val="0"/>
                <w:numId w:val="0"/>
              </w:numPr>
              <w:kinsoku/>
              <w:wordWrap/>
              <w:overflowPunct/>
              <w:topLinePunct w:val="0"/>
              <w:autoSpaceDE/>
              <w:autoSpaceDN/>
              <w:bidi w:val="0"/>
              <w:adjustRightInd/>
              <w:snapToGrid w:val="0"/>
              <w:spacing w:before="0"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无</w:t>
            </w:r>
          </w:p>
        </w:tc>
        <w:tc>
          <w:tcPr>
            <w:tcW w:w="1669" w:type="dxa"/>
            <w:tcBorders>
              <w:top w:val="single" w:color="auto" w:sz="4" w:space="0"/>
              <w:left w:val="single" w:color="auto" w:sz="4" w:space="0"/>
              <w:bottom w:val="single" w:color="auto" w:sz="4" w:space="0"/>
              <w:right w:val="single" w:color="auto" w:sz="4" w:space="0"/>
            </w:tcBorders>
            <w:noWrap w:val="0"/>
            <w:vAlign w:val="center"/>
          </w:tcPr>
          <w:p w14:paraId="3D430CB5">
            <w:pPr>
              <w:keepNext w:val="0"/>
              <w:keepLines w:val="0"/>
              <w:pageBreakBefore w:val="0"/>
              <w:widowControl w:val="0"/>
              <w:numPr>
                <w:ilvl w:val="0"/>
                <w:numId w:val="0"/>
              </w:numPr>
              <w:kinsoku/>
              <w:wordWrap/>
              <w:overflowPunct/>
              <w:topLinePunct w:val="0"/>
              <w:autoSpaceDE/>
              <w:autoSpaceDN/>
              <w:bidi w:val="0"/>
              <w:adjustRightInd/>
              <w:snapToGrid w:val="0"/>
              <w:spacing w:before="0"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≤15</w:t>
            </w:r>
          </w:p>
        </w:tc>
      </w:tr>
      <w:tr w14:paraId="50E69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494" w:hRule="atLeast"/>
          <w:jc w:val="center"/>
        </w:trPr>
        <w:tc>
          <w:tcPr>
            <w:tcW w:w="1142" w:type="dxa"/>
            <w:tcBorders>
              <w:top w:val="single" w:color="auto" w:sz="4" w:space="0"/>
              <w:left w:val="single" w:color="auto" w:sz="4" w:space="0"/>
              <w:bottom w:val="single" w:color="auto" w:sz="4" w:space="0"/>
              <w:right w:val="single" w:color="auto" w:sz="4" w:space="0"/>
            </w:tcBorders>
            <w:noWrap w:val="0"/>
            <w:vAlign w:val="top"/>
          </w:tcPr>
          <w:p w14:paraId="72E78F92">
            <w:pPr>
              <w:keepNext w:val="0"/>
              <w:keepLines w:val="0"/>
              <w:pageBreakBefore w:val="0"/>
              <w:widowControl w:val="0"/>
              <w:numPr>
                <w:ilvl w:val="0"/>
                <w:numId w:val="0"/>
              </w:numPr>
              <w:kinsoku/>
              <w:wordWrap/>
              <w:overflowPunct/>
              <w:topLinePunct w:val="0"/>
              <w:autoSpaceDE/>
              <w:autoSpaceDN/>
              <w:bidi w:val="0"/>
              <w:adjustRightInd/>
              <w:snapToGrid w:val="0"/>
              <w:spacing w:before="0" w:after="0" w:line="440" w:lineRule="exact"/>
              <w:ind w:firstLine="420" w:firstLineChars="20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四级</w:t>
            </w:r>
          </w:p>
        </w:tc>
        <w:tc>
          <w:tcPr>
            <w:tcW w:w="2283" w:type="dxa"/>
            <w:tcBorders>
              <w:top w:val="single" w:color="auto" w:sz="4" w:space="0"/>
              <w:left w:val="single" w:color="auto" w:sz="4" w:space="0"/>
              <w:bottom w:val="single" w:color="auto" w:sz="4" w:space="0"/>
              <w:right w:val="single" w:color="auto" w:sz="4" w:space="0"/>
            </w:tcBorders>
            <w:noWrap w:val="0"/>
            <w:vAlign w:val="center"/>
          </w:tcPr>
          <w:p w14:paraId="083C304F">
            <w:pPr>
              <w:keepNext w:val="0"/>
              <w:keepLines w:val="0"/>
              <w:pageBreakBefore w:val="0"/>
              <w:widowControl w:val="0"/>
              <w:numPr>
                <w:ilvl w:val="0"/>
                <w:numId w:val="0"/>
              </w:numPr>
              <w:kinsoku/>
              <w:wordWrap/>
              <w:overflowPunct/>
              <w:topLinePunct w:val="0"/>
              <w:autoSpaceDE/>
              <w:autoSpaceDN/>
              <w:bidi w:val="0"/>
              <w:adjustRightInd/>
              <w:snapToGrid w:val="0"/>
              <w:spacing w:before="0"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w:t>
            </w:r>
          </w:p>
        </w:tc>
        <w:tc>
          <w:tcPr>
            <w:tcW w:w="1625" w:type="dxa"/>
            <w:tcBorders>
              <w:top w:val="single" w:color="auto" w:sz="4" w:space="0"/>
              <w:left w:val="single" w:color="auto" w:sz="4" w:space="0"/>
              <w:bottom w:val="single" w:color="auto" w:sz="4" w:space="0"/>
              <w:right w:val="single" w:color="auto" w:sz="4" w:space="0"/>
            </w:tcBorders>
            <w:noWrap w:val="0"/>
            <w:vAlign w:val="center"/>
          </w:tcPr>
          <w:p w14:paraId="166FEFA2">
            <w:pPr>
              <w:keepNext w:val="0"/>
              <w:keepLines w:val="0"/>
              <w:pageBreakBefore w:val="0"/>
              <w:widowControl w:val="0"/>
              <w:numPr>
                <w:ilvl w:val="0"/>
                <w:numId w:val="0"/>
              </w:numPr>
              <w:kinsoku/>
              <w:wordWrap/>
              <w:overflowPunct/>
              <w:topLinePunct w:val="0"/>
              <w:autoSpaceDE/>
              <w:autoSpaceDN/>
              <w:bidi w:val="0"/>
              <w:adjustRightInd/>
              <w:snapToGrid w:val="0"/>
              <w:spacing w:before="0"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w:t>
            </w:r>
          </w:p>
        </w:tc>
        <w:tc>
          <w:tcPr>
            <w:tcW w:w="1800" w:type="dxa"/>
            <w:tcBorders>
              <w:top w:val="single" w:color="auto" w:sz="4" w:space="0"/>
              <w:left w:val="single" w:color="auto" w:sz="4" w:space="0"/>
              <w:bottom w:val="single" w:color="auto" w:sz="4" w:space="0"/>
              <w:right w:val="single" w:color="auto" w:sz="4" w:space="0"/>
            </w:tcBorders>
            <w:noWrap w:val="0"/>
            <w:vAlign w:val="center"/>
          </w:tcPr>
          <w:p w14:paraId="199B4E4D">
            <w:pPr>
              <w:keepNext w:val="0"/>
              <w:keepLines w:val="0"/>
              <w:pageBreakBefore w:val="0"/>
              <w:widowControl w:val="0"/>
              <w:numPr>
                <w:ilvl w:val="0"/>
                <w:numId w:val="0"/>
              </w:numPr>
              <w:kinsoku/>
              <w:wordWrap/>
              <w:overflowPunct/>
              <w:topLinePunct w:val="0"/>
              <w:autoSpaceDE/>
              <w:autoSpaceDN/>
              <w:bidi w:val="0"/>
              <w:adjustRightInd/>
              <w:snapToGrid w:val="0"/>
              <w:spacing w:before="0"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0.5</w:t>
            </w:r>
          </w:p>
        </w:tc>
        <w:tc>
          <w:tcPr>
            <w:tcW w:w="1669" w:type="dxa"/>
            <w:tcBorders>
              <w:top w:val="single" w:color="auto" w:sz="4" w:space="0"/>
              <w:left w:val="single" w:color="auto" w:sz="4" w:space="0"/>
              <w:bottom w:val="single" w:color="auto" w:sz="4" w:space="0"/>
              <w:right w:val="single" w:color="auto" w:sz="4" w:space="0"/>
            </w:tcBorders>
            <w:noWrap w:val="0"/>
            <w:vAlign w:val="center"/>
          </w:tcPr>
          <w:p w14:paraId="5D998B51">
            <w:pPr>
              <w:keepNext w:val="0"/>
              <w:keepLines w:val="0"/>
              <w:pageBreakBefore w:val="0"/>
              <w:widowControl w:val="0"/>
              <w:numPr>
                <w:ilvl w:val="0"/>
                <w:numId w:val="0"/>
              </w:numPr>
              <w:kinsoku/>
              <w:wordWrap/>
              <w:overflowPunct/>
              <w:topLinePunct w:val="0"/>
              <w:autoSpaceDE/>
              <w:autoSpaceDN/>
              <w:bidi w:val="0"/>
              <w:adjustRightInd/>
              <w:snapToGrid w:val="0"/>
              <w:spacing w:before="0"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≤25</w:t>
            </w:r>
          </w:p>
        </w:tc>
      </w:tr>
    </w:tbl>
    <w:p w14:paraId="1D689E8C">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（2）夜间保洁时，一级清扫保洁道路的路面垃圾杂物（仅计塑料袋、纸屑、饭盒等超过火柴盒大小的较大垃圾）每500平方米不超过4件，二至四级清扫保洁道路的路面垃圾杂物每500平方米不超过8件。</w:t>
      </w:r>
    </w:p>
    <w:p w14:paraId="4E769DA8">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2、交通护栏、灯杆保洁质量要求：</w:t>
      </w:r>
    </w:p>
    <w:p w14:paraId="62BD2104">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（1）交通护栏无明显积尘、无明显污迹；</w:t>
      </w:r>
    </w:p>
    <w:p w14:paraId="09BE13AC">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（2）灯杆无明显积尘、无明显污迹。</w:t>
      </w:r>
    </w:p>
    <w:p w14:paraId="7652C0A7">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3、道路两侧休闲椅、广告牌、路牌等设施的清理应符合以下要求：</w:t>
      </w:r>
    </w:p>
    <w:p w14:paraId="08378B21">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（1）道路两侧休闲椅、康体娱乐设施、雕塑等无明显积尘、无明显污迹；</w:t>
      </w:r>
    </w:p>
    <w:p w14:paraId="4DF480D8">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（2）道路两侧广告牌、路牌、邮筒、读报栏、站亭等设施无污迹、积尘。</w:t>
      </w:r>
    </w:p>
    <w:p w14:paraId="7C1E205E">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4、人行天桥的保洁应符合以下要求：</w:t>
      </w:r>
    </w:p>
    <w:p w14:paraId="004D8E89">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（1）人行天桥应与所连接的道路保洁质量标准相同，人行天桥桥面应无明显垃圾，注意清理口香糖渣等污垢，做到桥面见本色，阶梯、扶手、栏杆应干净整洁，无乱张贴、乱涂写；</w:t>
      </w:r>
    </w:p>
    <w:p w14:paraId="2C8FAF8F">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（2）人行天桥雨篷应定期进行清理，确保无暴露垃圾。</w:t>
      </w:r>
    </w:p>
    <w:p w14:paraId="4D5B3493">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 xml:space="preserve">5、地下人行通道的保洁应符合以下要求： </w:t>
      </w:r>
    </w:p>
    <w:p w14:paraId="64628512">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地下人行通道应与所连接的道路保洁质量标准相同，地下人行通道地面、阶梯、扶手应干净，注意清理口香糖渣等污垢，做到地面见本色，两侧墙面无乱张贴、乱涂写。</w:t>
      </w:r>
    </w:p>
    <w:p w14:paraId="287C74B4">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6、车行隧道的保洁应符合以下要求：</w:t>
      </w:r>
    </w:p>
    <w:p w14:paraId="484B00B8">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（1）车行隧道的路面应干净，无积存污水和垃圾；</w:t>
      </w:r>
    </w:p>
    <w:p w14:paraId="0BECE63A">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（2）隧道两壁应无明显污物；</w:t>
      </w:r>
    </w:p>
    <w:p w14:paraId="1F998E2D">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（3）隧道进出口保洁质量应与所连接路段保洁质量标准相同。</w:t>
      </w:r>
    </w:p>
    <w:p w14:paraId="1523656D">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2" w:firstLineChars="200"/>
        <w:jc w:val="both"/>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（三）环卫保洁作业要求</w:t>
      </w:r>
    </w:p>
    <w:p w14:paraId="7970D0AE">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2" w:firstLineChars="200"/>
        <w:jc w:val="both"/>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针对服务范围内相应道路、区域养护等级，分类落实不同等级作业要求。</w:t>
      </w:r>
    </w:p>
    <w:p w14:paraId="0F945FEE">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1、三级区域</w:t>
      </w:r>
    </w:p>
    <w:p w14:paraId="24B1780C">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（1）3.3虎门镇一般省道、一般县道、乡村公路</w:t>
      </w:r>
    </w:p>
    <w:p w14:paraId="29C68CD2">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①清扫作业：机械化清扫率达到90%以上，不能机械化作业区域采用人工进行清扫作业，每日清扫次数不少于1次；人行道实行人工清扫，每日清扫次数不少于1次。</w:t>
      </w:r>
    </w:p>
    <w:p w14:paraId="36B9E28A">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②保洁作业：机动车道使用机械化车辆辅以人工保洁方式进行保洁，人行道实行人工保洁作业，保洁时间12小时。</w:t>
      </w:r>
    </w:p>
    <w:p w14:paraId="2AB7A214">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③清洗作业：机动车道使用高压冲洗车进行冲洗作业，冲洗次数不少于1次/3日；路沿石冲洗使用小型冲洗车作业，冲洗次数不少于1次/月;人行道冲刷除尘采用高压水枪进行洗刷，不少于1次/月，果皮箱、垃圾收集器、灯杆、护栏清洗频次不少于1次/月。</w:t>
      </w:r>
    </w:p>
    <w:p w14:paraId="60290CF2">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④洒水作业：洒水次数不少于1次/日，阴雨天气可减少或不进行洒水。</w:t>
      </w:r>
    </w:p>
    <w:p w14:paraId="44CADA40">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⑤绿化带、树池、背景林清理作业：宜采用人工对白色垃圾进行清理，保洁时间不少于8小时/日。</w:t>
      </w:r>
    </w:p>
    <w:p w14:paraId="5EEECF6C">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⑥果皮箱、垃圾收集器清掏擦拭作业：清掏果皮箱、垃圾收集器频次不少于1次/日，并在清掏后进行擦拭，确保无明显污渍。</w:t>
      </w:r>
    </w:p>
    <w:p w14:paraId="7C7F5A7C">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⑦沉沙井清理作业（不含排水管道清理）：采用人工作业方式清理,正常季节（1-4月、9-12月）清理频次为1次/周；雨季（5-8月）清理频次为2次/周；遇暴雨等恶劣天气需及时清理。</w:t>
      </w:r>
    </w:p>
    <w:p w14:paraId="775204F5">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（2）3.4虎门镇村（社区）中心区域及居住区巷道</w:t>
      </w:r>
    </w:p>
    <w:p w14:paraId="1A835164">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default" w:ascii="Times New Roman" w:hAnsi="Times New Roman" w:eastAsia="仿宋" w:cs="Times New Roman"/>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①清扫作业：机械化清扫率达到90%以上，不能机械化作业区域采用人工进行清扫作业，每日清扫次数不少于2次；人行道实行人工清扫，每日清扫次数不少于2次</w:t>
      </w:r>
      <w:r>
        <w:rPr>
          <w:rFonts w:hint="default" w:ascii="Times New Roman" w:hAnsi="Times New Roman" w:eastAsia="仿宋" w:cs="Times New Roman"/>
          <w:color w:val="auto"/>
          <w:kern w:val="2"/>
          <w:sz w:val="21"/>
          <w:szCs w:val="21"/>
          <w:highlight w:val="none"/>
          <w:lang w:val="en-US" w:eastAsia="zh-CN" w:bidi="ar-SA"/>
        </w:rPr>
        <w:t>。</w:t>
      </w:r>
    </w:p>
    <w:p w14:paraId="117C4FA6">
      <w:pPr>
        <w:keepNext w:val="0"/>
        <w:keepLines w:val="0"/>
        <w:pageBreakBefore w:val="0"/>
        <w:widowControl w:val="0"/>
        <w:numPr>
          <w:ilvl w:val="0"/>
          <w:numId w:val="0"/>
        </w:numPr>
        <w:kinsoku/>
        <w:wordWrap/>
        <w:overflowPunct/>
        <w:topLinePunct w:val="0"/>
        <w:autoSpaceDE/>
        <w:autoSpaceDN/>
        <w:bidi w:val="0"/>
        <w:adjustRightInd/>
        <w:snapToGrid/>
        <w:spacing w:before="0" w:after="120" w:line="24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②保洁作业：</w:t>
      </w:r>
      <w:bookmarkStart w:id="47" w:name="OLE_LINK9"/>
      <w:r>
        <w:rPr>
          <w:rFonts w:hint="eastAsia" w:ascii="宋体" w:hAnsi="宋体" w:eastAsia="宋体" w:cs="宋体"/>
          <w:color w:val="auto"/>
          <w:kern w:val="2"/>
          <w:sz w:val="21"/>
          <w:szCs w:val="21"/>
          <w:highlight w:val="none"/>
          <w:lang w:val="en-US" w:eastAsia="zh-CN" w:bidi="ar-SA"/>
        </w:rPr>
        <w:t>机动车道使用机械化车辆辅以人工保洁方式进行保洁，人行道实行人工保洁作业，保洁时间16小时。</w:t>
      </w:r>
    </w:p>
    <w:bookmarkEnd w:id="47"/>
    <w:p w14:paraId="4B152292">
      <w:pPr>
        <w:keepNext w:val="0"/>
        <w:keepLines w:val="0"/>
        <w:pageBreakBefore w:val="0"/>
        <w:widowControl w:val="0"/>
        <w:numPr>
          <w:ilvl w:val="0"/>
          <w:numId w:val="0"/>
        </w:numPr>
        <w:kinsoku/>
        <w:wordWrap/>
        <w:overflowPunct/>
        <w:topLinePunct w:val="0"/>
        <w:autoSpaceDE/>
        <w:autoSpaceDN/>
        <w:bidi w:val="0"/>
        <w:adjustRightInd/>
        <w:snapToGrid/>
        <w:spacing w:before="0" w:after="120" w:line="24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③清洗作业：机动车道使用高压冲洗车进行冲洗作业，冲洗次数不少于1次/3日；路沿石冲洗使用小型冲洗车作业，冲洗次数不少于1次/周;人行道冲刷除尘采用高压水枪进行洗刷，不少于2次/月，果皮箱、垃圾桶、灯杆、护栏清洗频次不少于1次/月</w:t>
      </w:r>
      <w:r>
        <w:rPr>
          <w:rFonts w:hint="default" w:ascii="Times New Roman" w:hAnsi="Times New Roman" w:eastAsia="仿宋" w:cs="Times New Roman"/>
          <w:color w:val="auto"/>
          <w:kern w:val="2"/>
          <w:sz w:val="21"/>
          <w:szCs w:val="21"/>
          <w:highlight w:val="none"/>
          <w:lang w:val="en-US" w:eastAsia="zh-CN" w:bidi="ar-SA"/>
        </w:rPr>
        <w:t>。</w:t>
      </w:r>
    </w:p>
    <w:p w14:paraId="09D13B16">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④绿化带、树池清理作业：宜采用人工对白色垃圾进行清理，保洁时间不少于8小时/日；</w:t>
      </w:r>
    </w:p>
    <w:p w14:paraId="4A1D65F6">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⑤果皮箱、垃圾收集器清掏擦拭作业：清掏果皮箱、垃圾收集器频次不少3次1日保证垃圾不满溢，并在清掏后进行擦拭频次不少于1次/日，确保无明显污渍。</w:t>
      </w:r>
    </w:p>
    <w:p w14:paraId="0D51766D">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⑥沉沙井清理作业（不含排水管道清理）：采用人工作业方式清理,正常季节（1-4月、9-12月）清理频次为1次/周；雨季（5-8月）清理频次为2次/周；遇暴雨等恶劣天气需及时清理。</w:t>
      </w:r>
    </w:p>
    <w:p w14:paraId="5A317167">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2" w:firstLineChars="200"/>
        <w:jc w:val="both"/>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（四）垃圾收集点保洁要求</w:t>
      </w:r>
    </w:p>
    <w:p w14:paraId="6CF2DF09">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1、垃圾收集容器应定位设置，摆放整齐。设置点及周围2~3m内应整洁，无散落、存留垃圾和污水。</w:t>
      </w:r>
    </w:p>
    <w:p w14:paraId="0A205D4F">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2、垃圾收集容器应无残缺、破损，封闭性好，外观干净。垃圾房内外墙面、垃圾亭等建筑设施不得有明显积灰、污物。</w:t>
      </w:r>
    </w:p>
    <w:p w14:paraId="06759BCC">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3、厨余垃圾的收集，必须用设有明显标志、能防止污染打散的密封容器。</w:t>
      </w:r>
    </w:p>
    <w:p w14:paraId="618621BA">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4、蝇、蚊孽生季节，垃圾收集站（点），应定时喷洒消毒、灭蚊蝇药物。</w:t>
      </w:r>
    </w:p>
    <w:p w14:paraId="7957B37A">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5、生活垃圾应全部实行容器收集，且执行垃圾分类收集。</w:t>
      </w:r>
    </w:p>
    <w:p w14:paraId="29E17760">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6、中标人应按规定将分类收集的垃圾实行分类运输，将不同种类的垃圾分类运输至采购人指定的各个地点。</w:t>
      </w:r>
    </w:p>
    <w:p w14:paraId="0F601951">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7、工业垃圾、建筑垃圾、危险废物不得混入生活垃圾。</w:t>
      </w:r>
    </w:p>
    <w:p w14:paraId="756F4C77">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8、垃圾收集容器内的垃圾无满溢和散落，并定时清洗箱体。</w:t>
      </w:r>
    </w:p>
    <w:p w14:paraId="1E00FDF8">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9、地面（含天桥、地道）清扫的垃圾应及时收集到采购人指定地点，不遗漏，不得堆放在路边。</w:t>
      </w:r>
    </w:p>
    <w:p w14:paraId="0F13B259">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10、服务期内，采购人会逐步实施街道撤桶，中标人应根据采购人关于垃圾收运的要求配合做好上门收集垃圾工作，范围从主干道开始，逐渐覆盖全域范围。</w:t>
      </w:r>
    </w:p>
    <w:p w14:paraId="3E59749E">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2" w:firstLineChars="200"/>
        <w:jc w:val="both"/>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（五）“牛皮癣”清理质量标准要求</w:t>
      </w:r>
    </w:p>
    <w:p w14:paraId="52840808">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1、清除乱张贴类“牛皮癣”标准：</w:t>
      </w:r>
    </w:p>
    <w:p w14:paraId="26A6A626">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（1）必须清除彻底、无残留。有色张贴物的颜料不能残留在或渗入附着物表面，有胶张贴物不能有残留胶，原有胶体残留痕迹要清理干净；</w:t>
      </w:r>
    </w:p>
    <w:p w14:paraId="24505C30">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 xml:space="preserve">（2）基底无损伤，包括划伤、掉漆、明显划痕等； </w:t>
      </w:r>
    </w:p>
    <w:p w14:paraId="730BC02C">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（3）无遗漏，在人行道上和机动车道上均看不到张贴物。</w:t>
      </w:r>
    </w:p>
    <w:p w14:paraId="34178273">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2、清理乱涂写（刻画）类“牛皮癣”标准：</w:t>
      </w:r>
    </w:p>
    <w:p w14:paraId="5B294B70">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（1）基底恢复原貌，无残留物或者残留痕迹；</w:t>
      </w:r>
    </w:p>
    <w:p w14:paraId="4FA66732">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 xml:space="preserve">（2）勾缝干净，无残留物或残留痕迹； </w:t>
      </w:r>
    </w:p>
    <w:p w14:paraId="3A254AD1">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（3）基底无损伤，漆面、有机玻璃面、喷绘布面等基底无划痕、无掉漆、无变色、不失原有光泽；</w:t>
      </w:r>
    </w:p>
    <w:p w14:paraId="5A04D497">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（4）块状瓷面、大理石面与原材质一致；</w:t>
      </w:r>
    </w:p>
    <w:p w14:paraId="71922259">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（5）无遗漏，在人行道上和机动车道上均看不到乱涂写（刻画）物。</w:t>
      </w:r>
    </w:p>
    <w:p w14:paraId="4A8B9924">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3、清理乱张挂类“牛皮癣”标准：</w:t>
      </w:r>
    </w:p>
    <w:p w14:paraId="51AF8222">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（1）无残留物或者残留痕迹；</w:t>
      </w:r>
    </w:p>
    <w:p w14:paraId="19A47AA0">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（2）基底或原附着物无损伤；</w:t>
      </w:r>
    </w:p>
    <w:p w14:paraId="64949099">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（3）无遗漏，在人行道上和机动车道上均看不见残旧破烂的张挂物；高空电线、墙面上的牛皮癣也要清理干净。</w:t>
      </w:r>
    </w:p>
    <w:p w14:paraId="3716C8EA">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4、涂刷覆盖效果标准：</w:t>
      </w:r>
    </w:p>
    <w:p w14:paraId="5CA6CFC5">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（1）涂刷用料与被涂刷物基底材质相同或接近；</w:t>
      </w:r>
    </w:p>
    <w:p w14:paraId="745F3D54">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（2）色泽相同或接近，色彩与原底色吻合；</w:t>
      </w:r>
    </w:p>
    <w:p w14:paraId="40871CC0">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（3）刷痕自然，无漏刷、无流淌，地面干净、界线齐平。</w:t>
      </w:r>
    </w:p>
    <w:p w14:paraId="6869EFFA">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5、清洗剂使用标准：</w:t>
      </w:r>
    </w:p>
    <w:p w14:paraId="2B347A75">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（1）符合国家环保部颁布的《环境标志产品技术要求水性涂料（HJ2537-2014）》外墙涂料执行标准；</w:t>
      </w:r>
    </w:p>
    <w:p w14:paraId="46C5A209">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（2）对人畜不造成损害，对“牛皮癣”附着物不构成物理或化学破坏。</w:t>
      </w:r>
    </w:p>
    <w:p w14:paraId="1DAE0952">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2" w:firstLineChars="200"/>
        <w:jc w:val="both"/>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（六）公厕管理要求</w:t>
      </w:r>
    </w:p>
    <w:p w14:paraId="0CEA3212">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2" w:firstLineChars="200"/>
        <w:jc w:val="both"/>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公厕须配备专人管理。</w:t>
      </w:r>
    </w:p>
    <w:p w14:paraId="05803CAA">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1、清扫保洁</w:t>
      </w:r>
    </w:p>
    <w:p w14:paraId="10F7029A">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（1）每天早上7时前完成冲洗和清扫，全天坚持保洁，做到冲洗干净便池、便斗、厕所地面及墙面。做到无污物，无积水，全厕无粪迹、无尿迹、无乱弃置垃圾，无其他污物。</w:t>
      </w:r>
    </w:p>
    <w:p w14:paraId="1E618704">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（2）定时喷洒药物，灭杀蚊蝇等害虫，做到无蚊蝇、无蟑螂、无蛆蛹等。</w:t>
      </w:r>
    </w:p>
    <w:p w14:paraId="1F3A3A95">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（3）纸篓无污迹、无隔夜垃圾。环保处理泡沫、洗手液、纸巾等应保持持续供应。</w:t>
      </w:r>
    </w:p>
    <w:p w14:paraId="730EB0E8">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（4）内外墙、屋顶及卫生责任区保持整洁，无乱张贴、涂写、刻画，无污迹、无蜘蛛网、无杂草等。</w:t>
      </w:r>
    </w:p>
    <w:p w14:paraId="7EB87576">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（5）厕内空气流通清新，无异味。</w:t>
      </w:r>
    </w:p>
    <w:p w14:paraId="5DC8D08B">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（6）按照规定的时间、地点和方式清倒废弃物。</w:t>
      </w:r>
    </w:p>
    <w:p w14:paraId="26F82DC5">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2、内部管理</w:t>
      </w:r>
    </w:p>
    <w:p w14:paraId="54EB1B00">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（1）厕内各种工具完好、干净、整洁、摆放有序。</w:t>
      </w:r>
    </w:p>
    <w:p w14:paraId="6EBBEC40">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（2）公厕管理制度及保洁制度按规定公示。</w:t>
      </w:r>
    </w:p>
    <w:p w14:paraId="470D74E8">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（3）公厕用地范围内应保持环境整洁，任何单位和个人不得占用、堆物、搭建或作其它用途。</w:t>
      </w:r>
    </w:p>
    <w:p w14:paraId="07F99753">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（4）公厕实行免费开放，不得收费。</w:t>
      </w:r>
    </w:p>
    <w:p w14:paraId="44F9D3AE">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（5）不得擅自关闭公厕，不得擅自设置公厕。不得擅自拆除、占用、损毁公厕。</w:t>
      </w:r>
    </w:p>
    <w:p w14:paraId="0CF1C090">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（6）厕内失物应交还失主，未见失主的，应交公处理。</w:t>
      </w:r>
    </w:p>
    <w:p w14:paraId="3ED59A3E">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（7）工作人员要尊重游客和如厕人员，不得与其发生冲突。</w:t>
      </w:r>
    </w:p>
    <w:p w14:paraId="2CC3D194">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（7）工作人员不得擅离职守、滥用职权、徇私舞弊，工作期间必须统一穿着工作服。</w:t>
      </w:r>
    </w:p>
    <w:p w14:paraId="14D39F1F">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3、其他</w:t>
      </w:r>
    </w:p>
    <w:p w14:paraId="7F8FE6E6">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（1）工作人员发现公厕主体建筑出现损坏的，如墙壁、地面等，需及时向甲方反映情况。</w:t>
      </w:r>
    </w:p>
    <w:p w14:paraId="4D85B087">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（2）公厕化粪池需定时清掏，乙方需及时向甲方提出粪便的掏吸、清运和处置计划建议，不得擅自处置粪便。</w:t>
      </w:r>
    </w:p>
    <w:p w14:paraId="10B7BA34">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2" w:firstLineChars="200"/>
        <w:jc w:val="both"/>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（七）智慧化管理要求</w:t>
      </w:r>
    </w:p>
    <w:p w14:paraId="11283786">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本环卫服务项目要求乙方使用东莞市环卫作业智能化管理系统平台，通过计算机应用软件、无线网络、GIS 地理信息、GPS定位等多种信息化手段，将环卫管理的指挥、作业、监管等要素统一融合在智能化管理系统这个平台上，实现管理过程精细化，监控治理实时化，事件处理规范化，以及完善的考核制度。</w:t>
      </w:r>
    </w:p>
    <w:p w14:paraId="63C6C5ED">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其中，甲方提供平台及使用权限，并协调平台建设运营单位将人员、车辆定位设备信息接入平台。乙方需采购项目所属人员、车辆所需的智能化管理硬件设施，并将设备信息接入智能化管理平台，实现人员、车辆可视化管理。甲方、乙方均可通过智能化管理系统实时查看人员情况、车辆运行情况等，及时发现和处理突发情况。</w:t>
      </w:r>
    </w:p>
    <w:p w14:paraId="1E4E0F6D">
      <w:pPr>
        <w:keepNext w:val="0"/>
        <w:keepLines w:val="0"/>
        <w:pageBreakBefore w:val="0"/>
        <w:widowControl w:val="0"/>
        <w:numPr>
          <w:ilvl w:val="0"/>
          <w:numId w:val="109"/>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设备配置要求</w:t>
      </w:r>
    </w:p>
    <w:tbl>
      <w:tblPr>
        <w:tblStyle w:val="14"/>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3" w:type="dxa"/>
          <w:bottom w:w="0" w:type="dxa"/>
          <w:right w:w="23" w:type="dxa"/>
        </w:tblCellMar>
      </w:tblPr>
      <w:tblGrid>
        <w:gridCol w:w="999"/>
        <w:gridCol w:w="3479"/>
        <w:gridCol w:w="1169"/>
        <w:gridCol w:w="1732"/>
        <w:gridCol w:w="1732"/>
      </w:tblGrid>
      <w:tr w14:paraId="7AEDB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23" w:hRule="atLeast"/>
          <w:jc w:val="center"/>
        </w:trPr>
        <w:tc>
          <w:tcPr>
            <w:tcW w:w="548" w:type="pct"/>
            <w:tcBorders>
              <w:top w:val="single" w:color="auto" w:sz="4" w:space="0"/>
              <w:left w:val="single" w:color="auto" w:sz="4" w:space="0"/>
              <w:bottom w:val="single" w:color="auto" w:sz="4" w:space="0"/>
              <w:right w:val="single" w:color="auto" w:sz="4" w:space="0"/>
            </w:tcBorders>
            <w:noWrap w:val="0"/>
            <w:vAlign w:val="center"/>
          </w:tcPr>
          <w:p w14:paraId="3CDC7FF5">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序号</w:t>
            </w:r>
          </w:p>
        </w:tc>
        <w:tc>
          <w:tcPr>
            <w:tcW w:w="1908" w:type="pct"/>
            <w:tcBorders>
              <w:top w:val="single" w:color="auto" w:sz="4" w:space="0"/>
              <w:left w:val="single" w:color="auto" w:sz="4" w:space="0"/>
              <w:bottom w:val="single" w:color="auto" w:sz="4" w:space="0"/>
              <w:right w:val="single" w:color="auto" w:sz="4" w:space="0"/>
            </w:tcBorders>
            <w:noWrap w:val="0"/>
            <w:vAlign w:val="center"/>
          </w:tcPr>
          <w:p w14:paraId="6DB007C8">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设备名称</w:t>
            </w:r>
          </w:p>
        </w:tc>
        <w:tc>
          <w:tcPr>
            <w:tcW w:w="641" w:type="pct"/>
            <w:tcBorders>
              <w:top w:val="single" w:color="auto" w:sz="4" w:space="0"/>
              <w:left w:val="single" w:color="auto" w:sz="4" w:space="0"/>
              <w:bottom w:val="single" w:color="auto" w:sz="4" w:space="0"/>
              <w:right w:val="single" w:color="auto" w:sz="4" w:space="0"/>
            </w:tcBorders>
            <w:noWrap w:val="0"/>
            <w:vAlign w:val="center"/>
          </w:tcPr>
          <w:p w14:paraId="14C63839">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数量</w:t>
            </w:r>
          </w:p>
        </w:tc>
        <w:tc>
          <w:tcPr>
            <w:tcW w:w="950" w:type="pct"/>
            <w:tcBorders>
              <w:top w:val="single" w:color="auto" w:sz="4" w:space="0"/>
              <w:left w:val="single" w:color="auto" w:sz="4" w:space="0"/>
              <w:bottom w:val="single" w:color="auto" w:sz="4" w:space="0"/>
              <w:right w:val="single" w:color="auto" w:sz="4" w:space="0"/>
            </w:tcBorders>
            <w:noWrap w:val="0"/>
            <w:vAlign w:val="center"/>
          </w:tcPr>
          <w:p w14:paraId="122F39F5">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司机定员</w:t>
            </w:r>
          </w:p>
        </w:tc>
        <w:tc>
          <w:tcPr>
            <w:tcW w:w="1732" w:type="dxa"/>
            <w:tcBorders>
              <w:top w:val="single" w:color="auto" w:sz="4" w:space="0"/>
              <w:left w:val="single" w:color="auto" w:sz="4" w:space="0"/>
              <w:bottom w:val="single" w:color="auto" w:sz="4" w:space="0"/>
              <w:right w:val="single" w:color="auto" w:sz="4" w:space="0"/>
            </w:tcBorders>
            <w:noWrap w:val="0"/>
            <w:vAlign w:val="center"/>
          </w:tcPr>
          <w:p w14:paraId="29C70FAE">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作业里程要求</w:t>
            </w:r>
          </w:p>
        </w:tc>
      </w:tr>
      <w:tr w14:paraId="2F396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23" w:hRule="atLeast"/>
          <w:jc w:val="center"/>
        </w:trPr>
        <w:tc>
          <w:tcPr>
            <w:tcW w:w="548"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B087B00">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w:t>
            </w:r>
          </w:p>
        </w:tc>
        <w:tc>
          <w:tcPr>
            <w:tcW w:w="1908"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1C8393A">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道路小型扫路车</w:t>
            </w:r>
          </w:p>
        </w:tc>
        <w:tc>
          <w:tcPr>
            <w:tcW w:w="64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C3A598E">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w:t>
            </w:r>
          </w:p>
        </w:tc>
        <w:tc>
          <w:tcPr>
            <w:tcW w:w="95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93C7BA1">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w:t>
            </w:r>
          </w:p>
        </w:tc>
        <w:tc>
          <w:tcPr>
            <w:tcW w:w="173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58F0E06">
            <w:pPr>
              <w:pStyle w:val="6"/>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作业里程不少于</w:t>
            </w:r>
            <w:r>
              <w:rPr>
                <w:rFonts w:hint="eastAsia" w:ascii="宋体" w:hAnsi="宋体" w:cs="宋体"/>
                <w:color w:val="auto"/>
                <w:sz w:val="21"/>
                <w:szCs w:val="21"/>
                <w:highlight w:val="none"/>
                <w:lang w:val="en-US" w:eastAsia="zh-CN"/>
              </w:rPr>
              <w:t>30</w:t>
            </w:r>
            <w:r>
              <w:rPr>
                <w:rFonts w:hint="eastAsia" w:ascii="宋体" w:hAnsi="宋体" w:eastAsia="宋体" w:cs="宋体"/>
                <w:color w:val="auto"/>
                <w:sz w:val="21"/>
                <w:szCs w:val="21"/>
                <w:highlight w:val="none"/>
                <w:lang w:val="en-US" w:eastAsia="zh-CN"/>
              </w:rPr>
              <w:t>公里/日（不超过120公里/车/日计算）</w:t>
            </w:r>
          </w:p>
        </w:tc>
      </w:tr>
      <w:tr w14:paraId="5A3C9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23" w:hRule="atLeast"/>
          <w:jc w:val="center"/>
        </w:trPr>
        <w:tc>
          <w:tcPr>
            <w:tcW w:w="548"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5F2BCF6">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w:t>
            </w:r>
          </w:p>
        </w:tc>
        <w:tc>
          <w:tcPr>
            <w:tcW w:w="1908"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FD33613">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道路洒水车</w:t>
            </w:r>
          </w:p>
        </w:tc>
        <w:tc>
          <w:tcPr>
            <w:tcW w:w="64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11992DB">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w:t>
            </w:r>
          </w:p>
        </w:tc>
        <w:tc>
          <w:tcPr>
            <w:tcW w:w="95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AA2EFE8">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w:t>
            </w:r>
          </w:p>
        </w:tc>
        <w:tc>
          <w:tcPr>
            <w:tcW w:w="95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2FAF61C">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p>
        </w:tc>
      </w:tr>
      <w:tr w14:paraId="5A7A5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23" w:hRule="atLeast"/>
          <w:jc w:val="center"/>
        </w:trPr>
        <w:tc>
          <w:tcPr>
            <w:tcW w:w="548"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72C9869">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w:t>
            </w:r>
          </w:p>
        </w:tc>
        <w:tc>
          <w:tcPr>
            <w:tcW w:w="1908"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8330DB3">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小型高压冲洗车</w:t>
            </w:r>
          </w:p>
        </w:tc>
        <w:tc>
          <w:tcPr>
            <w:tcW w:w="64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586CDE2">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w:t>
            </w:r>
          </w:p>
        </w:tc>
        <w:tc>
          <w:tcPr>
            <w:tcW w:w="95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879D459">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w:t>
            </w:r>
          </w:p>
        </w:tc>
        <w:tc>
          <w:tcPr>
            <w:tcW w:w="95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EB55AB1">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p>
        </w:tc>
      </w:tr>
      <w:tr w14:paraId="1A8E1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23" w:hRule="atLeast"/>
          <w:jc w:val="center"/>
        </w:trPr>
        <w:tc>
          <w:tcPr>
            <w:tcW w:w="548"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EC34051">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w:t>
            </w:r>
          </w:p>
        </w:tc>
        <w:tc>
          <w:tcPr>
            <w:tcW w:w="1908"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499A29E">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电动三轮保洁车</w:t>
            </w:r>
          </w:p>
        </w:tc>
        <w:tc>
          <w:tcPr>
            <w:tcW w:w="64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CCE9C66">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w:t>
            </w:r>
          </w:p>
        </w:tc>
        <w:tc>
          <w:tcPr>
            <w:tcW w:w="95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819DAA5">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w:t>
            </w:r>
          </w:p>
        </w:tc>
        <w:tc>
          <w:tcPr>
            <w:tcW w:w="95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90FCECC">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p>
        </w:tc>
      </w:tr>
      <w:tr w14:paraId="1E3C45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23" w:hRule="atLeast"/>
          <w:jc w:val="center"/>
        </w:trPr>
        <w:tc>
          <w:tcPr>
            <w:tcW w:w="548"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0AEE672">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w:t>
            </w:r>
          </w:p>
        </w:tc>
        <w:tc>
          <w:tcPr>
            <w:tcW w:w="1908"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CEE7603">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电动三轮垃圾收集车</w:t>
            </w:r>
          </w:p>
        </w:tc>
        <w:tc>
          <w:tcPr>
            <w:tcW w:w="64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2130237">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w:t>
            </w:r>
          </w:p>
        </w:tc>
        <w:tc>
          <w:tcPr>
            <w:tcW w:w="95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DA72B7A">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w:t>
            </w:r>
          </w:p>
        </w:tc>
        <w:tc>
          <w:tcPr>
            <w:tcW w:w="95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45D1D1B">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p>
        </w:tc>
      </w:tr>
      <w:tr w14:paraId="420572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23" w:hRule="atLeast"/>
          <w:jc w:val="center"/>
        </w:trPr>
        <w:tc>
          <w:tcPr>
            <w:tcW w:w="548"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C685ED0">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w:t>
            </w:r>
          </w:p>
        </w:tc>
        <w:tc>
          <w:tcPr>
            <w:tcW w:w="1908"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730E68D">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后压式垃圾运输车</w:t>
            </w:r>
          </w:p>
        </w:tc>
        <w:tc>
          <w:tcPr>
            <w:tcW w:w="64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6788BC2">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w:t>
            </w:r>
          </w:p>
        </w:tc>
        <w:tc>
          <w:tcPr>
            <w:tcW w:w="95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7606068">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w:t>
            </w:r>
          </w:p>
        </w:tc>
        <w:tc>
          <w:tcPr>
            <w:tcW w:w="95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178DD8A">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p>
        </w:tc>
      </w:tr>
      <w:tr w14:paraId="7103C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23" w:hRule="atLeast"/>
          <w:jc w:val="center"/>
        </w:trPr>
        <w:tc>
          <w:tcPr>
            <w:tcW w:w="548"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75D0393">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w:t>
            </w:r>
          </w:p>
        </w:tc>
        <w:tc>
          <w:tcPr>
            <w:tcW w:w="1908"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A924B0F">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平板收集车</w:t>
            </w:r>
          </w:p>
        </w:tc>
        <w:tc>
          <w:tcPr>
            <w:tcW w:w="64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527288B">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w:t>
            </w:r>
          </w:p>
        </w:tc>
        <w:tc>
          <w:tcPr>
            <w:tcW w:w="95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FE67A3E">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w:t>
            </w:r>
          </w:p>
        </w:tc>
        <w:tc>
          <w:tcPr>
            <w:tcW w:w="95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BD10F88">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p>
        </w:tc>
      </w:tr>
      <w:tr w14:paraId="634473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23" w:hRule="atLeast"/>
          <w:jc w:val="center"/>
        </w:trPr>
        <w:tc>
          <w:tcPr>
            <w:tcW w:w="548"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79439F6">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8</w:t>
            </w:r>
          </w:p>
        </w:tc>
        <w:tc>
          <w:tcPr>
            <w:tcW w:w="1908"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B6B02EC">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手推车</w:t>
            </w:r>
          </w:p>
        </w:tc>
        <w:tc>
          <w:tcPr>
            <w:tcW w:w="64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485B9B0">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w:t>
            </w:r>
          </w:p>
        </w:tc>
        <w:tc>
          <w:tcPr>
            <w:tcW w:w="95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A337279">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w:t>
            </w:r>
          </w:p>
        </w:tc>
        <w:tc>
          <w:tcPr>
            <w:tcW w:w="95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5AB9D60">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p>
        </w:tc>
      </w:tr>
      <w:tr w14:paraId="1DCB7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23" w:hRule="atLeast"/>
          <w:jc w:val="center"/>
        </w:trPr>
        <w:tc>
          <w:tcPr>
            <w:tcW w:w="548"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ED3063B">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9</w:t>
            </w:r>
          </w:p>
        </w:tc>
        <w:tc>
          <w:tcPr>
            <w:tcW w:w="1908"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057CAEC">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打草机</w:t>
            </w:r>
          </w:p>
        </w:tc>
        <w:tc>
          <w:tcPr>
            <w:tcW w:w="64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248CB02">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w:t>
            </w:r>
          </w:p>
        </w:tc>
        <w:tc>
          <w:tcPr>
            <w:tcW w:w="95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7332B1E">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w:t>
            </w:r>
          </w:p>
        </w:tc>
        <w:tc>
          <w:tcPr>
            <w:tcW w:w="95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77B47B8">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p>
        </w:tc>
      </w:tr>
      <w:tr w14:paraId="52E387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23" w:hRule="atLeast"/>
          <w:jc w:val="center"/>
        </w:trPr>
        <w:tc>
          <w:tcPr>
            <w:tcW w:w="548"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B518301">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10</w:t>
            </w:r>
          </w:p>
        </w:tc>
        <w:tc>
          <w:tcPr>
            <w:tcW w:w="1908"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4E83335">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电动吹风机</w:t>
            </w:r>
          </w:p>
        </w:tc>
        <w:tc>
          <w:tcPr>
            <w:tcW w:w="64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8AF31F6">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w:t>
            </w:r>
          </w:p>
        </w:tc>
        <w:tc>
          <w:tcPr>
            <w:tcW w:w="95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4FE29DD">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w:t>
            </w:r>
          </w:p>
        </w:tc>
        <w:tc>
          <w:tcPr>
            <w:tcW w:w="95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378B34D">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p>
        </w:tc>
      </w:tr>
      <w:tr w14:paraId="05870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23" w:hRule="atLeast"/>
          <w:jc w:val="center"/>
        </w:trPr>
        <w:tc>
          <w:tcPr>
            <w:tcW w:w="548"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E0C75DE">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11</w:t>
            </w:r>
          </w:p>
        </w:tc>
        <w:tc>
          <w:tcPr>
            <w:tcW w:w="1908"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D6653C4">
            <w:pPr>
              <w:keepNext w:val="0"/>
              <w:keepLines w:val="0"/>
              <w:pageBreakBefore w:val="0"/>
              <w:widowControl w:val="0"/>
              <w:kinsoku/>
              <w:wordWrap/>
              <w:overflowPunct/>
              <w:topLinePunct w:val="0"/>
              <w:autoSpaceDE/>
              <w:autoSpaceDN/>
              <w:bidi w:val="0"/>
              <w:adjustRightInd/>
              <w:snapToGrid w:val="0"/>
              <w:spacing w:after="0" w:line="440" w:lineRule="exact"/>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反光工衣、手套、雨衣、铁铲、铁锹、马路扫、竹扫、塑料扫、垃圾斗、锄头等</w:t>
            </w:r>
          </w:p>
        </w:tc>
        <w:tc>
          <w:tcPr>
            <w:tcW w:w="64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A93177B">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足量</w:t>
            </w:r>
          </w:p>
        </w:tc>
        <w:tc>
          <w:tcPr>
            <w:tcW w:w="95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F9622DA">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w:t>
            </w:r>
          </w:p>
        </w:tc>
        <w:tc>
          <w:tcPr>
            <w:tcW w:w="95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6725B57">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p>
        </w:tc>
      </w:tr>
    </w:tbl>
    <w:p w14:paraId="4B50D898">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以上设备为乙方在投标文件中承诺为本项目投入的设备，本项目须投入设备数量不少于以上清单，如遇相关设备不足的情况，甲方有权根据实际所需要求乙方增加，乙方投入的机械设备在合同签订后20天内要经甲方验收认定。</w:t>
      </w:r>
    </w:p>
    <w:p w14:paraId="68CC0C09">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（九）人员配置要求</w:t>
      </w:r>
    </w:p>
    <w:tbl>
      <w:tblPr>
        <w:tblStyle w:val="1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3" w:type="dxa"/>
          <w:bottom w:w="0" w:type="dxa"/>
          <w:right w:w="23" w:type="dxa"/>
        </w:tblCellMar>
      </w:tblPr>
      <w:tblGrid>
        <w:gridCol w:w="1246"/>
        <w:gridCol w:w="2243"/>
        <w:gridCol w:w="2850"/>
        <w:gridCol w:w="2773"/>
      </w:tblGrid>
      <w:tr w14:paraId="7ACF41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462" w:hRule="atLeast"/>
          <w:jc w:val="center"/>
        </w:trPr>
        <w:tc>
          <w:tcPr>
            <w:tcW w:w="684" w:type="pct"/>
            <w:tcBorders>
              <w:top w:val="single" w:color="auto" w:sz="4" w:space="0"/>
              <w:left w:val="single" w:color="auto" w:sz="4" w:space="0"/>
              <w:bottom w:val="single" w:color="auto" w:sz="4" w:space="0"/>
              <w:right w:val="single" w:color="auto" w:sz="4" w:space="0"/>
            </w:tcBorders>
            <w:noWrap w:val="0"/>
            <w:vAlign w:val="center"/>
          </w:tcPr>
          <w:p w14:paraId="6D88150C">
            <w:pPr>
              <w:keepNext w:val="0"/>
              <w:keepLines w:val="0"/>
              <w:pageBreakBefore w:val="0"/>
              <w:widowControl w:val="0"/>
              <w:kinsoku/>
              <w:wordWrap/>
              <w:overflowPunct/>
              <w:topLinePunct w:val="0"/>
              <w:autoSpaceDE/>
              <w:autoSpaceDN/>
              <w:bidi w:val="0"/>
              <w:adjustRightInd/>
              <w:snapToGrid w:val="0"/>
              <w:spacing w:before="0"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序号</w:t>
            </w:r>
          </w:p>
        </w:tc>
        <w:tc>
          <w:tcPr>
            <w:tcW w:w="1230" w:type="pct"/>
            <w:tcBorders>
              <w:top w:val="single" w:color="auto" w:sz="4" w:space="0"/>
              <w:left w:val="single" w:color="auto" w:sz="4" w:space="0"/>
              <w:bottom w:val="single" w:color="auto" w:sz="4" w:space="0"/>
              <w:right w:val="single" w:color="auto" w:sz="4" w:space="0"/>
            </w:tcBorders>
            <w:noWrap w:val="0"/>
            <w:vAlign w:val="center"/>
          </w:tcPr>
          <w:p w14:paraId="11CF9FA0">
            <w:pPr>
              <w:keepNext w:val="0"/>
              <w:keepLines w:val="0"/>
              <w:pageBreakBefore w:val="0"/>
              <w:widowControl w:val="0"/>
              <w:kinsoku/>
              <w:wordWrap/>
              <w:overflowPunct/>
              <w:topLinePunct w:val="0"/>
              <w:autoSpaceDE/>
              <w:autoSpaceDN/>
              <w:bidi w:val="0"/>
              <w:adjustRightInd/>
              <w:snapToGrid w:val="0"/>
              <w:spacing w:before="0"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人员种类</w:t>
            </w:r>
          </w:p>
        </w:tc>
        <w:tc>
          <w:tcPr>
            <w:tcW w:w="1563" w:type="pct"/>
            <w:tcBorders>
              <w:top w:val="single" w:color="auto" w:sz="4" w:space="0"/>
              <w:left w:val="single" w:color="auto" w:sz="4" w:space="0"/>
              <w:bottom w:val="single" w:color="auto" w:sz="4" w:space="0"/>
              <w:right w:val="single" w:color="auto" w:sz="4" w:space="0"/>
            </w:tcBorders>
            <w:noWrap w:val="0"/>
            <w:vAlign w:val="center"/>
          </w:tcPr>
          <w:p w14:paraId="2275C91B">
            <w:pPr>
              <w:keepNext w:val="0"/>
              <w:keepLines w:val="0"/>
              <w:pageBreakBefore w:val="0"/>
              <w:widowControl w:val="0"/>
              <w:kinsoku/>
              <w:wordWrap/>
              <w:overflowPunct/>
              <w:topLinePunct w:val="0"/>
              <w:autoSpaceDE/>
              <w:autoSpaceDN/>
              <w:bidi w:val="0"/>
              <w:adjustRightInd/>
              <w:snapToGrid w:val="0"/>
              <w:spacing w:before="0"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数量（人）</w:t>
            </w:r>
          </w:p>
        </w:tc>
        <w:tc>
          <w:tcPr>
            <w:tcW w:w="1521" w:type="pct"/>
            <w:tcBorders>
              <w:top w:val="single" w:color="auto" w:sz="4" w:space="0"/>
              <w:left w:val="single" w:color="auto" w:sz="4" w:space="0"/>
              <w:bottom w:val="single" w:color="auto" w:sz="4" w:space="0"/>
              <w:right w:val="single" w:color="auto" w:sz="4" w:space="0"/>
            </w:tcBorders>
            <w:noWrap w:val="0"/>
            <w:vAlign w:val="center"/>
          </w:tcPr>
          <w:p w14:paraId="4E17DA2D">
            <w:pPr>
              <w:keepNext w:val="0"/>
              <w:keepLines w:val="0"/>
              <w:pageBreakBefore w:val="0"/>
              <w:widowControl w:val="0"/>
              <w:kinsoku/>
              <w:wordWrap/>
              <w:overflowPunct/>
              <w:topLinePunct w:val="0"/>
              <w:autoSpaceDE/>
              <w:autoSpaceDN/>
              <w:bidi w:val="0"/>
              <w:adjustRightInd/>
              <w:snapToGrid w:val="0"/>
              <w:spacing w:before="0"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工时要求</w:t>
            </w:r>
          </w:p>
        </w:tc>
      </w:tr>
      <w:tr w14:paraId="2AE43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471" w:hRule="atLeast"/>
          <w:jc w:val="center"/>
        </w:trPr>
        <w:tc>
          <w:tcPr>
            <w:tcW w:w="684" w:type="pct"/>
            <w:tcBorders>
              <w:top w:val="single" w:color="auto" w:sz="4" w:space="0"/>
              <w:left w:val="single" w:color="auto" w:sz="4" w:space="0"/>
              <w:bottom w:val="single" w:color="auto" w:sz="4" w:space="0"/>
              <w:right w:val="single" w:color="auto" w:sz="4" w:space="0"/>
            </w:tcBorders>
            <w:shd w:val="clear" w:color="auto" w:fill="auto"/>
            <w:noWrap w:val="0"/>
            <w:vAlign w:val="bottom"/>
          </w:tcPr>
          <w:p w14:paraId="021F9654">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w:t>
            </w:r>
          </w:p>
        </w:tc>
        <w:tc>
          <w:tcPr>
            <w:tcW w:w="1230" w:type="pct"/>
            <w:tcBorders>
              <w:top w:val="single" w:color="auto" w:sz="4" w:space="0"/>
              <w:left w:val="single" w:color="auto" w:sz="4" w:space="0"/>
              <w:bottom w:val="single" w:color="auto" w:sz="4" w:space="0"/>
              <w:right w:val="single" w:color="auto" w:sz="4" w:space="0"/>
            </w:tcBorders>
            <w:shd w:val="clear" w:color="auto" w:fill="auto"/>
            <w:noWrap w:val="0"/>
            <w:vAlign w:val="bottom"/>
          </w:tcPr>
          <w:p w14:paraId="14123D43">
            <w:pPr>
              <w:keepNext w:val="0"/>
              <w:keepLines w:val="0"/>
              <w:pageBreakBefore w:val="0"/>
              <w:widowControl w:val="0"/>
              <w:kinsoku/>
              <w:wordWrap/>
              <w:overflowPunct/>
              <w:topLinePunct w:val="0"/>
              <w:autoSpaceDE/>
              <w:autoSpaceDN/>
              <w:bidi w:val="0"/>
              <w:adjustRightInd/>
              <w:snapToGrid w:val="0"/>
              <w:spacing w:after="0" w:line="440" w:lineRule="exact"/>
              <w:ind w:left="0" w:leftChars="0" w:firstLine="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项目经理</w:t>
            </w:r>
          </w:p>
        </w:tc>
        <w:tc>
          <w:tcPr>
            <w:tcW w:w="156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4E46D0A">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w:t>
            </w:r>
          </w:p>
        </w:tc>
        <w:tc>
          <w:tcPr>
            <w:tcW w:w="152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5FB31AB">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p>
        </w:tc>
      </w:tr>
      <w:tr w14:paraId="0344C3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471" w:hRule="atLeast"/>
          <w:jc w:val="center"/>
        </w:trPr>
        <w:tc>
          <w:tcPr>
            <w:tcW w:w="68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9837083">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w:t>
            </w:r>
          </w:p>
        </w:tc>
        <w:tc>
          <w:tcPr>
            <w:tcW w:w="123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B912E21">
            <w:pPr>
              <w:keepNext w:val="0"/>
              <w:keepLines w:val="0"/>
              <w:pageBreakBefore w:val="0"/>
              <w:widowControl w:val="0"/>
              <w:kinsoku/>
              <w:wordWrap/>
              <w:overflowPunct/>
              <w:topLinePunct w:val="0"/>
              <w:autoSpaceDE/>
              <w:autoSpaceDN/>
              <w:bidi w:val="0"/>
              <w:adjustRightInd/>
              <w:snapToGrid w:val="0"/>
              <w:spacing w:after="0" w:line="440" w:lineRule="exact"/>
              <w:ind w:left="0" w:leftChars="0" w:firstLine="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主管</w:t>
            </w:r>
          </w:p>
        </w:tc>
        <w:tc>
          <w:tcPr>
            <w:tcW w:w="156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0B84E6B">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w:t>
            </w:r>
          </w:p>
        </w:tc>
        <w:tc>
          <w:tcPr>
            <w:tcW w:w="152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713CC93">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p>
        </w:tc>
      </w:tr>
      <w:tr w14:paraId="6C8CED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471" w:hRule="atLeast"/>
          <w:jc w:val="center"/>
        </w:trPr>
        <w:tc>
          <w:tcPr>
            <w:tcW w:w="684" w:type="pct"/>
            <w:tcBorders>
              <w:top w:val="single" w:color="auto" w:sz="4" w:space="0"/>
              <w:left w:val="single" w:color="auto" w:sz="4" w:space="0"/>
              <w:right w:val="single" w:color="auto" w:sz="4" w:space="0"/>
            </w:tcBorders>
            <w:shd w:val="clear" w:color="auto" w:fill="auto"/>
            <w:noWrap w:val="0"/>
            <w:vAlign w:val="center"/>
          </w:tcPr>
          <w:p w14:paraId="21EE1B3D">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w:t>
            </w:r>
          </w:p>
        </w:tc>
        <w:tc>
          <w:tcPr>
            <w:tcW w:w="1230" w:type="pct"/>
            <w:tcBorders>
              <w:top w:val="single" w:color="auto" w:sz="4" w:space="0"/>
              <w:left w:val="single" w:color="auto" w:sz="4" w:space="0"/>
              <w:right w:val="single" w:color="auto" w:sz="4" w:space="0"/>
            </w:tcBorders>
            <w:shd w:val="clear" w:color="auto" w:fill="auto"/>
            <w:noWrap w:val="0"/>
            <w:vAlign w:val="center"/>
          </w:tcPr>
          <w:p w14:paraId="4EE0C038">
            <w:pPr>
              <w:keepNext w:val="0"/>
              <w:keepLines w:val="0"/>
              <w:pageBreakBefore w:val="0"/>
              <w:widowControl w:val="0"/>
              <w:kinsoku/>
              <w:wordWrap/>
              <w:overflowPunct/>
              <w:topLinePunct w:val="0"/>
              <w:autoSpaceDE/>
              <w:autoSpaceDN/>
              <w:bidi w:val="0"/>
              <w:adjustRightInd/>
              <w:snapToGrid w:val="0"/>
              <w:spacing w:after="0" w:line="440" w:lineRule="exact"/>
              <w:ind w:left="0" w:leftChars="0" w:firstLine="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普扫工</w:t>
            </w:r>
          </w:p>
        </w:tc>
        <w:tc>
          <w:tcPr>
            <w:tcW w:w="156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BFEFAD0">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13</w:t>
            </w:r>
          </w:p>
        </w:tc>
        <w:tc>
          <w:tcPr>
            <w:tcW w:w="152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5B03056">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9工时/人/日</w:t>
            </w:r>
          </w:p>
        </w:tc>
      </w:tr>
      <w:tr w14:paraId="7EB832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727" w:hRule="atLeast"/>
          <w:jc w:val="center"/>
        </w:trPr>
        <w:tc>
          <w:tcPr>
            <w:tcW w:w="68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72E25EA">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w:t>
            </w:r>
          </w:p>
        </w:tc>
        <w:tc>
          <w:tcPr>
            <w:tcW w:w="123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6C718A8">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保洁工</w:t>
            </w:r>
          </w:p>
        </w:tc>
        <w:tc>
          <w:tcPr>
            <w:tcW w:w="156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E28753B">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w:t>
            </w:r>
          </w:p>
        </w:tc>
        <w:tc>
          <w:tcPr>
            <w:tcW w:w="152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1F66584">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9工时/人/日</w:t>
            </w:r>
          </w:p>
        </w:tc>
      </w:tr>
      <w:tr w14:paraId="20A368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471" w:hRule="atLeast"/>
          <w:jc w:val="center"/>
        </w:trPr>
        <w:tc>
          <w:tcPr>
            <w:tcW w:w="68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7E10027">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w:t>
            </w:r>
          </w:p>
        </w:tc>
        <w:tc>
          <w:tcPr>
            <w:tcW w:w="123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9E68E3C">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司机</w:t>
            </w:r>
          </w:p>
        </w:tc>
        <w:tc>
          <w:tcPr>
            <w:tcW w:w="156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8EC791B">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w:t>
            </w:r>
          </w:p>
        </w:tc>
        <w:tc>
          <w:tcPr>
            <w:tcW w:w="152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7C956E9">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p>
        </w:tc>
      </w:tr>
      <w:tr w14:paraId="192E9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471" w:hRule="atLeast"/>
          <w:jc w:val="center"/>
        </w:trPr>
        <w:tc>
          <w:tcPr>
            <w:tcW w:w="68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7E07177">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w:t>
            </w:r>
          </w:p>
        </w:tc>
        <w:tc>
          <w:tcPr>
            <w:tcW w:w="123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2C376A1">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机动人员</w:t>
            </w:r>
          </w:p>
        </w:tc>
        <w:tc>
          <w:tcPr>
            <w:tcW w:w="156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CF6AAD4">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w:t>
            </w:r>
          </w:p>
        </w:tc>
        <w:tc>
          <w:tcPr>
            <w:tcW w:w="152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C6D2216">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9工时/人/日</w:t>
            </w:r>
          </w:p>
        </w:tc>
      </w:tr>
      <w:tr w14:paraId="7D6103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471" w:hRule="atLeast"/>
          <w:jc w:val="center"/>
        </w:trPr>
        <w:tc>
          <w:tcPr>
            <w:tcW w:w="68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F53589F">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w:t>
            </w:r>
          </w:p>
        </w:tc>
        <w:tc>
          <w:tcPr>
            <w:tcW w:w="123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EEE11EB">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公厕保洁员</w:t>
            </w:r>
          </w:p>
        </w:tc>
        <w:tc>
          <w:tcPr>
            <w:tcW w:w="156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5E3CDE8">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w:t>
            </w:r>
          </w:p>
        </w:tc>
        <w:tc>
          <w:tcPr>
            <w:tcW w:w="152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8947D8D">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p>
        </w:tc>
      </w:tr>
      <w:tr w14:paraId="0AC0DF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471" w:hRule="atLeast"/>
          <w:jc w:val="center"/>
        </w:trPr>
        <w:tc>
          <w:tcPr>
            <w:tcW w:w="68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2685CFE">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8</w:t>
            </w:r>
          </w:p>
        </w:tc>
        <w:tc>
          <w:tcPr>
            <w:tcW w:w="123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1EBFA30">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其他人员</w:t>
            </w:r>
          </w:p>
        </w:tc>
        <w:tc>
          <w:tcPr>
            <w:tcW w:w="156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E3CB92C">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w:t>
            </w:r>
          </w:p>
        </w:tc>
        <w:tc>
          <w:tcPr>
            <w:tcW w:w="152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0F71805">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p>
        </w:tc>
      </w:tr>
      <w:tr w14:paraId="38F6B2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478" w:hRule="atLeast"/>
          <w:jc w:val="center"/>
        </w:trPr>
        <w:tc>
          <w:tcPr>
            <w:tcW w:w="1914" w:type="pct"/>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22C5FC0E">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合计</w:t>
            </w:r>
          </w:p>
        </w:tc>
        <w:tc>
          <w:tcPr>
            <w:tcW w:w="156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17411A4">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28</w:t>
            </w:r>
          </w:p>
        </w:tc>
        <w:tc>
          <w:tcPr>
            <w:tcW w:w="152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A20D932">
            <w:pPr>
              <w:keepNext w:val="0"/>
              <w:keepLines w:val="0"/>
              <w:pageBreakBefore w:val="0"/>
              <w:widowControl w:val="0"/>
              <w:kinsoku/>
              <w:wordWrap/>
              <w:overflowPunct/>
              <w:topLinePunct w:val="0"/>
              <w:autoSpaceDE/>
              <w:autoSpaceDN/>
              <w:bidi w:val="0"/>
              <w:adjustRightInd/>
              <w:snapToGrid w:val="0"/>
              <w:spacing w:after="0" w:line="440" w:lineRule="exact"/>
              <w:jc w:val="center"/>
              <w:textAlignment w:val="auto"/>
              <w:rPr>
                <w:rFonts w:hint="eastAsia" w:ascii="宋体" w:hAnsi="宋体" w:eastAsia="宋体" w:cs="宋体"/>
                <w:color w:val="auto"/>
                <w:kern w:val="2"/>
                <w:sz w:val="21"/>
                <w:szCs w:val="21"/>
                <w:highlight w:val="none"/>
                <w:lang w:val="en-US" w:eastAsia="zh-CN" w:bidi="ar-SA"/>
              </w:rPr>
            </w:pPr>
          </w:p>
        </w:tc>
      </w:tr>
    </w:tbl>
    <w:p w14:paraId="25498557">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具体内容详见乙方投标文件拟投入本项目专业技术人员一览表，以上人员为乙方在投标文件中承诺为本项目投入的人员，本项目须投入人员数量不少于以上清单，如遇人员不足的情况，甲方有权根据实际所需要求乙方增加。）</w:t>
      </w:r>
    </w:p>
    <w:p w14:paraId="0A4F046D">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本项目须投入人员数量不少于以上清单，如遇相关人员数量不足的情况，乙方应根据实际所需增加。人员在职期间，男不得超过60周岁，女不得超过55周岁。如国家政策发生改变时，按新的国家政策执行。同时乙方应当与劳动者订立书面劳动合同（或劳务合同），并为员工购买社保、特定工伤保险及必要的商业保险。</w:t>
      </w:r>
    </w:p>
    <w:p w14:paraId="1F283649">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乙方按照“应收尽收”原则接收自愿留下且满足年龄条件（男不超过60周岁，女不超过55周岁）的原服务项目环卫工人，所有合同期内工人工资标准必须符合劳动法规及相关法律法规，且工人最低工资不能低于东莞市最新公布的最低工资标准。同时，工人加班的劳动报酬也必须符合劳动法及相关行业的法律法规。</w:t>
      </w:r>
    </w:p>
    <w:p w14:paraId="7E0CF873">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2" w:firstLineChars="200"/>
        <w:jc w:val="both"/>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（十）安全生产要求</w:t>
      </w:r>
    </w:p>
    <w:p w14:paraId="6E6389F8">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1、乙方必须配备符合相关标准的安全作业用品和劳保用品，落实好安全生产措施，开展职业病防治工作，确保员工劳动保护和人身安全。员工的工伤、意外等的一切经济责任和法律责任由乙方承担。</w:t>
      </w:r>
    </w:p>
    <w:p w14:paraId="63F01748">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2、定期对员工进行安全生产教育，落实责任制，落实有关安全措施。</w:t>
      </w:r>
    </w:p>
    <w:p w14:paraId="2729A09D">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3、车辆行驶必须严格遵守交通规则；车辆需服从城管部门安排，张贴按市政要求制作的标识。</w:t>
      </w:r>
    </w:p>
    <w:p w14:paraId="1F69A71B">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4、路面作业人员必须统一穿着带反光标志的工作服（按《东莞市城市管理和综合执法局视觉识别系统》中对环卫服装要求执行）。</w:t>
      </w:r>
    </w:p>
    <w:p w14:paraId="5B500D92">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5、路面作业时必须落实警示标志及防护措施。</w:t>
      </w:r>
    </w:p>
    <w:p w14:paraId="0ED93F20">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6、清扫后的斗车、清扫工具等不得妨碍交通。</w:t>
      </w:r>
    </w:p>
    <w:p w14:paraId="23950BA2">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7、不得存放易燃、易爆、剧毒等危险品。</w:t>
      </w:r>
    </w:p>
    <w:p w14:paraId="0C7274F4">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8、落实防火措施，配足性能良好的消防器材。</w:t>
      </w:r>
    </w:p>
    <w:p w14:paraId="02A9F316">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9、落实安全用电措施，不得乱拉、乱挂、乱接电线，不使用非生产性大功率电器，不得超线路负载使用电器。</w:t>
      </w:r>
    </w:p>
    <w:p w14:paraId="119AEC27">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10、在各类作业期间，必须按各工种的操作特性，落实各类的安全、防护措施，确保人员及财产的安全，发生安全生产事故的，必须及时上报。</w:t>
      </w:r>
    </w:p>
    <w:p w14:paraId="748B990C">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2" w:firstLineChars="200"/>
        <w:jc w:val="both"/>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（十一）应急要求</w:t>
      </w:r>
    </w:p>
    <w:p w14:paraId="65394E76">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突发事件（如道路污染）和自然灾害（如台风等）要在确保安全情况下及时清理现场并冲洗路面；如遇强台风、特大暴雨等不适应上路作业时段时，乙方可以不安排人员上路清扫保洁，但应按照甲方要求成立一支不少于5人的清扫保洁临时应急队伍，服从甲方和政府相关部门的统一指挥和调度。台风、暴雨过后，乙方应立即组织人员做好清扫保洁工作。特殊情况，如需协助救险救灾工作，乙方应服从甲方和政府相关部门的统一指挥和调度。</w:t>
      </w:r>
    </w:p>
    <w:p w14:paraId="07B23F00">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2、因城市管理工作、创建工作（如创文、创卫等）以及其他临时性重大活动保障要求，乙方必须无条件配合做好考评、检查、创建、活动保障工作，加强保洁服务工作。</w:t>
      </w:r>
    </w:p>
    <w:p w14:paraId="1A1813AA">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在接到暴雨预警信息后立即组织对道路雨水口周边垃圾进行清扫；发现作业区域存在大面积淤泥，需根据甲方要求及时清理、冲洗污染路面，影响交通安全的，应立即组织清理。如发现化学物品、危险物品后立即报告相关部门处理。</w:t>
      </w:r>
    </w:p>
    <w:p w14:paraId="2136FEA9">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4、作业范围内如出现车辆机油和运输物等撒漏现象，乙方必须采取应急措施科学处理。</w:t>
      </w:r>
    </w:p>
    <w:p w14:paraId="235F20F4">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5、乙方协助监督辖区内施工单位的撒漏问题，督促协助撒漏方及时清理余泥、垃圾和废弃物，发现不配合且情节恶劣的应及时告知甲方，并报告相关部门处理。</w:t>
      </w:r>
    </w:p>
    <w:p w14:paraId="36BF393A">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2" w:firstLineChars="200"/>
        <w:jc w:val="both"/>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（十二）保密要求</w:t>
      </w:r>
    </w:p>
    <w:p w14:paraId="4D552D2F">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项目实施过程中至乙方正式向甲方交付技术文档资料时止，乙方必须采取措施对本项目实施过程中的数据、源代码、技术文档等资料保密，否则，由于乙方过错导致的上述资料泄密的，乙方必须承担一切责任。项目完成后，甲、乙双方均有责任对本项目的技术保密承担责任。</w:t>
      </w:r>
    </w:p>
    <w:p w14:paraId="1BB06B9E">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未经乙方事先书面同意，甲方不得将由乙方为本合同提供的条文、规格、计划、图纸、模型、样品或资料提供给与本合同无关的任何第三方，不得将其用于履行本合同之外的其它用途。即使向与履行本合同有关的人员提供，也应注意保密并限于履行合同所必需的范围。</w:t>
      </w:r>
    </w:p>
    <w:p w14:paraId="3FA1A7BB">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2" w:firstLineChars="200"/>
        <w:jc w:val="both"/>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五、服务期限</w:t>
      </w:r>
    </w:p>
    <w:p w14:paraId="25FB9438">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委托服务期间自2025 年7 月1 日至  2028年6 月 30日止。</w:t>
      </w:r>
      <w:r>
        <w:rPr>
          <w:rFonts w:hint="eastAsia" w:ascii="宋体" w:hAnsi="宋体" w:eastAsia="宋体"/>
          <w:iCs/>
          <w:color w:val="auto"/>
          <w:szCs w:val="21"/>
          <w:lang w:val="en-US" w:eastAsia="zh-CN"/>
        </w:rPr>
        <w:t>3年，本项目采取一次招标3年沿用，实行1年1签合同，每年服务期满后经甲乙双方协商，无异议则自动延续1年；若一方明确表示不再续签，需提前书面通知对方。（拟自2025年7月1日起至2028年6月30日止，具体起止时间以本项目合同约定为准）</w:t>
      </w:r>
    </w:p>
    <w:p w14:paraId="299A2172">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2" w:firstLineChars="200"/>
        <w:jc w:val="both"/>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六、服务费用及付款方式</w:t>
      </w:r>
    </w:p>
    <w:p w14:paraId="53DF67AA">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（一）服务费用</w:t>
      </w:r>
    </w:p>
    <w:p w14:paraId="5E0BA8FD">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1、甲方应支付乙方总清扫保洁服务费      元（大写：人民币        元整 ），每月       元。</w:t>
      </w:r>
    </w:p>
    <w:p w14:paraId="7E334EEB">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清扫保洁服务费包含垃圾清运费用、管理费用、人员费用（含员工正常工作时间工资、加班工资、奖金、津贴、食宿费、住房补助、劳动保障、福利、医疗保险与费用、工伤保险与费用、失业保险、社会保障、教育培训费用、暂住费用、伤亡事故处理费用等费用）、税费、生产资料费用（含作业用水、用电的费用，含各种环卫工具、环卫车辆、环卫机械设备的投入和耗损，不含果皮箱）、市政设施防张贴防涂写防刻画涂料的购买与喷涂费用等与环卫保洁有关的一切费用。</w:t>
      </w:r>
    </w:p>
    <w:p w14:paraId="0E34B11B">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（二）付款方式</w:t>
      </w:r>
    </w:p>
    <w:p w14:paraId="4BBAB0E9">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1、按月支付承包款，每月结合考核标准进行结算。合同生效后第二个月起每月 15 日前向乙方支付上月的承包款。</w:t>
      </w:r>
    </w:p>
    <w:p w14:paraId="75B75678">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2、每期款项支付时，乙方应在接到甲方开票通知后10天内，提交相应金额的正式发票；如乙方未能按照约定提供相应金额的正式发票，由此产生的责任和损失由乙方自行承担。</w:t>
      </w:r>
    </w:p>
    <w:p w14:paraId="28F2ED26">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乙方确认本合同项下款项均支付至本合同签署页列明的银行账户，甲方将合同款项支付至乙方指定的银行账户即完成合同款项的支付义务。如本合同尾部列明的收款账户发生任何变更，乙方应自变更之日起立即书面通知甲方；否则，由此引起的相关后果均由乙方自行承担。</w:t>
      </w:r>
    </w:p>
    <w:p w14:paraId="4695203C">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2"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七、考核评分办法</w:t>
      </w:r>
    </w:p>
    <w:p w14:paraId="2C3CDD31">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考核评分主要通过对乙方作业落实情况以及保洁质量进行考核，根据履约检查以及考核评分结果进行追责。</w:t>
      </w:r>
    </w:p>
    <w:p w14:paraId="6BCA0C9F">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（一）考核方式</w:t>
      </w:r>
    </w:p>
    <w:p w14:paraId="38C9C672">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甲方在履约检查的基础上，对发包范围内的区域道路清扫保洁情况进行考核，采取日常检查和月度检查相结合的考核方式。考核按《虎门镇社区环卫清扫保洁考评表》（详见附件1）进行评分，根据考核结果支付月承包费用。检查人员必须严格遵守标准进行实际操作，不能以权谋私，玩忽职守。月度绩效考核分数满分为100分。</w:t>
      </w:r>
    </w:p>
    <w:p w14:paraId="0E4DFD44">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（二）考核实施</w:t>
      </w:r>
    </w:p>
    <w:p w14:paraId="3DBBC83B">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社区日常检查（占80%）：成立日常检查工作小组，每天开展环卫保洁巡查监督，检查发现的问题以拍照形式进行记录，问题图片按照《虎门镇社区环卫清扫保洁考评表》（详见附件1）进行扣分，具体工作由甲方统一组织安排。</w:t>
      </w:r>
    </w:p>
    <w:p w14:paraId="622807B5">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城管分局片站日常检查（占20%）：城管分局片站，每天开展环卫保洁巡查监督，检查发现的问题以拍照形式进行记录，问题图片按照《虎门镇社区环卫清扫保洁考评表》（详见附件1）进行扣分，具体工作由甲方统一组织安排。</w:t>
      </w:r>
    </w:p>
    <w:p w14:paraId="54770094">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月度明检：由甲方于每月定期安排人员组织成立月度考评工作小组，对项目服务范围内保洁质量进行检查，检查发现的问题以拍照形式进行记录，问题图片按照《虎门镇社区环卫清扫保洁考评表》（详见附件1）进行扣分，具体工作由甲方统一组织安排。</w:t>
      </w:r>
    </w:p>
    <w:p w14:paraId="32094390">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（四）考核结果运用</w:t>
      </w:r>
    </w:p>
    <w:p w14:paraId="15E4AC77">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甲方对清扫保洁质量实行月度考评（包括社区日常检查、城管分局片站日常检查、月度明检），其中，社区日常检查占总得分的80%（按日常检查得分的平均分计），城管分局片站日常检查占总得分的20%和月度明检。</w:t>
      </w:r>
    </w:p>
    <w:p w14:paraId="4159D4DB">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bookmarkStart w:id="48" w:name="_Hlk101279015"/>
      <w:r>
        <w:rPr>
          <w:rFonts w:hint="eastAsia" w:ascii="宋体" w:hAnsi="宋体" w:eastAsia="宋体" w:cs="宋体"/>
          <w:color w:val="auto"/>
          <w:kern w:val="2"/>
          <w:sz w:val="21"/>
          <w:szCs w:val="21"/>
          <w:highlight w:val="none"/>
          <w:lang w:val="en-US" w:eastAsia="zh-CN" w:bidi="ar-SA"/>
        </w:rPr>
        <w:t>考核结果分为“好”“中”“差”三个档次，按照《虎门镇环卫保洁明检扣减标准表》（详见附件2）考扣减承包费用</w:t>
      </w:r>
      <w:bookmarkEnd w:id="48"/>
      <w:r>
        <w:rPr>
          <w:rFonts w:hint="eastAsia" w:ascii="宋体" w:hAnsi="宋体" w:eastAsia="宋体" w:cs="宋体"/>
          <w:color w:val="auto"/>
          <w:kern w:val="2"/>
          <w:sz w:val="21"/>
          <w:szCs w:val="21"/>
          <w:highlight w:val="none"/>
          <w:lang w:val="en-US" w:eastAsia="zh-CN" w:bidi="ar-SA"/>
        </w:rPr>
        <w:t>。</w:t>
      </w:r>
    </w:p>
    <w:p w14:paraId="37BDD5C0">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2"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八、甲方乙方的权利和义务</w:t>
      </w:r>
    </w:p>
    <w:p w14:paraId="4CA80628">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（一）甲方的权利和义务：</w:t>
      </w:r>
    </w:p>
    <w:p w14:paraId="40FD952B">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1、甲方应协助乙方开展此项目的相关工作，并提供相关资料。</w:t>
      </w:r>
    </w:p>
    <w:p w14:paraId="4186590F">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2、甲方应按本合同有关规定及时支付相关费用。</w:t>
      </w:r>
    </w:p>
    <w:p w14:paraId="01ADC66F">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3、甲方有权根据工作需要，提出本合同范围以外的工作内容，乙方应予以执行，所发生费用，经双方核算工作量并协商后，另行签署补充协议，签订补充协议的金额不得超过原合同的10%。</w:t>
      </w:r>
    </w:p>
    <w:p w14:paraId="2E76564E">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（二）乙方的权利和义务：</w:t>
      </w:r>
    </w:p>
    <w:p w14:paraId="3325859F">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1、乙方必须根据采购文件及有关的技术要求、国家现行有关设计标准、技术规范、规程、甲方要求完成合同约定范围内的全部任务，并按规定向甲方交付成果，确保质量与进度。</w:t>
      </w:r>
    </w:p>
    <w:p w14:paraId="5D81C5B0">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2、乙方应按时召开内部沟通会议，跟进项目进度，并及时向甲方汇报项目进展情况，及时参加甲方召开的项目会议。</w:t>
      </w:r>
    </w:p>
    <w:p w14:paraId="783096A2">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3、乙方应保证服务质量，因乙方自身原因出现错误或遗漏或甲方不满意之处，必须按甲方意见进行修改完善。</w:t>
      </w:r>
    </w:p>
    <w:p w14:paraId="1376ED3E">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 xml:space="preserve">4、乙方损坏甲方设施、设备且不按规定赔偿的，甲方有权直接从清扫保洁服务费中直接扣除相关的赔偿金和费用。 </w:t>
      </w:r>
    </w:p>
    <w:p w14:paraId="2230AF06">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5、合同期内，乙方拖欠员工工资（含加班工资）或者拒绝按东莞市最低工资标准调整员工工资的，甲方有权直接从清扫保洁服务费内代为支付乙方所拖欠的员工工资或补足最低工资。</w:t>
      </w:r>
    </w:p>
    <w:p w14:paraId="18A0149B">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乙方因各种原因造成停工、歇工等事件不能开展正常的清扫保洁作业时，甲方可以临时指定其它清扫保洁服务企业对停工或歇工路段（含道路和公共场所）进行清扫和保洁，临时清扫保洁服务费由乙方承担，甲方有权直接从清扫保洁服务费中进行扣除。</w:t>
      </w:r>
    </w:p>
    <w:p w14:paraId="6EBBF461">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7、如甲方提出本合同范围以外的工作内容，乙方在甲方规定的合理时间内应予以执行，同时双方尽快落实签署补充协议。</w:t>
      </w:r>
    </w:p>
    <w:p w14:paraId="30D7381B">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2" w:firstLineChars="200"/>
        <w:jc w:val="both"/>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九、履约保证金</w:t>
      </w:r>
    </w:p>
    <w:p w14:paraId="4EADE579">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乙方与甲方签订承包合同时，必须向甲方提交履约保函，履约保证金金额为10万人民币。</w:t>
      </w:r>
    </w:p>
    <w:p w14:paraId="2FBD6C8B">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2" w:firstLineChars="200"/>
        <w:jc w:val="both"/>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十、违约责任与赔偿损失</w:t>
      </w:r>
    </w:p>
    <w:p w14:paraId="51C22EE0">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（一）乙方提供的服务不符合本合同规定的，甲方有权拒收，并且没收履约保证金。</w:t>
      </w:r>
    </w:p>
    <w:p w14:paraId="747A0734">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（二）乙方未能按本合同规定的服务期提供服务，从逾期之日起每日按本合同总价3‰的数额向甲方支付违约金；逾期半个月以上的，甲方有权终止合同，由此造成的甲方经济损失由乙方承担。</w:t>
      </w:r>
    </w:p>
    <w:p w14:paraId="725BFFBB">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（三）对于因政策变化或不可抗力除外，因甲方原因导致变更、中止或者终止政府采购合同的，甲方应当对乙方受到的损失予以赔偿或者补偿。</w:t>
      </w:r>
    </w:p>
    <w:p w14:paraId="15ADBD7F">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四）本合同期内，乙方出现有下列任何一种情况的，甲方有权即时单方解除承包合同，同时，在终止合同后，乙方应保证无条件服务至下一服务单位交接完毕，以保证项目顺利进行，否则，甲方有权没收履约保证金。</w:t>
      </w:r>
    </w:p>
    <w:p w14:paraId="663DC900">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1、乙方书面表示放弃承包经营权，或无法继续履行承包义务的。</w:t>
      </w:r>
    </w:p>
    <w:p w14:paraId="153C80A9">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2、乙方服务有效期内有越权收费、弄虚作假等违法经营行为，可能导致本合同无法继续履行的。</w:t>
      </w:r>
    </w:p>
    <w:p w14:paraId="3DDA72FC">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3、甲方每月对乙方进行考核，连续二次（含二次）或一年内累积有三次考核结果为“差”的，除按规定扣款外，甲方有权解除协议，没收承包单位履约保证金，乙方无偿退出。</w:t>
      </w:r>
    </w:p>
    <w:p w14:paraId="5CE59560">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4、乙方</w:t>
      </w:r>
      <w:r>
        <w:rPr>
          <w:rFonts w:hint="eastAsia" w:ascii="宋体" w:hAnsi="宋体" w:eastAsia="宋体" w:cs="宋体"/>
          <w:color w:val="auto"/>
          <w:kern w:val="2"/>
          <w:sz w:val="21"/>
          <w:szCs w:val="21"/>
          <w:highlight w:val="none"/>
          <w:lang w:val="en" w:eastAsia="zh-CN" w:bidi="ar-SA"/>
        </w:rPr>
        <w:t>合同期内，因承包方在本项目中操作不当、管理疏漏等原因，发生安全生产责任事故造成1人以上（含1人）死亡或3人以上（含3人）重伤的安全事故，并负主要责任的。</w:t>
      </w:r>
    </w:p>
    <w:p w14:paraId="32BB3B3F">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乙方任一个月未按时足额发放员工工资（含加班工资）的人数达5人以上（含5人）的，或乙方拖欠员工工资（含加班工资）达两个月的，或东莞市最低工资标准发生变化，乙方拒绝根据有关规定予以相应调整的。</w:t>
      </w:r>
    </w:p>
    <w:p w14:paraId="6BB7A556">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6、乙方违反劳动法，损害工人合法权益，出现性质严重或情节恶劣的。</w:t>
      </w:r>
    </w:p>
    <w:p w14:paraId="6B5857F1">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7、乙方有纵容、煽动工人怠工、罢工等过激行为的，或因乙方无视工人权益引致工人有怠工、罢工等过激行为的。</w:t>
      </w:r>
    </w:p>
    <w:p w14:paraId="42E606BD">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8、合同履行期间，乙方在本项目中因一般违法行为被行政机关处罚达到三次或因重大违法行为被行政机关处罚（责令停产停业、吊销许可证或者执照、没收或罚款达10万元等）的。</w:t>
      </w:r>
    </w:p>
    <w:p w14:paraId="32ED93F6">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9、乙方有未经甲方书面同意而转包、违规分包行为的。</w:t>
      </w:r>
    </w:p>
    <w:p w14:paraId="4E24728B">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10、乙方一年内未按整改通知书要求落实整改超过3次的。</w:t>
      </w:r>
    </w:p>
    <w:p w14:paraId="782CF30B">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11、乙方一年内无故停工达到2次的。</w:t>
      </w:r>
    </w:p>
    <w:p w14:paraId="35318BE0">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12、《中华人民共和国民法典》《中华人民共和国政府采购法》《中华人民共和国政府采购法实施条例》等法律规定的中标无效或合同无效的情形。</w:t>
      </w:r>
    </w:p>
    <w:p w14:paraId="51E0BB34">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13、乙方违反法律、法规、规章和其它相关规范性文件的规定，影响本合同履行的。</w:t>
      </w:r>
    </w:p>
    <w:p w14:paraId="6DABF4D8">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（五）如因乙方没有依照合同约定履行义务，给第三方造成人身或财产损害的，进而致使甲方对外承担赔偿责任的，则赔偿款项由乙方承担。</w:t>
      </w:r>
    </w:p>
    <w:p w14:paraId="664A3AF4">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（六）其它违约责任按《中华人民共和国民法典》处理。</w:t>
      </w:r>
    </w:p>
    <w:p w14:paraId="75271E42">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2" w:firstLineChars="200"/>
        <w:jc w:val="both"/>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十一、知识产权归属</w:t>
      </w:r>
    </w:p>
    <w:p w14:paraId="1EFD4176">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（一）乙方必须保证甲方在接受其所提供服务期的任何时候不受到知识产权或版权的纠纷，否则，由此产生的任何责任完全由乙方承担。</w:t>
      </w:r>
    </w:p>
    <w:p w14:paraId="6A7AD8E8">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（二）本合同过程中形成的所有服务内容，包括但不限于技术成果及其知识产权归甲方所有。同时，未经甲方许可，乙方不得将甲方相关资料提供给第三方。</w:t>
      </w:r>
    </w:p>
    <w:p w14:paraId="327CBFA7">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（三）甲方委托乙方为其提供服务所产生的成果，甲方独立拥有完整的知识产权及其他权益。</w:t>
      </w:r>
    </w:p>
    <w:p w14:paraId="74280B01">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2" w:firstLineChars="200"/>
        <w:jc w:val="both"/>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十二、不可抗力</w:t>
      </w:r>
    </w:p>
    <w:p w14:paraId="00F1011C">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14:paraId="4F9E0D59">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2" w:firstLineChars="200"/>
        <w:jc w:val="both"/>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十三、合同争议的解决</w:t>
      </w:r>
    </w:p>
    <w:p w14:paraId="178DBFCF">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因合同履行中发生的争议，可通过甲、乙双方友好协商解决。协商不成的，任何一方可向甲方所在地有管辖权的人民法院提起诉讼。</w:t>
      </w:r>
    </w:p>
    <w:p w14:paraId="1DA28901">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2" w:firstLineChars="200"/>
        <w:jc w:val="both"/>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十四、合同解除和终止</w:t>
      </w:r>
    </w:p>
    <w:p w14:paraId="5B20D18F">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（一）甲、乙双方各自完成合同规定的责任和义务，合同自然终止。</w:t>
      </w:r>
    </w:p>
    <w:p w14:paraId="38847332">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iCs/>
          <w:color w:val="auto"/>
          <w:szCs w:val="21"/>
          <w:lang w:val="en-US" w:eastAsia="zh-CN"/>
        </w:rPr>
        <w:t>（二）每年服务期满后经甲乙双方协商，无异议则自动延续1年；若一方明确表示不再续签，需提前书面通知对方。</w:t>
      </w:r>
    </w:p>
    <w:p w14:paraId="59151679">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2" w:firstLineChars="200"/>
        <w:jc w:val="both"/>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十五、合同生效</w:t>
      </w:r>
    </w:p>
    <w:p w14:paraId="1F523AB0">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（一）本合同在甲、乙双方法人代表或其授权代表签字盖章后生效。</w:t>
      </w:r>
    </w:p>
    <w:p w14:paraId="45875607">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（二）合同一式</w:t>
      </w:r>
      <w:r>
        <w:rPr>
          <w:rFonts w:hint="eastAsia" w:ascii="宋体" w:hAnsi="宋体" w:eastAsia="宋体" w:cs="宋体"/>
          <w:color w:val="auto"/>
          <w:kern w:val="2"/>
          <w:sz w:val="21"/>
          <w:szCs w:val="21"/>
          <w:highlight w:val="none"/>
          <w:u w:val="single"/>
          <w:lang w:val="en-US" w:eastAsia="zh-CN" w:bidi="ar-SA"/>
        </w:rPr>
        <w:t>6</w:t>
      </w:r>
      <w:r>
        <w:rPr>
          <w:rFonts w:hint="eastAsia" w:ascii="宋体" w:hAnsi="宋体" w:eastAsia="宋体" w:cs="宋体"/>
          <w:color w:val="auto"/>
          <w:kern w:val="2"/>
          <w:sz w:val="21"/>
          <w:szCs w:val="21"/>
          <w:highlight w:val="none"/>
          <w:lang w:val="en-US" w:eastAsia="zh-CN" w:bidi="ar-SA"/>
        </w:rPr>
        <w:t>份，其中甲方执</w:t>
      </w:r>
      <w:r>
        <w:rPr>
          <w:rFonts w:hint="eastAsia" w:ascii="宋体" w:hAnsi="宋体" w:eastAsia="宋体" w:cs="宋体"/>
          <w:color w:val="auto"/>
          <w:kern w:val="2"/>
          <w:sz w:val="21"/>
          <w:szCs w:val="21"/>
          <w:highlight w:val="none"/>
          <w:u w:val="single"/>
          <w:lang w:val="en-US" w:eastAsia="zh-CN" w:bidi="ar-SA"/>
        </w:rPr>
        <w:t>3</w:t>
      </w:r>
      <w:r>
        <w:rPr>
          <w:rFonts w:hint="eastAsia" w:ascii="宋体" w:hAnsi="宋体" w:eastAsia="宋体" w:cs="宋体"/>
          <w:color w:val="auto"/>
          <w:kern w:val="2"/>
          <w:sz w:val="21"/>
          <w:szCs w:val="21"/>
          <w:highlight w:val="none"/>
          <w:lang w:val="en-US" w:eastAsia="zh-CN" w:bidi="ar-SA"/>
        </w:rPr>
        <w:t>份，乙方执</w:t>
      </w:r>
      <w:r>
        <w:rPr>
          <w:rFonts w:hint="eastAsia" w:ascii="宋体" w:hAnsi="宋体" w:eastAsia="宋体" w:cs="宋体"/>
          <w:color w:val="auto"/>
          <w:kern w:val="2"/>
          <w:sz w:val="21"/>
          <w:szCs w:val="21"/>
          <w:highlight w:val="none"/>
          <w:u w:val="single"/>
          <w:lang w:val="en-US" w:eastAsia="zh-CN" w:bidi="ar-SA"/>
        </w:rPr>
        <w:t>2</w:t>
      </w:r>
      <w:r>
        <w:rPr>
          <w:rFonts w:hint="eastAsia" w:ascii="宋体" w:hAnsi="宋体" w:eastAsia="宋体" w:cs="宋体"/>
          <w:color w:val="auto"/>
          <w:kern w:val="2"/>
          <w:sz w:val="21"/>
          <w:szCs w:val="21"/>
          <w:highlight w:val="none"/>
          <w:lang w:val="en-US" w:eastAsia="zh-CN" w:bidi="ar-SA"/>
        </w:rPr>
        <w:t>份，招标代理执</w:t>
      </w:r>
      <w:r>
        <w:rPr>
          <w:rFonts w:hint="eastAsia" w:ascii="宋体" w:hAnsi="宋体" w:eastAsia="宋体" w:cs="宋体"/>
          <w:color w:val="auto"/>
          <w:kern w:val="2"/>
          <w:sz w:val="21"/>
          <w:szCs w:val="21"/>
          <w:highlight w:val="none"/>
          <w:u w:val="single"/>
          <w:lang w:val="en-US" w:eastAsia="zh-CN" w:bidi="ar-SA"/>
        </w:rPr>
        <w:t>1</w:t>
      </w:r>
      <w:r>
        <w:rPr>
          <w:rFonts w:hint="eastAsia" w:ascii="宋体" w:hAnsi="宋体" w:eastAsia="宋体" w:cs="宋体"/>
          <w:color w:val="auto"/>
          <w:kern w:val="2"/>
          <w:sz w:val="21"/>
          <w:szCs w:val="21"/>
          <w:highlight w:val="none"/>
          <w:lang w:val="en-US" w:eastAsia="zh-CN" w:bidi="ar-SA"/>
        </w:rPr>
        <w:t>份。</w:t>
      </w:r>
    </w:p>
    <w:p w14:paraId="40922B5C">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2" w:firstLineChars="200"/>
        <w:jc w:val="both"/>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十六、送达条款</w:t>
      </w:r>
    </w:p>
    <w:p w14:paraId="454D8035">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双方确认：合同签署页所载的联系地址（包括邮寄、传真、电子邮箱等地址）为双方的有效送达地址，任何一方向对方发出的有关本合同的通知、信件、数据电文等，均应按照该地址以书面形式作出。该地址亦为各方解决争议时接收诉讼、仲裁等法律文书之送达地址。若当面递送，以收件方签收时间为送达时间，收件方拒收的，送达人可采取拍照、录像方式记录送达过程，并将文书留置，亦视为送达；以邮寄方式递送，以发件人寄出邮件后的第4天视为送达日期（无论收件人实际收件时间、是否实际收到、无法送达或退件）；以电子邮件、短信、微信等方式递送，以留存在发送方系统当中的发送成功记录时间为送达时间；如采取多种方式送达的，送达时间以最早的送达为准。</w:t>
      </w:r>
    </w:p>
    <w:p w14:paraId="51357366">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双方保证：提供的送达地址信息准确、有效，如有变更，变更方负有义务通知对方，并书面告知新的送达地址。如果提供的送达地址信息不确切，或者不及时告知变更后的送达地址信息，使法律文书无法送达或未及时送达，自行承担由此可能产生的法律后果。</w:t>
      </w:r>
    </w:p>
    <w:p w14:paraId="53EB34F9">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2" w:firstLineChars="200"/>
        <w:jc w:val="both"/>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十七、附件</w:t>
      </w:r>
    </w:p>
    <w:p w14:paraId="58EE3B7F">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1、《虎门镇社区环卫清扫保洁考评表》</w:t>
      </w:r>
    </w:p>
    <w:p w14:paraId="74B05EF0">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2、《虎门镇环卫保洁明检扣减标准》</w:t>
      </w:r>
    </w:p>
    <w:p w14:paraId="19DC5DE8">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3、招标文件</w:t>
      </w:r>
    </w:p>
    <w:p w14:paraId="24672B76">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4、投标文件</w:t>
      </w:r>
    </w:p>
    <w:p w14:paraId="143550CE">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5、中标通知书</w:t>
      </w:r>
    </w:p>
    <w:p w14:paraId="545DA4C7">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p>
    <w:p w14:paraId="7EF61AB1">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甲方（盖章）：                        乙方（盖章）：</w:t>
      </w:r>
    </w:p>
    <w:p w14:paraId="32797B1E">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法定代表人/授权代表：                 法定代表人/授权代表：</w:t>
      </w:r>
    </w:p>
    <w:p w14:paraId="140AD8AE">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联系电话：                            联系电话：</w:t>
      </w:r>
    </w:p>
    <w:p w14:paraId="160EF8F5">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联系地址：                            联系地址：</w:t>
      </w:r>
    </w:p>
    <w:p w14:paraId="20E6AFA4">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开户银行：                            开户银行：</w:t>
      </w:r>
    </w:p>
    <w:p w14:paraId="0D881EB3">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帐号：                                帐号：</w:t>
      </w:r>
    </w:p>
    <w:p w14:paraId="002495B8">
      <w:pPr>
        <w:keepNext w:val="0"/>
        <w:keepLines w:val="0"/>
        <w:pageBreakBefore w:val="0"/>
        <w:widowControl w:val="0"/>
        <w:numPr>
          <w:ilvl w:val="0"/>
          <w:numId w:val="0"/>
        </w:numPr>
        <w:kinsoku/>
        <w:wordWrap/>
        <w:overflowPunct/>
        <w:topLinePunct w:val="0"/>
        <w:autoSpaceDE/>
        <w:autoSpaceDN/>
        <w:bidi w:val="0"/>
        <w:adjustRightInd/>
        <w:snapToGrid w:val="0"/>
        <w:spacing w:before="0" w:after="0"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签定日期： 年 月 日                   签定日期： 年 月 日</w:t>
      </w:r>
    </w:p>
    <w:p w14:paraId="50E66976">
      <w:pPr>
        <w:rPr>
          <w:rFonts w:hint="eastAsia" w:ascii="宋体" w:hAnsi="宋体" w:eastAsia="宋体" w:cs="宋体"/>
          <w:szCs w:val="21"/>
        </w:rPr>
      </w:pPr>
    </w:p>
    <w:p w14:paraId="661719B7">
      <w:pP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附件</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kern w:val="2"/>
          <w:sz w:val="21"/>
          <w:szCs w:val="21"/>
          <w:highlight w:val="none"/>
          <w:lang w:val="en-US" w:eastAsia="zh-CN" w:bidi="ar-SA"/>
        </w:rPr>
        <w:t>虎门镇社区环卫清扫保洁考评表</w:t>
      </w:r>
    </w:p>
    <w:tbl>
      <w:tblPr>
        <w:tblStyle w:val="14"/>
        <w:tblW w:w="499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23" w:type="dxa"/>
          <w:bottom w:w="0" w:type="dxa"/>
          <w:right w:w="23" w:type="dxa"/>
        </w:tblCellMar>
      </w:tblPr>
      <w:tblGrid>
        <w:gridCol w:w="918"/>
        <w:gridCol w:w="3114"/>
        <w:gridCol w:w="3408"/>
        <w:gridCol w:w="815"/>
        <w:gridCol w:w="856"/>
      </w:tblGrid>
      <w:tr w14:paraId="4EAE0C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1561" w:hRule="atLeast"/>
          <w:jc w:val="center"/>
        </w:trPr>
        <w:tc>
          <w:tcPr>
            <w:tcW w:w="2213" w:type="pct"/>
            <w:gridSpan w:val="2"/>
            <w:tcBorders>
              <w:top w:val="single" w:color="auto" w:sz="4" w:space="0"/>
              <w:left w:val="single" w:color="000000" w:sz="4" w:space="0"/>
              <w:bottom w:val="single" w:color="000000" w:sz="4" w:space="0"/>
              <w:right w:val="single" w:color="000000" w:sz="4" w:space="0"/>
            </w:tcBorders>
            <w:noWrap/>
            <w:vAlign w:val="center"/>
          </w:tcPr>
          <w:p w14:paraId="0EC03A5D">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现场考核</w:t>
            </w:r>
          </w:p>
        </w:tc>
        <w:tc>
          <w:tcPr>
            <w:tcW w:w="1870" w:type="pct"/>
            <w:tcBorders>
              <w:top w:val="single" w:color="auto" w:sz="4" w:space="0"/>
              <w:left w:val="nil"/>
              <w:bottom w:val="nil"/>
              <w:right w:val="nil"/>
            </w:tcBorders>
            <w:noWrap/>
            <w:vAlign w:val="center"/>
          </w:tcPr>
          <w:p w14:paraId="3D061AD5">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扣分办法</w:t>
            </w:r>
          </w:p>
        </w:tc>
        <w:tc>
          <w:tcPr>
            <w:tcW w:w="447" w:type="pct"/>
            <w:tcBorders>
              <w:top w:val="single" w:color="000000" w:sz="4" w:space="0"/>
              <w:left w:val="single" w:color="000000" w:sz="4" w:space="0"/>
              <w:bottom w:val="single" w:color="000000" w:sz="4" w:space="0"/>
              <w:right w:val="single" w:color="000000" w:sz="4" w:space="0"/>
            </w:tcBorders>
            <w:noWrap w:val="0"/>
            <w:vAlign w:val="center"/>
          </w:tcPr>
          <w:p w14:paraId="37A186B0">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现场检</w:t>
            </w:r>
            <w:r>
              <w:rPr>
                <w:rStyle w:val="36"/>
                <w:rFonts w:hint="eastAsia" w:ascii="宋体" w:hAnsi="宋体" w:eastAsia="宋体" w:cs="宋体"/>
                <w:color w:val="auto"/>
                <w:sz w:val="21"/>
                <w:szCs w:val="21"/>
                <w:highlight w:val="none"/>
                <w:lang w:val="en-US" w:eastAsia="zh-CN" w:bidi="ar"/>
              </w:rPr>
              <w:t>查扣分</w:t>
            </w:r>
          </w:p>
        </w:tc>
        <w:tc>
          <w:tcPr>
            <w:tcW w:w="468" w:type="pct"/>
            <w:tcBorders>
              <w:top w:val="single" w:color="000000" w:sz="4" w:space="0"/>
              <w:left w:val="single" w:color="000000" w:sz="4" w:space="0"/>
              <w:bottom w:val="single" w:color="000000" w:sz="4" w:space="0"/>
              <w:right w:val="single" w:color="000000" w:sz="4" w:space="0"/>
            </w:tcBorders>
            <w:noWrap w:val="0"/>
            <w:vAlign w:val="center"/>
          </w:tcPr>
          <w:p w14:paraId="1AD3764A">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现场检查扣分路段情况</w:t>
            </w:r>
          </w:p>
        </w:tc>
      </w:tr>
      <w:tr w14:paraId="55A55D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686" w:hRule="atLeast"/>
          <w:jc w:val="center"/>
        </w:trPr>
        <w:tc>
          <w:tcPr>
            <w:tcW w:w="504" w:type="pct"/>
            <w:tcBorders>
              <w:top w:val="single" w:color="000000" w:sz="4" w:space="0"/>
              <w:left w:val="single" w:color="000000" w:sz="4" w:space="0"/>
              <w:bottom w:val="single" w:color="000000" w:sz="4" w:space="0"/>
              <w:right w:val="single" w:color="000000" w:sz="4" w:space="0"/>
            </w:tcBorders>
            <w:noWrap/>
            <w:vAlign w:val="center"/>
          </w:tcPr>
          <w:p w14:paraId="5A494758">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项目</w:t>
            </w:r>
          </w:p>
        </w:tc>
        <w:tc>
          <w:tcPr>
            <w:tcW w:w="1708" w:type="pct"/>
            <w:tcBorders>
              <w:top w:val="nil"/>
              <w:left w:val="nil"/>
              <w:bottom w:val="nil"/>
              <w:right w:val="nil"/>
            </w:tcBorders>
            <w:noWrap/>
            <w:vAlign w:val="center"/>
          </w:tcPr>
          <w:p w14:paraId="3F76237F">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检查方法及评分依据</w:t>
            </w:r>
          </w:p>
        </w:tc>
        <w:tc>
          <w:tcPr>
            <w:tcW w:w="1870" w:type="pct"/>
            <w:tcBorders>
              <w:top w:val="single" w:color="000000" w:sz="4" w:space="0"/>
              <w:left w:val="single" w:color="000000" w:sz="4" w:space="0"/>
              <w:bottom w:val="single" w:color="000000" w:sz="4" w:space="0"/>
              <w:right w:val="single" w:color="000000" w:sz="4" w:space="0"/>
            </w:tcBorders>
            <w:noWrap/>
            <w:vAlign w:val="center"/>
          </w:tcPr>
          <w:p w14:paraId="77BD0481">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c>
          <w:tcPr>
            <w:tcW w:w="447" w:type="pct"/>
            <w:tcBorders>
              <w:top w:val="single" w:color="000000" w:sz="4" w:space="0"/>
              <w:left w:val="single" w:color="000000" w:sz="4" w:space="0"/>
              <w:bottom w:val="single" w:color="000000" w:sz="4" w:space="0"/>
              <w:right w:val="nil"/>
            </w:tcBorders>
            <w:noWrap/>
            <w:vAlign w:val="center"/>
          </w:tcPr>
          <w:p w14:paraId="34BED737">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c>
          <w:tcPr>
            <w:tcW w:w="468" w:type="pct"/>
            <w:tcBorders>
              <w:top w:val="single" w:color="000000" w:sz="4" w:space="0"/>
              <w:left w:val="single" w:color="000000" w:sz="4" w:space="0"/>
              <w:bottom w:val="single" w:color="000000" w:sz="4" w:space="0"/>
              <w:right w:val="single" w:color="000000" w:sz="4" w:space="0"/>
            </w:tcBorders>
            <w:noWrap/>
            <w:vAlign w:val="center"/>
          </w:tcPr>
          <w:p w14:paraId="708110A6">
            <w:pPr>
              <w:keepNext w:val="0"/>
              <w:keepLines w:val="0"/>
              <w:pageBreakBefore w:val="0"/>
              <w:kinsoku/>
              <w:wordWrap/>
              <w:overflowPunct/>
              <w:topLinePunct w:val="0"/>
              <w:autoSpaceDE/>
              <w:autoSpaceDN/>
              <w:bidi w:val="0"/>
              <w:adjustRightInd/>
              <w:snapToGrid w:val="0"/>
              <w:spacing w:line="360" w:lineRule="auto"/>
              <w:jc w:val="left"/>
              <w:rPr>
                <w:rFonts w:hint="eastAsia" w:ascii="宋体" w:hAnsi="宋体" w:eastAsia="宋体" w:cs="宋体"/>
                <w:i w:val="0"/>
                <w:iCs w:val="0"/>
                <w:color w:val="auto"/>
                <w:sz w:val="21"/>
                <w:szCs w:val="21"/>
                <w:highlight w:val="none"/>
                <w:u w:val="none"/>
              </w:rPr>
            </w:pPr>
          </w:p>
        </w:tc>
      </w:tr>
      <w:tr w14:paraId="4A5B28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2158" w:hRule="atLeast"/>
          <w:jc w:val="center"/>
        </w:trPr>
        <w:tc>
          <w:tcPr>
            <w:tcW w:w="504" w:type="pct"/>
            <w:tcBorders>
              <w:top w:val="single" w:color="000000" w:sz="4" w:space="0"/>
              <w:left w:val="single" w:color="000000" w:sz="4" w:space="0"/>
              <w:bottom w:val="single" w:color="000000" w:sz="4" w:space="0"/>
              <w:right w:val="single" w:color="000000" w:sz="4" w:space="0"/>
            </w:tcBorders>
            <w:noWrap w:val="0"/>
            <w:vAlign w:val="center"/>
          </w:tcPr>
          <w:p w14:paraId="6EFE9FEA">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一、人员设备要求15分</w:t>
            </w:r>
          </w:p>
        </w:tc>
        <w:tc>
          <w:tcPr>
            <w:tcW w:w="1708" w:type="pct"/>
            <w:tcBorders>
              <w:top w:val="single" w:color="000000" w:sz="4" w:space="0"/>
              <w:left w:val="single" w:color="000000" w:sz="4" w:space="0"/>
              <w:bottom w:val="single" w:color="000000" w:sz="4" w:space="0"/>
              <w:right w:val="single" w:color="000000" w:sz="4" w:space="0"/>
            </w:tcBorders>
            <w:noWrap w:val="0"/>
            <w:vAlign w:val="center"/>
          </w:tcPr>
          <w:p w14:paraId="1DE79BFD">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1、参考《设备配置要求及</w:t>
            </w:r>
            <w:r>
              <w:rPr>
                <w:rFonts w:hint="eastAsia" w:ascii="宋体" w:hAnsi="宋体" w:eastAsia="宋体" w:cs="宋体"/>
                <w:b w:val="0"/>
                <w:bCs w:val="0"/>
                <w:color w:val="auto"/>
                <w:sz w:val="21"/>
                <w:szCs w:val="21"/>
                <w:highlight w:val="none"/>
                <w:lang w:val="en-US" w:eastAsia="zh-CN"/>
              </w:rPr>
              <w:t>人员配置要求</w:t>
            </w:r>
            <w:r>
              <w:rPr>
                <w:rFonts w:hint="eastAsia" w:ascii="宋体" w:hAnsi="宋体" w:eastAsia="宋体" w:cs="宋体"/>
                <w:i w:val="0"/>
                <w:iCs w:val="0"/>
                <w:color w:val="auto"/>
                <w:kern w:val="0"/>
                <w:sz w:val="21"/>
                <w:szCs w:val="21"/>
                <w:highlight w:val="none"/>
                <w:u w:val="none"/>
                <w:lang w:val="en-US" w:eastAsia="zh-CN" w:bidi="ar"/>
              </w:rPr>
              <w:t>》社区环卫保洁管理队伍机械设备人员清单及实际作业需要。</w:t>
            </w:r>
          </w:p>
        </w:tc>
        <w:tc>
          <w:tcPr>
            <w:tcW w:w="1870" w:type="pct"/>
            <w:tcBorders>
              <w:top w:val="single" w:color="000000" w:sz="4" w:space="0"/>
              <w:left w:val="single" w:color="000000" w:sz="4" w:space="0"/>
              <w:bottom w:val="single" w:color="000000" w:sz="4" w:space="0"/>
              <w:right w:val="single" w:color="000000" w:sz="4" w:space="0"/>
            </w:tcBorders>
            <w:noWrap w:val="0"/>
            <w:vAlign w:val="center"/>
          </w:tcPr>
          <w:p w14:paraId="5BD3804B">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1、每缺1名环卫工人扣1分扣完为止；</w:t>
            </w:r>
          </w:p>
          <w:p w14:paraId="3BE1B5A7">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2、每1名环卫监督员工作不到位扣2分，扣完为止；</w:t>
            </w:r>
          </w:p>
          <w:p w14:paraId="63D1116E">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3、每缺1台洒水车、扫地车、平板车或后置压缩车扣5分扣完为止；</w:t>
            </w:r>
          </w:p>
          <w:p w14:paraId="73E39C97">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4、其他工具扣1～5分。</w:t>
            </w:r>
          </w:p>
        </w:tc>
        <w:tc>
          <w:tcPr>
            <w:tcW w:w="447" w:type="pct"/>
            <w:tcBorders>
              <w:top w:val="single" w:color="000000" w:sz="4" w:space="0"/>
              <w:left w:val="single" w:color="000000" w:sz="4" w:space="0"/>
              <w:bottom w:val="single" w:color="000000" w:sz="4" w:space="0"/>
              <w:right w:val="single" w:color="000000" w:sz="4" w:space="0"/>
            </w:tcBorders>
            <w:noWrap/>
            <w:vAlign w:val="center"/>
          </w:tcPr>
          <w:p w14:paraId="3D775833">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c>
          <w:tcPr>
            <w:tcW w:w="468" w:type="pct"/>
            <w:tcBorders>
              <w:top w:val="single" w:color="000000" w:sz="4" w:space="0"/>
              <w:left w:val="single" w:color="000000" w:sz="4" w:space="0"/>
              <w:bottom w:val="single" w:color="000000" w:sz="4" w:space="0"/>
              <w:right w:val="single" w:color="000000" w:sz="4" w:space="0"/>
            </w:tcBorders>
            <w:noWrap/>
            <w:vAlign w:val="center"/>
          </w:tcPr>
          <w:p w14:paraId="2A9D5775">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r>
      <w:tr w14:paraId="7C5116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965" w:hRule="atLeast"/>
          <w:jc w:val="center"/>
        </w:trPr>
        <w:tc>
          <w:tcPr>
            <w:tcW w:w="504" w:type="pct"/>
            <w:vMerge w:val="restart"/>
            <w:tcBorders>
              <w:top w:val="single" w:color="000000" w:sz="4" w:space="0"/>
              <w:left w:val="single" w:color="000000" w:sz="4" w:space="0"/>
              <w:bottom w:val="single" w:color="000000" w:sz="4" w:space="0"/>
              <w:right w:val="single" w:color="000000" w:sz="4" w:space="0"/>
            </w:tcBorders>
            <w:noWrap w:val="0"/>
            <w:vAlign w:val="center"/>
          </w:tcPr>
          <w:p w14:paraId="0F299610">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kern w:val="0"/>
                <w:sz w:val="21"/>
                <w:szCs w:val="21"/>
                <w:highlight w:val="none"/>
                <w:u w:val="none"/>
                <w:lang w:val="en-US" w:eastAsia="zh-CN" w:bidi="ar"/>
              </w:rPr>
            </w:pPr>
          </w:p>
          <w:p w14:paraId="0E21E046">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二、路面清扫保洁20分</w:t>
            </w:r>
          </w:p>
        </w:tc>
        <w:tc>
          <w:tcPr>
            <w:tcW w:w="1708" w:type="pct"/>
            <w:tcBorders>
              <w:top w:val="single" w:color="000000" w:sz="4" w:space="0"/>
              <w:left w:val="single" w:color="000000" w:sz="4" w:space="0"/>
              <w:bottom w:val="single" w:color="000000" w:sz="4" w:space="0"/>
              <w:right w:val="single" w:color="000000" w:sz="4" w:space="0"/>
            </w:tcBorders>
            <w:noWrap w:val="0"/>
            <w:vAlign w:val="center"/>
          </w:tcPr>
          <w:p w14:paraId="21033638">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1、每日普扫一次，普扫作业在早上7时前完成；</w:t>
            </w:r>
          </w:p>
        </w:tc>
        <w:tc>
          <w:tcPr>
            <w:tcW w:w="1870" w:type="pct"/>
            <w:tcBorders>
              <w:top w:val="single" w:color="000000" w:sz="4" w:space="0"/>
              <w:left w:val="single" w:color="000000" w:sz="4" w:space="0"/>
              <w:bottom w:val="single" w:color="000000" w:sz="4" w:space="0"/>
              <w:right w:val="single" w:color="000000" w:sz="4" w:space="0"/>
            </w:tcBorders>
            <w:noWrap w:val="0"/>
            <w:vAlign w:val="center"/>
          </w:tcPr>
          <w:p w14:paraId="04CE00AF">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1、在规定时间内道路未扫完的，每次扣1分，扣完为止。</w:t>
            </w:r>
          </w:p>
        </w:tc>
        <w:tc>
          <w:tcPr>
            <w:tcW w:w="447" w:type="pct"/>
            <w:tcBorders>
              <w:top w:val="single" w:color="000000" w:sz="4" w:space="0"/>
              <w:left w:val="single" w:color="000000" w:sz="4" w:space="0"/>
              <w:bottom w:val="single" w:color="000000" w:sz="4" w:space="0"/>
              <w:right w:val="single" w:color="000000" w:sz="4" w:space="0"/>
            </w:tcBorders>
            <w:noWrap/>
            <w:vAlign w:val="center"/>
          </w:tcPr>
          <w:p w14:paraId="60EAD9FE">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c>
          <w:tcPr>
            <w:tcW w:w="468" w:type="pct"/>
            <w:tcBorders>
              <w:top w:val="single" w:color="000000" w:sz="4" w:space="0"/>
              <w:left w:val="single" w:color="000000" w:sz="4" w:space="0"/>
              <w:bottom w:val="single" w:color="000000" w:sz="4" w:space="0"/>
              <w:right w:val="single" w:color="000000" w:sz="4" w:space="0"/>
            </w:tcBorders>
            <w:noWrap/>
            <w:vAlign w:val="center"/>
          </w:tcPr>
          <w:p w14:paraId="0BB3CECD">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r>
      <w:tr w14:paraId="502E59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941" w:hRule="atLeast"/>
          <w:jc w:val="center"/>
        </w:trPr>
        <w:tc>
          <w:tcPr>
            <w:tcW w:w="504" w:type="pct"/>
            <w:vMerge w:val="continue"/>
            <w:tcBorders>
              <w:top w:val="single" w:color="000000" w:sz="4" w:space="0"/>
              <w:left w:val="single" w:color="000000" w:sz="4" w:space="0"/>
              <w:bottom w:val="single" w:color="000000" w:sz="4" w:space="0"/>
              <w:right w:val="single" w:color="000000" w:sz="4" w:space="0"/>
            </w:tcBorders>
            <w:noWrap w:val="0"/>
            <w:vAlign w:val="center"/>
          </w:tcPr>
          <w:p w14:paraId="03A3AF06">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c>
          <w:tcPr>
            <w:tcW w:w="1708" w:type="pct"/>
            <w:tcBorders>
              <w:top w:val="single" w:color="000000" w:sz="4" w:space="0"/>
              <w:left w:val="single" w:color="000000" w:sz="4" w:space="0"/>
              <w:bottom w:val="single" w:color="000000" w:sz="4" w:space="0"/>
              <w:right w:val="single" w:color="000000" w:sz="4" w:space="0"/>
            </w:tcBorders>
            <w:noWrap w:val="0"/>
            <w:vAlign w:val="center"/>
          </w:tcPr>
          <w:p w14:paraId="41AF2EED">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2、保洁时间：三级区域道路从早上7时至晚上19时（12小时）,虎门镇村（社区）中心区域及居住区道路从早上7时至晚上19时（12小时）维持道路清洁。</w:t>
            </w:r>
          </w:p>
        </w:tc>
        <w:tc>
          <w:tcPr>
            <w:tcW w:w="1870" w:type="pct"/>
            <w:tcBorders>
              <w:top w:val="single" w:color="000000" w:sz="4" w:space="0"/>
              <w:left w:val="single" w:color="000000" w:sz="4" w:space="0"/>
              <w:bottom w:val="single" w:color="000000" w:sz="4" w:space="0"/>
              <w:right w:val="single" w:color="000000" w:sz="4" w:space="0"/>
            </w:tcBorders>
            <w:noWrap w:val="0"/>
            <w:vAlign w:val="center"/>
          </w:tcPr>
          <w:p w14:paraId="6A1D29F4">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2、达不到要求的，每缺1小时扣1分，扣完为止。</w:t>
            </w:r>
          </w:p>
        </w:tc>
        <w:tc>
          <w:tcPr>
            <w:tcW w:w="447" w:type="pct"/>
            <w:tcBorders>
              <w:top w:val="single" w:color="000000" w:sz="4" w:space="0"/>
              <w:left w:val="single" w:color="000000" w:sz="4" w:space="0"/>
              <w:bottom w:val="single" w:color="000000" w:sz="4" w:space="0"/>
              <w:right w:val="single" w:color="000000" w:sz="4" w:space="0"/>
            </w:tcBorders>
            <w:noWrap/>
            <w:vAlign w:val="center"/>
          </w:tcPr>
          <w:p w14:paraId="2482DDCF">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c>
          <w:tcPr>
            <w:tcW w:w="468" w:type="pct"/>
            <w:tcBorders>
              <w:top w:val="single" w:color="000000" w:sz="4" w:space="0"/>
              <w:left w:val="single" w:color="000000" w:sz="4" w:space="0"/>
              <w:bottom w:val="single" w:color="000000" w:sz="4" w:space="0"/>
              <w:right w:val="single" w:color="000000" w:sz="4" w:space="0"/>
            </w:tcBorders>
            <w:noWrap/>
            <w:vAlign w:val="center"/>
          </w:tcPr>
          <w:p w14:paraId="1B82D829">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r>
      <w:tr w14:paraId="42EA1A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1561" w:hRule="atLeast"/>
          <w:jc w:val="center"/>
        </w:trPr>
        <w:tc>
          <w:tcPr>
            <w:tcW w:w="504" w:type="pct"/>
            <w:vMerge w:val="continue"/>
            <w:tcBorders>
              <w:top w:val="single" w:color="000000" w:sz="4" w:space="0"/>
              <w:left w:val="single" w:color="000000" w:sz="4" w:space="0"/>
              <w:bottom w:val="single" w:color="000000" w:sz="4" w:space="0"/>
              <w:right w:val="single" w:color="000000" w:sz="4" w:space="0"/>
            </w:tcBorders>
            <w:noWrap w:val="0"/>
            <w:vAlign w:val="center"/>
          </w:tcPr>
          <w:p w14:paraId="516EF051">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c>
          <w:tcPr>
            <w:tcW w:w="1708" w:type="pct"/>
            <w:tcBorders>
              <w:top w:val="single" w:color="000000" w:sz="4" w:space="0"/>
              <w:left w:val="single" w:color="000000" w:sz="4" w:space="0"/>
              <w:bottom w:val="single" w:color="000000" w:sz="4" w:space="0"/>
              <w:right w:val="single" w:color="000000" w:sz="4" w:space="0"/>
            </w:tcBorders>
            <w:noWrap w:val="0"/>
            <w:vAlign w:val="center"/>
          </w:tcPr>
          <w:p w14:paraId="1B65CB3B">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3、农田、鱼塘边、山边卫生保洁要做到无垃圾、无杂物、无渣土、无乱堆乱放、无卫生死角。公共场所周围应整洁，无乱堆杂物、存留垃圾、人畜粪便和污水。</w:t>
            </w:r>
          </w:p>
        </w:tc>
        <w:tc>
          <w:tcPr>
            <w:tcW w:w="1870" w:type="pct"/>
            <w:tcBorders>
              <w:top w:val="single" w:color="000000" w:sz="4" w:space="0"/>
              <w:left w:val="single" w:color="000000" w:sz="4" w:space="0"/>
              <w:bottom w:val="single" w:color="000000" w:sz="4" w:space="0"/>
              <w:right w:val="single" w:color="000000" w:sz="4" w:space="0"/>
            </w:tcBorders>
            <w:noWrap w:val="0"/>
            <w:vAlign w:val="center"/>
          </w:tcPr>
          <w:p w14:paraId="6701853D">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3、发现未清理的，每处扣0.5分，扣完为止。</w:t>
            </w:r>
          </w:p>
        </w:tc>
        <w:tc>
          <w:tcPr>
            <w:tcW w:w="447" w:type="pct"/>
            <w:tcBorders>
              <w:top w:val="single" w:color="000000" w:sz="4" w:space="0"/>
              <w:left w:val="single" w:color="000000" w:sz="4" w:space="0"/>
              <w:bottom w:val="single" w:color="000000" w:sz="4" w:space="0"/>
              <w:right w:val="single" w:color="000000" w:sz="4" w:space="0"/>
            </w:tcBorders>
            <w:noWrap/>
            <w:vAlign w:val="center"/>
          </w:tcPr>
          <w:p w14:paraId="3171E403">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c>
          <w:tcPr>
            <w:tcW w:w="468" w:type="pct"/>
            <w:tcBorders>
              <w:top w:val="single" w:color="000000" w:sz="4" w:space="0"/>
              <w:left w:val="single" w:color="000000" w:sz="4" w:space="0"/>
              <w:bottom w:val="single" w:color="000000" w:sz="4" w:space="0"/>
              <w:right w:val="single" w:color="000000" w:sz="4" w:space="0"/>
            </w:tcBorders>
            <w:noWrap/>
            <w:vAlign w:val="center"/>
          </w:tcPr>
          <w:p w14:paraId="53EA170A">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r>
      <w:tr w14:paraId="743664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686" w:hRule="atLeast"/>
          <w:jc w:val="center"/>
        </w:trPr>
        <w:tc>
          <w:tcPr>
            <w:tcW w:w="504" w:type="pct"/>
            <w:vMerge w:val="continue"/>
            <w:tcBorders>
              <w:top w:val="single" w:color="000000" w:sz="4" w:space="0"/>
              <w:left w:val="single" w:color="000000" w:sz="4" w:space="0"/>
              <w:bottom w:val="single" w:color="000000" w:sz="4" w:space="0"/>
              <w:right w:val="single" w:color="000000" w:sz="4" w:space="0"/>
            </w:tcBorders>
            <w:noWrap w:val="0"/>
            <w:vAlign w:val="center"/>
          </w:tcPr>
          <w:p w14:paraId="4FE8EE5B">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c>
          <w:tcPr>
            <w:tcW w:w="1708" w:type="pct"/>
            <w:tcBorders>
              <w:top w:val="single" w:color="000000" w:sz="4" w:space="0"/>
              <w:left w:val="single" w:color="000000" w:sz="4" w:space="0"/>
              <w:bottom w:val="single" w:color="000000" w:sz="4" w:space="0"/>
              <w:right w:val="single" w:color="000000" w:sz="4" w:space="0"/>
            </w:tcBorders>
            <w:noWrap w:val="0"/>
            <w:vAlign w:val="center"/>
          </w:tcPr>
          <w:p w14:paraId="04A0D3C9">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4、路面清扫要求达到“九无、四净一通”标准。</w:t>
            </w:r>
          </w:p>
        </w:tc>
        <w:tc>
          <w:tcPr>
            <w:tcW w:w="1870" w:type="pct"/>
            <w:tcBorders>
              <w:top w:val="single" w:color="000000" w:sz="4" w:space="0"/>
              <w:left w:val="single" w:color="000000" w:sz="4" w:space="0"/>
              <w:bottom w:val="single" w:color="000000" w:sz="4" w:space="0"/>
              <w:right w:val="single" w:color="000000" w:sz="4" w:space="0"/>
            </w:tcBorders>
            <w:noWrap w:val="0"/>
            <w:vAlign w:val="center"/>
          </w:tcPr>
          <w:p w14:paraId="72AA186E">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4、未达到要求的，每项每处扣0.5分，扣完为止。</w:t>
            </w:r>
          </w:p>
        </w:tc>
        <w:tc>
          <w:tcPr>
            <w:tcW w:w="447" w:type="pct"/>
            <w:tcBorders>
              <w:top w:val="single" w:color="000000" w:sz="4" w:space="0"/>
              <w:left w:val="single" w:color="000000" w:sz="4" w:space="0"/>
              <w:bottom w:val="single" w:color="000000" w:sz="4" w:space="0"/>
              <w:right w:val="single" w:color="000000" w:sz="4" w:space="0"/>
            </w:tcBorders>
            <w:noWrap/>
            <w:vAlign w:val="center"/>
          </w:tcPr>
          <w:p w14:paraId="384A3599">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c>
          <w:tcPr>
            <w:tcW w:w="468" w:type="pct"/>
            <w:tcBorders>
              <w:top w:val="single" w:color="000000" w:sz="4" w:space="0"/>
              <w:left w:val="single" w:color="000000" w:sz="4" w:space="0"/>
              <w:bottom w:val="single" w:color="000000" w:sz="4" w:space="0"/>
              <w:right w:val="single" w:color="000000" w:sz="4" w:space="0"/>
            </w:tcBorders>
            <w:noWrap/>
            <w:vAlign w:val="center"/>
          </w:tcPr>
          <w:p w14:paraId="48751B33">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r>
      <w:tr w14:paraId="3814BF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1263" w:hRule="atLeast"/>
          <w:jc w:val="center"/>
        </w:trPr>
        <w:tc>
          <w:tcPr>
            <w:tcW w:w="504" w:type="pct"/>
            <w:vMerge w:val="continue"/>
            <w:tcBorders>
              <w:top w:val="single" w:color="000000" w:sz="4" w:space="0"/>
              <w:left w:val="single" w:color="000000" w:sz="4" w:space="0"/>
              <w:bottom w:val="single" w:color="000000" w:sz="4" w:space="0"/>
              <w:right w:val="single" w:color="000000" w:sz="4" w:space="0"/>
            </w:tcBorders>
            <w:noWrap w:val="0"/>
            <w:vAlign w:val="center"/>
          </w:tcPr>
          <w:p w14:paraId="07B0A036">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c>
          <w:tcPr>
            <w:tcW w:w="1708" w:type="pct"/>
            <w:tcBorders>
              <w:top w:val="single" w:color="000000" w:sz="4" w:space="0"/>
              <w:left w:val="single" w:color="000000" w:sz="4" w:space="0"/>
              <w:bottom w:val="single" w:color="000000" w:sz="4" w:space="0"/>
              <w:right w:val="single" w:color="000000" w:sz="4" w:space="0"/>
            </w:tcBorders>
            <w:noWrap w:val="0"/>
            <w:vAlign w:val="center"/>
          </w:tcPr>
          <w:p w14:paraId="365E0AFF">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5、清扫保洁人员应穿着统一制作的行业工作服，保持衣冠整齐，有明显所属单位标志，夜间作业应佩带反光安全标志。</w:t>
            </w:r>
          </w:p>
        </w:tc>
        <w:tc>
          <w:tcPr>
            <w:tcW w:w="1870" w:type="pct"/>
            <w:tcBorders>
              <w:top w:val="single" w:color="000000" w:sz="4" w:space="0"/>
              <w:left w:val="single" w:color="000000" w:sz="4" w:space="0"/>
              <w:bottom w:val="single" w:color="000000" w:sz="4" w:space="0"/>
              <w:right w:val="single" w:color="000000" w:sz="4" w:space="0"/>
            </w:tcBorders>
            <w:noWrap w:val="0"/>
            <w:vAlign w:val="center"/>
          </w:tcPr>
          <w:p w14:paraId="5B580310">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5、发现未着标志服上岗的，每人扣0.2分，扣完为止。</w:t>
            </w:r>
          </w:p>
        </w:tc>
        <w:tc>
          <w:tcPr>
            <w:tcW w:w="447" w:type="pct"/>
            <w:tcBorders>
              <w:top w:val="single" w:color="000000" w:sz="4" w:space="0"/>
              <w:left w:val="single" w:color="000000" w:sz="4" w:space="0"/>
              <w:bottom w:val="single" w:color="000000" w:sz="4" w:space="0"/>
              <w:right w:val="single" w:color="000000" w:sz="4" w:space="0"/>
            </w:tcBorders>
            <w:noWrap/>
            <w:vAlign w:val="center"/>
          </w:tcPr>
          <w:p w14:paraId="6A612DD8">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c>
          <w:tcPr>
            <w:tcW w:w="468" w:type="pct"/>
            <w:tcBorders>
              <w:top w:val="single" w:color="000000" w:sz="4" w:space="0"/>
              <w:left w:val="single" w:color="000000" w:sz="4" w:space="0"/>
              <w:bottom w:val="single" w:color="000000" w:sz="4" w:space="0"/>
              <w:right w:val="single" w:color="000000" w:sz="4" w:space="0"/>
            </w:tcBorders>
            <w:noWrap/>
            <w:vAlign w:val="center"/>
          </w:tcPr>
          <w:p w14:paraId="5766C7A7">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r>
      <w:tr w14:paraId="579C74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1251" w:hRule="atLeast"/>
          <w:jc w:val="center"/>
        </w:trPr>
        <w:tc>
          <w:tcPr>
            <w:tcW w:w="504" w:type="pct"/>
            <w:vMerge w:val="restart"/>
            <w:tcBorders>
              <w:top w:val="single" w:color="000000" w:sz="4" w:space="0"/>
              <w:left w:val="single" w:color="000000" w:sz="4" w:space="0"/>
              <w:bottom w:val="single" w:color="000000" w:sz="4" w:space="0"/>
              <w:right w:val="single" w:color="000000" w:sz="4" w:space="0"/>
            </w:tcBorders>
            <w:noWrap w:val="0"/>
            <w:vAlign w:val="center"/>
          </w:tcPr>
          <w:p w14:paraId="70F72E19">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三、路面冲洗20分</w:t>
            </w:r>
          </w:p>
        </w:tc>
        <w:tc>
          <w:tcPr>
            <w:tcW w:w="1708" w:type="pct"/>
            <w:tcBorders>
              <w:top w:val="single" w:color="000000" w:sz="4" w:space="0"/>
              <w:left w:val="single" w:color="000000" w:sz="4" w:space="0"/>
              <w:bottom w:val="single" w:color="000000" w:sz="4" w:space="0"/>
              <w:right w:val="single" w:color="000000" w:sz="4" w:space="0"/>
            </w:tcBorders>
            <w:noWrap w:val="0"/>
            <w:vAlign w:val="center"/>
          </w:tcPr>
          <w:p w14:paraId="5A9712FB">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1、三级区域一般省道、一般县道、乡村道路每日洒水不少于1次，三级区域村（社区）中心区域及居住区巷道视具体情况决定，四级道路视具体情况决定）</w:t>
            </w:r>
          </w:p>
        </w:tc>
        <w:tc>
          <w:tcPr>
            <w:tcW w:w="1870" w:type="pct"/>
            <w:tcBorders>
              <w:top w:val="single" w:color="000000" w:sz="4" w:space="0"/>
              <w:left w:val="single" w:color="000000" w:sz="4" w:space="0"/>
              <w:bottom w:val="single" w:color="000000" w:sz="4" w:space="0"/>
              <w:right w:val="single" w:color="000000" w:sz="4" w:space="0"/>
            </w:tcBorders>
            <w:noWrap w:val="0"/>
            <w:vAlign w:val="center"/>
          </w:tcPr>
          <w:p w14:paraId="27BC7D7C">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1、未按时喷洒的，每次扣1分，扣完为止。</w:t>
            </w:r>
          </w:p>
        </w:tc>
        <w:tc>
          <w:tcPr>
            <w:tcW w:w="447" w:type="pct"/>
            <w:tcBorders>
              <w:top w:val="single" w:color="000000" w:sz="4" w:space="0"/>
              <w:left w:val="single" w:color="000000" w:sz="4" w:space="0"/>
              <w:bottom w:val="single" w:color="000000" w:sz="4" w:space="0"/>
              <w:right w:val="single" w:color="000000" w:sz="4" w:space="0"/>
            </w:tcBorders>
            <w:noWrap/>
            <w:vAlign w:val="center"/>
          </w:tcPr>
          <w:p w14:paraId="407ECDE1">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c>
          <w:tcPr>
            <w:tcW w:w="468" w:type="pct"/>
            <w:tcBorders>
              <w:top w:val="single" w:color="000000" w:sz="4" w:space="0"/>
              <w:left w:val="single" w:color="000000" w:sz="4" w:space="0"/>
              <w:bottom w:val="single" w:color="000000" w:sz="4" w:space="0"/>
              <w:right w:val="single" w:color="000000" w:sz="4" w:space="0"/>
            </w:tcBorders>
            <w:noWrap/>
            <w:vAlign w:val="center"/>
          </w:tcPr>
          <w:p w14:paraId="5D2A0AFA">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r>
      <w:tr w14:paraId="43EDD0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1402" w:hRule="atLeast"/>
          <w:jc w:val="center"/>
        </w:trPr>
        <w:tc>
          <w:tcPr>
            <w:tcW w:w="504" w:type="pct"/>
            <w:vMerge w:val="continue"/>
            <w:tcBorders>
              <w:top w:val="single" w:color="000000" w:sz="4" w:space="0"/>
              <w:left w:val="single" w:color="000000" w:sz="4" w:space="0"/>
              <w:bottom w:val="single" w:color="000000" w:sz="4" w:space="0"/>
              <w:right w:val="single" w:color="000000" w:sz="4" w:space="0"/>
            </w:tcBorders>
            <w:noWrap w:val="0"/>
            <w:vAlign w:val="center"/>
          </w:tcPr>
          <w:p w14:paraId="74E8A40F">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c>
          <w:tcPr>
            <w:tcW w:w="1708" w:type="pct"/>
            <w:tcBorders>
              <w:top w:val="single" w:color="000000" w:sz="4" w:space="0"/>
              <w:left w:val="single" w:color="000000" w:sz="4" w:space="0"/>
              <w:bottom w:val="single" w:color="000000" w:sz="4" w:space="0"/>
              <w:right w:val="single" w:color="000000" w:sz="4" w:space="0"/>
            </w:tcBorders>
            <w:noWrap w:val="0"/>
            <w:vAlign w:val="center"/>
          </w:tcPr>
          <w:p w14:paraId="408587A4">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城区车道路面、路牙冲洗作业：每晚冲洗1次车道路面，冲洗后路牙无泥沙、路面应干净且基本见本色，道路冲洗作业时间应视实际情况安排，须在不影响行人、行车、沿街商铺的情况下进行；社区每周冲洗车道道路路面不少于2次，冲洗后路面应干净。道路冲洗作业时间应视实际情况安排，须在不影响行人、行车、沿街商铺的情况下进行。</w:t>
            </w:r>
          </w:p>
        </w:tc>
        <w:tc>
          <w:tcPr>
            <w:tcW w:w="1870" w:type="pct"/>
            <w:tcBorders>
              <w:top w:val="single" w:color="000000" w:sz="4" w:space="0"/>
              <w:left w:val="single" w:color="000000" w:sz="4" w:space="0"/>
              <w:bottom w:val="single" w:color="000000" w:sz="4" w:space="0"/>
              <w:right w:val="single" w:color="000000" w:sz="4" w:space="0"/>
            </w:tcBorders>
            <w:noWrap w:val="0"/>
            <w:vAlign w:val="center"/>
          </w:tcPr>
          <w:p w14:paraId="31577A53">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2、未按时按要求冲洗的，每次扣1分，扣完为止。</w:t>
            </w:r>
          </w:p>
        </w:tc>
        <w:tc>
          <w:tcPr>
            <w:tcW w:w="447" w:type="pct"/>
            <w:tcBorders>
              <w:top w:val="single" w:color="000000" w:sz="4" w:space="0"/>
              <w:left w:val="single" w:color="000000" w:sz="4" w:space="0"/>
              <w:bottom w:val="single" w:color="000000" w:sz="4" w:space="0"/>
              <w:right w:val="single" w:color="000000" w:sz="4" w:space="0"/>
            </w:tcBorders>
            <w:noWrap/>
            <w:vAlign w:val="center"/>
          </w:tcPr>
          <w:p w14:paraId="4A3E20AC">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c>
          <w:tcPr>
            <w:tcW w:w="468" w:type="pct"/>
            <w:tcBorders>
              <w:top w:val="single" w:color="000000" w:sz="4" w:space="0"/>
              <w:left w:val="single" w:color="000000" w:sz="4" w:space="0"/>
              <w:bottom w:val="single" w:color="000000" w:sz="4" w:space="0"/>
              <w:right w:val="single" w:color="000000" w:sz="4" w:space="0"/>
            </w:tcBorders>
            <w:noWrap/>
            <w:vAlign w:val="center"/>
          </w:tcPr>
          <w:p w14:paraId="607C9880">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r>
      <w:tr w14:paraId="0817FD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1561" w:hRule="atLeast"/>
          <w:jc w:val="center"/>
        </w:trPr>
        <w:tc>
          <w:tcPr>
            <w:tcW w:w="504" w:type="pct"/>
            <w:vMerge w:val="continue"/>
            <w:tcBorders>
              <w:top w:val="single" w:color="000000" w:sz="4" w:space="0"/>
              <w:left w:val="single" w:color="000000" w:sz="4" w:space="0"/>
              <w:bottom w:val="single" w:color="000000" w:sz="4" w:space="0"/>
              <w:right w:val="single" w:color="000000" w:sz="4" w:space="0"/>
            </w:tcBorders>
            <w:noWrap w:val="0"/>
            <w:vAlign w:val="center"/>
          </w:tcPr>
          <w:p w14:paraId="4B70BB13">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c>
          <w:tcPr>
            <w:tcW w:w="1708" w:type="pct"/>
            <w:tcBorders>
              <w:top w:val="single" w:color="000000" w:sz="4" w:space="0"/>
              <w:left w:val="single" w:color="000000" w:sz="4" w:space="0"/>
              <w:bottom w:val="single" w:color="000000" w:sz="4" w:space="0"/>
              <w:right w:val="single" w:color="000000" w:sz="4" w:space="0"/>
            </w:tcBorders>
            <w:noWrap w:val="0"/>
            <w:vAlign w:val="center"/>
          </w:tcPr>
          <w:p w14:paraId="02866DA4">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3、路面分隔栏、护栏、人行天桥清洗作业：人行天桥每周不少于2次清洗，每周不少于1次清洗路面分隔栏、护栏，清洗后设施无污迹、积尘，基本见本色。</w:t>
            </w:r>
          </w:p>
        </w:tc>
        <w:tc>
          <w:tcPr>
            <w:tcW w:w="1870" w:type="pct"/>
            <w:tcBorders>
              <w:top w:val="single" w:color="000000" w:sz="4" w:space="0"/>
              <w:left w:val="single" w:color="000000" w:sz="4" w:space="0"/>
              <w:bottom w:val="single" w:color="000000" w:sz="4" w:space="0"/>
              <w:right w:val="single" w:color="000000" w:sz="4" w:space="0"/>
            </w:tcBorders>
            <w:noWrap w:val="0"/>
            <w:vAlign w:val="center"/>
          </w:tcPr>
          <w:p w14:paraId="27EB26B0">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3、未按时按要求冲洗的，每次扣1分，扣完为止。</w:t>
            </w:r>
          </w:p>
        </w:tc>
        <w:tc>
          <w:tcPr>
            <w:tcW w:w="447" w:type="pct"/>
            <w:tcBorders>
              <w:top w:val="single" w:color="000000" w:sz="4" w:space="0"/>
              <w:left w:val="single" w:color="000000" w:sz="4" w:space="0"/>
              <w:bottom w:val="single" w:color="000000" w:sz="4" w:space="0"/>
              <w:right w:val="single" w:color="000000" w:sz="4" w:space="0"/>
            </w:tcBorders>
            <w:noWrap/>
            <w:vAlign w:val="center"/>
          </w:tcPr>
          <w:p w14:paraId="1CF1BB54">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c>
          <w:tcPr>
            <w:tcW w:w="468" w:type="pct"/>
            <w:tcBorders>
              <w:top w:val="single" w:color="000000" w:sz="4" w:space="0"/>
              <w:left w:val="single" w:color="000000" w:sz="4" w:space="0"/>
              <w:bottom w:val="single" w:color="000000" w:sz="4" w:space="0"/>
              <w:right w:val="single" w:color="000000" w:sz="4" w:space="0"/>
            </w:tcBorders>
            <w:noWrap/>
            <w:vAlign w:val="center"/>
          </w:tcPr>
          <w:p w14:paraId="265C686F">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r>
      <w:tr w14:paraId="5B8C8B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1561" w:hRule="atLeast"/>
          <w:jc w:val="center"/>
        </w:trPr>
        <w:tc>
          <w:tcPr>
            <w:tcW w:w="504" w:type="pct"/>
            <w:vMerge w:val="continue"/>
            <w:tcBorders>
              <w:top w:val="single" w:color="000000" w:sz="4" w:space="0"/>
              <w:left w:val="single" w:color="000000" w:sz="4" w:space="0"/>
              <w:bottom w:val="single" w:color="000000" w:sz="4" w:space="0"/>
              <w:right w:val="single" w:color="000000" w:sz="4" w:space="0"/>
            </w:tcBorders>
            <w:noWrap w:val="0"/>
            <w:vAlign w:val="center"/>
          </w:tcPr>
          <w:p w14:paraId="27FFE729">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c>
          <w:tcPr>
            <w:tcW w:w="1708" w:type="pct"/>
            <w:tcBorders>
              <w:top w:val="single" w:color="000000" w:sz="4" w:space="0"/>
              <w:left w:val="single" w:color="000000" w:sz="4" w:space="0"/>
              <w:bottom w:val="single" w:color="000000" w:sz="4" w:space="0"/>
              <w:right w:val="single" w:color="000000" w:sz="4" w:space="0"/>
            </w:tcBorders>
            <w:noWrap w:val="0"/>
            <w:vAlign w:val="center"/>
          </w:tcPr>
          <w:p w14:paraId="59845E70">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4、城区路段人行道按要求每周冲洗不小于2次，社区路段人行道每周不少于1次，冲洗后人行道路面干净基本见本色，道路冲洗作业时间应视实际情况安排，须在不影响行人、行车、沿街商铺的情况下进行。</w:t>
            </w:r>
          </w:p>
        </w:tc>
        <w:tc>
          <w:tcPr>
            <w:tcW w:w="1870" w:type="pct"/>
            <w:tcBorders>
              <w:top w:val="single" w:color="000000" w:sz="4" w:space="0"/>
              <w:left w:val="single" w:color="000000" w:sz="4" w:space="0"/>
              <w:bottom w:val="single" w:color="000000" w:sz="4" w:space="0"/>
              <w:right w:val="single" w:color="000000" w:sz="4" w:space="0"/>
            </w:tcBorders>
            <w:noWrap w:val="0"/>
            <w:vAlign w:val="center"/>
          </w:tcPr>
          <w:p w14:paraId="0F034486">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4、未按时按要求冲洗的，每次扣0.5分，扣完为止。</w:t>
            </w:r>
          </w:p>
        </w:tc>
        <w:tc>
          <w:tcPr>
            <w:tcW w:w="447" w:type="pct"/>
            <w:tcBorders>
              <w:top w:val="single" w:color="000000" w:sz="4" w:space="0"/>
              <w:left w:val="single" w:color="000000" w:sz="4" w:space="0"/>
              <w:bottom w:val="single" w:color="000000" w:sz="4" w:space="0"/>
              <w:right w:val="single" w:color="000000" w:sz="4" w:space="0"/>
            </w:tcBorders>
            <w:noWrap/>
            <w:vAlign w:val="center"/>
          </w:tcPr>
          <w:p w14:paraId="581E6BA2">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c>
          <w:tcPr>
            <w:tcW w:w="468" w:type="pct"/>
            <w:tcBorders>
              <w:top w:val="single" w:color="000000" w:sz="4" w:space="0"/>
              <w:left w:val="single" w:color="000000" w:sz="4" w:space="0"/>
              <w:bottom w:val="single" w:color="000000" w:sz="4" w:space="0"/>
              <w:right w:val="single" w:color="000000" w:sz="4" w:space="0"/>
            </w:tcBorders>
            <w:noWrap/>
            <w:vAlign w:val="center"/>
          </w:tcPr>
          <w:p w14:paraId="075D58FA">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r>
      <w:tr w14:paraId="4604B8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1363" w:hRule="atLeast"/>
          <w:jc w:val="center"/>
        </w:trPr>
        <w:tc>
          <w:tcPr>
            <w:tcW w:w="504" w:type="pct"/>
            <w:vMerge w:val="continue"/>
            <w:tcBorders>
              <w:top w:val="single" w:color="000000" w:sz="4" w:space="0"/>
              <w:left w:val="single" w:color="000000" w:sz="4" w:space="0"/>
              <w:bottom w:val="single" w:color="000000" w:sz="4" w:space="0"/>
              <w:right w:val="single" w:color="000000" w:sz="4" w:space="0"/>
            </w:tcBorders>
            <w:noWrap w:val="0"/>
            <w:vAlign w:val="center"/>
          </w:tcPr>
          <w:p w14:paraId="22C901D2">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c>
          <w:tcPr>
            <w:tcW w:w="1708" w:type="pct"/>
            <w:tcBorders>
              <w:top w:val="single" w:color="000000" w:sz="4" w:space="0"/>
              <w:left w:val="single" w:color="000000" w:sz="4" w:space="0"/>
              <w:bottom w:val="single" w:color="000000" w:sz="4" w:space="0"/>
              <w:right w:val="single" w:color="000000" w:sz="4" w:space="0"/>
            </w:tcBorders>
            <w:noWrap w:val="0"/>
            <w:vAlign w:val="center"/>
          </w:tcPr>
          <w:p w14:paraId="43B1C209">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5、雨水井、明渠等渠井设施清理作业：正常季节（1-4月、9-12月）：每周至少集中清理1次，雨季（5-8月）：每周至少集中清理2次雨水井、明渠等渠井设施，使可视范围内渠井设施干净、无垃圾杂物、无淤泥。</w:t>
            </w:r>
          </w:p>
        </w:tc>
        <w:tc>
          <w:tcPr>
            <w:tcW w:w="1870" w:type="pct"/>
            <w:tcBorders>
              <w:top w:val="single" w:color="000000" w:sz="4" w:space="0"/>
              <w:left w:val="single" w:color="000000" w:sz="4" w:space="0"/>
              <w:bottom w:val="single" w:color="000000" w:sz="4" w:space="0"/>
              <w:right w:val="single" w:color="000000" w:sz="4" w:space="0"/>
            </w:tcBorders>
            <w:noWrap w:val="0"/>
            <w:vAlign w:val="center"/>
          </w:tcPr>
          <w:p w14:paraId="26ACD32B">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5、未按时按要求清理的，每次扣2分，扣完为止。</w:t>
            </w:r>
          </w:p>
        </w:tc>
        <w:tc>
          <w:tcPr>
            <w:tcW w:w="447" w:type="pct"/>
            <w:tcBorders>
              <w:top w:val="single" w:color="000000" w:sz="4" w:space="0"/>
              <w:left w:val="single" w:color="000000" w:sz="4" w:space="0"/>
              <w:bottom w:val="single" w:color="000000" w:sz="4" w:space="0"/>
              <w:right w:val="single" w:color="000000" w:sz="4" w:space="0"/>
            </w:tcBorders>
            <w:noWrap/>
            <w:vAlign w:val="center"/>
          </w:tcPr>
          <w:p w14:paraId="75175FB2">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c>
          <w:tcPr>
            <w:tcW w:w="468" w:type="pct"/>
            <w:tcBorders>
              <w:top w:val="single" w:color="000000" w:sz="4" w:space="0"/>
              <w:left w:val="single" w:color="000000" w:sz="4" w:space="0"/>
              <w:bottom w:val="single" w:color="000000" w:sz="4" w:space="0"/>
              <w:right w:val="single" w:color="000000" w:sz="4" w:space="0"/>
            </w:tcBorders>
            <w:noWrap/>
            <w:vAlign w:val="center"/>
          </w:tcPr>
          <w:p w14:paraId="1B98AF9E">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r>
      <w:tr w14:paraId="775550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686" w:hRule="atLeast"/>
          <w:jc w:val="center"/>
        </w:trPr>
        <w:tc>
          <w:tcPr>
            <w:tcW w:w="504" w:type="pct"/>
            <w:vMerge w:val="restart"/>
            <w:tcBorders>
              <w:top w:val="single" w:color="000000" w:sz="4" w:space="0"/>
              <w:left w:val="single" w:color="000000" w:sz="4" w:space="0"/>
              <w:right w:val="single" w:color="000000" w:sz="4" w:space="0"/>
            </w:tcBorders>
            <w:noWrap w:val="0"/>
            <w:vAlign w:val="center"/>
          </w:tcPr>
          <w:p w14:paraId="09F66D0F">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四、</w:t>
            </w:r>
          </w:p>
          <w:p w14:paraId="052A2BF5">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垃圾处理25分</w:t>
            </w:r>
          </w:p>
        </w:tc>
        <w:tc>
          <w:tcPr>
            <w:tcW w:w="1708" w:type="pct"/>
            <w:tcBorders>
              <w:top w:val="single" w:color="000000" w:sz="4" w:space="0"/>
              <w:left w:val="single" w:color="000000" w:sz="4" w:space="0"/>
              <w:bottom w:val="single" w:color="000000" w:sz="4" w:space="0"/>
              <w:right w:val="single" w:color="000000" w:sz="4" w:space="0"/>
            </w:tcBorders>
            <w:noWrap w:val="0"/>
            <w:vAlign w:val="center"/>
          </w:tcPr>
          <w:p w14:paraId="52923473">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1、路面废弃物达到控制指标或无漏收堆。</w:t>
            </w:r>
          </w:p>
        </w:tc>
        <w:tc>
          <w:tcPr>
            <w:tcW w:w="1870" w:type="pct"/>
            <w:tcBorders>
              <w:top w:val="single" w:color="000000" w:sz="4" w:space="0"/>
              <w:left w:val="single" w:color="000000" w:sz="4" w:space="0"/>
              <w:bottom w:val="single" w:color="000000" w:sz="4" w:space="0"/>
              <w:right w:val="single" w:color="000000" w:sz="4" w:space="0"/>
            </w:tcBorders>
            <w:noWrap w:val="0"/>
            <w:vAlign w:val="center"/>
          </w:tcPr>
          <w:p w14:paraId="02AAF08B">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1、越过指标或有漏收堆的，每处扣0.5分，扣完为止。</w:t>
            </w:r>
          </w:p>
        </w:tc>
        <w:tc>
          <w:tcPr>
            <w:tcW w:w="447" w:type="pct"/>
            <w:tcBorders>
              <w:top w:val="single" w:color="000000" w:sz="4" w:space="0"/>
              <w:left w:val="single" w:color="000000" w:sz="4" w:space="0"/>
              <w:bottom w:val="single" w:color="000000" w:sz="4" w:space="0"/>
              <w:right w:val="single" w:color="000000" w:sz="4" w:space="0"/>
            </w:tcBorders>
            <w:noWrap/>
            <w:vAlign w:val="center"/>
          </w:tcPr>
          <w:p w14:paraId="15E8D0CB">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c>
          <w:tcPr>
            <w:tcW w:w="468" w:type="pct"/>
            <w:tcBorders>
              <w:top w:val="single" w:color="000000" w:sz="4" w:space="0"/>
              <w:left w:val="single" w:color="000000" w:sz="4" w:space="0"/>
              <w:bottom w:val="single" w:color="000000" w:sz="4" w:space="0"/>
              <w:right w:val="single" w:color="000000" w:sz="4" w:space="0"/>
            </w:tcBorders>
            <w:noWrap/>
            <w:vAlign w:val="center"/>
          </w:tcPr>
          <w:p w14:paraId="0E3D4CE1">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r>
      <w:tr w14:paraId="2A6D00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686" w:hRule="atLeast"/>
          <w:jc w:val="center"/>
        </w:trPr>
        <w:tc>
          <w:tcPr>
            <w:tcW w:w="504" w:type="pct"/>
            <w:vMerge w:val="continue"/>
            <w:tcBorders>
              <w:left w:val="single" w:color="000000" w:sz="4" w:space="0"/>
              <w:right w:val="single" w:color="000000" w:sz="4" w:space="0"/>
            </w:tcBorders>
            <w:noWrap w:val="0"/>
            <w:vAlign w:val="center"/>
          </w:tcPr>
          <w:p w14:paraId="2012BF42">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c>
          <w:tcPr>
            <w:tcW w:w="1708" w:type="pct"/>
            <w:tcBorders>
              <w:top w:val="single" w:color="000000" w:sz="4" w:space="0"/>
              <w:left w:val="single" w:color="000000" w:sz="4" w:space="0"/>
              <w:bottom w:val="single" w:color="000000" w:sz="4" w:space="0"/>
              <w:right w:val="single" w:color="000000" w:sz="4" w:space="0"/>
            </w:tcBorders>
            <w:noWrap w:val="0"/>
            <w:vAlign w:val="center"/>
          </w:tcPr>
          <w:p w14:paraId="6DDCA58A">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2、垃圾收集专用手推车无乱停乱放。</w:t>
            </w:r>
          </w:p>
        </w:tc>
        <w:tc>
          <w:tcPr>
            <w:tcW w:w="1870" w:type="pct"/>
            <w:tcBorders>
              <w:top w:val="single" w:color="000000" w:sz="4" w:space="0"/>
              <w:left w:val="single" w:color="000000" w:sz="4" w:space="0"/>
              <w:bottom w:val="single" w:color="000000" w:sz="4" w:space="0"/>
              <w:right w:val="single" w:color="000000" w:sz="4" w:space="0"/>
            </w:tcBorders>
            <w:noWrap w:val="0"/>
            <w:vAlign w:val="center"/>
          </w:tcPr>
          <w:p w14:paraId="2A11CD31">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2、乱停乱放的，每辆每次扣0.5分，扣完为止。</w:t>
            </w:r>
          </w:p>
        </w:tc>
        <w:tc>
          <w:tcPr>
            <w:tcW w:w="447" w:type="pct"/>
            <w:tcBorders>
              <w:top w:val="single" w:color="000000" w:sz="4" w:space="0"/>
              <w:left w:val="single" w:color="000000" w:sz="4" w:space="0"/>
              <w:bottom w:val="single" w:color="000000" w:sz="4" w:space="0"/>
              <w:right w:val="single" w:color="000000" w:sz="4" w:space="0"/>
            </w:tcBorders>
            <w:noWrap/>
            <w:vAlign w:val="center"/>
          </w:tcPr>
          <w:p w14:paraId="5E6DBEB3">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c>
          <w:tcPr>
            <w:tcW w:w="468" w:type="pct"/>
            <w:tcBorders>
              <w:top w:val="single" w:color="000000" w:sz="4" w:space="0"/>
              <w:left w:val="single" w:color="000000" w:sz="4" w:space="0"/>
              <w:bottom w:val="single" w:color="000000" w:sz="4" w:space="0"/>
              <w:right w:val="single" w:color="000000" w:sz="4" w:space="0"/>
            </w:tcBorders>
            <w:noWrap/>
            <w:vAlign w:val="center"/>
          </w:tcPr>
          <w:p w14:paraId="2AA10F48">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r>
      <w:tr w14:paraId="4E3719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686" w:hRule="atLeast"/>
          <w:jc w:val="center"/>
        </w:trPr>
        <w:tc>
          <w:tcPr>
            <w:tcW w:w="504" w:type="pct"/>
            <w:vMerge w:val="continue"/>
            <w:tcBorders>
              <w:left w:val="single" w:color="000000" w:sz="4" w:space="0"/>
              <w:right w:val="single" w:color="000000" w:sz="4" w:space="0"/>
            </w:tcBorders>
            <w:noWrap w:val="0"/>
            <w:vAlign w:val="center"/>
          </w:tcPr>
          <w:p w14:paraId="1D7F2339">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c>
          <w:tcPr>
            <w:tcW w:w="1708" w:type="pct"/>
            <w:tcBorders>
              <w:top w:val="single" w:color="000000" w:sz="4" w:space="0"/>
              <w:left w:val="single" w:color="000000" w:sz="4" w:space="0"/>
              <w:bottom w:val="single" w:color="000000" w:sz="4" w:space="0"/>
              <w:right w:val="single" w:color="000000" w:sz="4" w:space="0"/>
            </w:tcBorders>
            <w:noWrap w:val="0"/>
            <w:vAlign w:val="center"/>
          </w:tcPr>
          <w:p w14:paraId="55AD28FD">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3、垃圾车运输要求有密封设备和封盖严密。</w:t>
            </w:r>
          </w:p>
        </w:tc>
        <w:tc>
          <w:tcPr>
            <w:tcW w:w="1870" w:type="pct"/>
            <w:tcBorders>
              <w:top w:val="single" w:color="000000" w:sz="4" w:space="0"/>
              <w:left w:val="single" w:color="000000" w:sz="4" w:space="0"/>
              <w:bottom w:val="single" w:color="000000" w:sz="4" w:space="0"/>
              <w:right w:val="single" w:color="000000" w:sz="4" w:space="0"/>
            </w:tcBorders>
            <w:noWrap w:val="0"/>
            <w:vAlign w:val="center"/>
          </w:tcPr>
          <w:p w14:paraId="66CC6945">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3、无密封设备和封盖不严的，每辆每次扣0.5分，扣完为止。</w:t>
            </w:r>
          </w:p>
        </w:tc>
        <w:tc>
          <w:tcPr>
            <w:tcW w:w="447" w:type="pct"/>
            <w:tcBorders>
              <w:top w:val="single" w:color="000000" w:sz="4" w:space="0"/>
              <w:left w:val="single" w:color="000000" w:sz="4" w:space="0"/>
              <w:bottom w:val="single" w:color="000000" w:sz="4" w:space="0"/>
              <w:right w:val="single" w:color="000000" w:sz="4" w:space="0"/>
            </w:tcBorders>
            <w:noWrap/>
            <w:vAlign w:val="center"/>
          </w:tcPr>
          <w:p w14:paraId="0286BBF6">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c>
          <w:tcPr>
            <w:tcW w:w="468" w:type="pct"/>
            <w:tcBorders>
              <w:top w:val="single" w:color="000000" w:sz="4" w:space="0"/>
              <w:left w:val="single" w:color="000000" w:sz="4" w:space="0"/>
              <w:bottom w:val="single" w:color="000000" w:sz="4" w:space="0"/>
              <w:right w:val="single" w:color="000000" w:sz="4" w:space="0"/>
            </w:tcBorders>
            <w:noWrap/>
            <w:vAlign w:val="center"/>
          </w:tcPr>
          <w:p w14:paraId="70A5605F">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r>
      <w:tr w14:paraId="4ED520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2280" w:hRule="atLeast"/>
          <w:jc w:val="center"/>
        </w:trPr>
        <w:tc>
          <w:tcPr>
            <w:tcW w:w="504" w:type="pct"/>
            <w:vMerge w:val="continue"/>
            <w:tcBorders>
              <w:left w:val="single" w:color="000000" w:sz="4" w:space="0"/>
              <w:right w:val="single" w:color="000000" w:sz="4" w:space="0"/>
            </w:tcBorders>
            <w:noWrap w:val="0"/>
            <w:vAlign w:val="center"/>
          </w:tcPr>
          <w:p w14:paraId="204195A8">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c>
          <w:tcPr>
            <w:tcW w:w="1708" w:type="pct"/>
            <w:tcBorders>
              <w:top w:val="single" w:color="000000" w:sz="4" w:space="0"/>
              <w:left w:val="single" w:color="000000" w:sz="4" w:space="0"/>
              <w:bottom w:val="single" w:color="000000" w:sz="4" w:space="0"/>
              <w:right w:val="single" w:color="000000" w:sz="4" w:space="0"/>
            </w:tcBorders>
            <w:noWrap w:val="0"/>
            <w:vAlign w:val="center"/>
          </w:tcPr>
          <w:p w14:paraId="22817F14">
            <w:pPr>
              <w:keepNext w:val="0"/>
              <w:keepLines w:val="0"/>
              <w:pageBreakBefore w:val="0"/>
              <w:widowControl/>
              <w:suppressLineNumbers w:val="0"/>
              <w:kinsoku/>
              <w:wordWrap/>
              <w:overflowPunct/>
              <w:topLinePunct w:val="0"/>
              <w:autoSpaceDE/>
              <w:autoSpaceDN/>
              <w:bidi w:val="0"/>
              <w:adjustRightInd/>
              <w:snapToGrid w:val="0"/>
              <w:spacing w:afterAutospacing="0"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道路绿地：即道路及广场范围用于绿化的用地。道路绿地分为道路绿化带(包括分车绿化带、行道树绿化带、路侧绿化带)、渠化岛绿地(包括中心岛绿地、导向岛绿地、立交绿岛)、广场绿地和停车场绿地等内应无积存垃圾和人畜粪便。</w:t>
            </w:r>
          </w:p>
        </w:tc>
        <w:tc>
          <w:tcPr>
            <w:tcW w:w="1870" w:type="pct"/>
            <w:tcBorders>
              <w:top w:val="single" w:color="000000" w:sz="4" w:space="0"/>
              <w:left w:val="single" w:color="000000" w:sz="4" w:space="0"/>
              <w:bottom w:val="single" w:color="000000" w:sz="4" w:space="0"/>
              <w:right w:val="single" w:color="000000" w:sz="4" w:space="0"/>
            </w:tcBorders>
            <w:noWrap w:val="0"/>
            <w:vAlign w:val="center"/>
          </w:tcPr>
          <w:p w14:paraId="1AE02374">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4、发现绿化带有积存垃圾和人畜粪便每处扣0.5分，扣完为止。</w:t>
            </w:r>
          </w:p>
        </w:tc>
        <w:tc>
          <w:tcPr>
            <w:tcW w:w="447" w:type="pct"/>
            <w:tcBorders>
              <w:top w:val="single" w:color="000000" w:sz="4" w:space="0"/>
              <w:left w:val="single" w:color="000000" w:sz="4" w:space="0"/>
              <w:bottom w:val="single" w:color="000000" w:sz="4" w:space="0"/>
              <w:right w:val="single" w:color="000000" w:sz="4" w:space="0"/>
            </w:tcBorders>
            <w:noWrap/>
            <w:vAlign w:val="center"/>
          </w:tcPr>
          <w:p w14:paraId="403B7299">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c>
          <w:tcPr>
            <w:tcW w:w="468" w:type="pct"/>
            <w:tcBorders>
              <w:top w:val="single" w:color="000000" w:sz="4" w:space="0"/>
              <w:left w:val="single" w:color="000000" w:sz="4" w:space="0"/>
              <w:bottom w:val="single" w:color="000000" w:sz="4" w:space="0"/>
              <w:right w:val="single" w:color="000000" w:sz="4" w:space="0"/>
            </w:tcBorders>
            <w:noWrap/>
            <w:vAlign w:val="center"/>
          </w:tcPr>
          <w:p w14:paraId="1A54A760">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r>
      <w:tr w14:paraId="1D622B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1251" w:hRule="atLeast"/>
          <w:jc w:val="center"/>
        </w:trPr>
        <w:tc>
          <w:tcPr>
            <w:tcW w:w="504" w:type="pct"/>
            <w:vMerge w:val="continue"/>
            <w:tcBorders>
              <w:left w:val="single" w:color="000000" w:sz="4" w:space="0"/>
              <w:right w:val="single" w:color="000000" w:sz="4" w:space="0"/>
            </w:tcBorders>
            <w:noWrap w:val="0"/>
            <w:vAlign w:val="center"/>
          </w:tcPr>
          <w:p w14:paraId="083887CA">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c>
          <w:tcPr>
            <w:tcW w:w="1708" w:type="pct"/>
            <w:tcBorders>
              <w:top w:val="single" w:color="000000" w:sz="4" w:space="0"/>
              <w:left w:val="single" w:color="000000" w:sz="4" w:space="0"/>
              <w:bottom w:val="single" w:color="000000" w:sz="4" w:space="0"/>
              <w:right w:val="single" w:color="000000" w:sz="4" w:space="0"/>
            </w:tcBorders>
            <w:noWrap w:val="0"/>
            <w:vAlign w:val="center"/>
          </w:tcPr>
          <w:p w14:paraId="4EC9AD81">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5、杂草清除作业：每月至少集中清理1次人行道及路面杂草，使可视范围内的道路路面始终保持干净、整洁。</w:t>
            </w:r>
          </w:p>
        </w:tc>
        <w:tc>
          <w:tcPr>
            <w:tcW w:w="1870" w:type="pct"/>
            <w:tcBorders>
              <w:top w:val="single" w:color="000000" w:sz="4" w:space="0"/>
              <w:left w:val="single" w:color="000000" w:sz="4" w:space="0"/>
              <w:bottom w:val="single" w:color="000000" w:sz="4" w:space="0"/>
              <w:right w:val="single" w:color="000000" w:sz="4" w:space="0"/>
            </w:tcBorders>
            <w:noWrap w:val="0"/>
            <w:vAlign w:val="center"/>
          </w:tcPr>
          <w:p w14:paraId="0DBE6FAD">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5、发现没有清理人行道路面杂草的，每次扣0.5分，扣完为止。</w:t>
            </w:r>
          </w:p>
        </w:tc>
        <w:tc>
          <w:tcPr>
            <w:tcW w:w="447" w:type="pct"/>
            <w:tcBorders>
              <w:top w:val="single" w:color="000000" w:sz="4" w:space="0"/>
              <w:left w:val="single" w:color="000000" w:sz="4" w:space="0"/>
              <w:bottom w:val="single" w:color="000000" w:sz="4" w:space="0"/>
              <w:right w:val="single" w:color="000000" w:sz="4" w:space="0"/>
            </w:tcBorders>
            <w:noWrap/>
            <w:vAlign w:val="center"/>
          </w:tcPr>
          <w:p w14:paraId="111306CE">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c>
          <w:tcPr>
            <w:tcW w:w="468" w:type="pct"/>
            <w:tcBorders>
              <w:top w:val="single" w:color="000000" w:sz="4" w:space="0"/>
              <w:left w:val="single" w:color="000000" w:sz="4" w:space="0"/>
              <w:bottom w:val="single" w:color="000000" w:sz="4" w:space="0"/>
              <w:right w:val="single" w:color="000000" w:sz="4" w:space="0"/>
            </w:tcBorders>
            <w:noWrap/>
            <w:vAlign w:val="center"/>
          </w:tcPr>
          <w:p w14:paraId="6667F4C6">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r>
      <w:tr w14:paraId="0860A7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941" w:hRule="atLeast"/>
          <w:jc w:val="center"/>
        </w:trPr>
        <w:tc>
          <w:tcPr>
            <w:tcW w:w="504" w:type="pct"/>
            <w:vMerge w:val="continue"/>
            <w:tcBorders>
              <w:left w:val="single" w:color="000000" w:sz="4" w:space="0"/>
              <w:right w:val="single" w:color="000000" w:sz="4" w:space="0"/>
            </w:tcBorders>
            <w:noWrap w:val="0"/>
            <w:vAlign w:val="center"/>
          </w:tcPr>
          <w:p w14:paraId="651F6317">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c>
          <w:tcPr>
            <w:tcW w:w="1708" w:type="pct"/>
            <w:tcBorders>
              <w:top w:val="single" w:color="000000" w:sz="4" w:space="0"/>
              <w:left w:val="single" w:color="000000" w:sz="4" w:space="0"/>
              <w:bottom w:val="single" w:color="000000" w:sz="4" w:space="0"/>
              <w:right w:val="single" w:color="000000" w:sz="4" w:space="0"/>
            </w:tcBorders>
            <w:noWrap w:val="0"/>
            <w:vAlign w:val="center"/>
          </w:tcPr>
          <w:p w14:paraId="2A3C7082">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6、垃圾收集间内外环境质量要求要整洁、蚊蝇密度不超标和垃圾容器周边干净。</w:t>
            </w:r>
          </w:p>
        </w:tc>
        <w:tc>
          <w:tcPr>
            <w:tcW w:w="1870" w:type="pct"/>
            <w:tcBorders>
              <w:top w:val="single" w:color="000000" w:sz="4" w:space="0"/>
              <w:left w:val="single" w:color="000000" w:sz="4" w:space="0"/>
              <w:bottom w:val="single" w:color="000000" w:sz="4" w:space="0"/>
              <w:right w:val="single" w:color="000000" w:sz="4" w:space="0"/>
            </w:tcBorders>
            <w:noWrap w:val="0"/>
            <w:vAlign w:val="center"/>
          </w:tcPr>
          <w:p w14:paraId="2ADEA4FD">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6、未达到要求的，每处扣0.5分，扣完为止。</w:t>
            </w:r>
          </w:p>
        </w:tc>
        <w:tc>
          <w:tcPr>
            <w:tcW w:w="447" w:type="pct"/>
            <w:tcBorders>
              <w:top w:val="single" w:color="000000" w:sz="4" w:space="0"/>
              <w:left w:val="single" w:color="000000" w:sz="4" w:space="0"/>
              <w:bottom w:val="single" w:color="000000" w:sz="4" w:space="0"/>
              <w:right w:val="single" w:color="000000" w:sz="4" w:space="0"/>
            </w:tcBorders>
            <w:noWrap/>
            <w:vAlign w:val="center"/>
          </w:tcPr>
          <w:p w14:paraId="74BCF8F0">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c>
          <w:tcPr>
            <w:tcW w:w="468" w:type="pct"/>
            <w:tcBorders>
              <w:top w:val="single" w:color="000000" w:sz="4" w:space="0"/>
              <w:left w:val="single" w:color="000000" w:sz="4" w:space="0"/>
              <w:bottom w:val="single" w:color="000000" w:sz="4" w:space="0"/>
              <w:right w:val="single" w:color="000000" w:sz="4" w:space="0"/>
            </w:tcBorders>
            <w:noWrap/>
            <w:vAlign w:val="center"/>
          </w:tcPr>
          <w:p w14:paraId="200F3432">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r>
      <w:tr w14:paraId="034B84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686" w:hRule="atLeast"/>
          <w:jc w:val="center"/>
        </w:trPr>
        <w:tc>
          <w:tcPr>
            <w:tcW w:w="504" w:type="pct"/>
            <w:vMerge w:val="continue"/>
            <w:tcBorders>
              <w:left w:val="single" w:color="000000" w:sz="4" w:space="0"/>
              <w:right w:val="single" w:color="000000" w:sz="4" w:space="0"/>
            </w:tcBorders>
            <w:noWrap w:val="0"/>
            <w:vAlign w:val="center"/>
          </w:tcPr>
          <w:p w14:paraId="2CB21CA9">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c>
          <w:tcPr>
            <w:tcW w:w="1708" w:type="pct"/>
            <w:tcBorders>
              <w:top w:val="single" w:color="000000" w:sz="4" w:space="0"/>
              <w:left w:val="single" w:color="000000" w:sz="4" w:space="0"/>
              <w:bottom w:val="single" w:color="000000" w:sz="4" w:space="0"/>
              <w:right w:val="single" w:color="000000" w:sz="4" w:space="0"/>
            </w:tcBorders>
            <w:noWrap/>
            <w:vAlign w:val="center"/>
          </w:tcPr>
          <w:p w14:paraId="5F070694">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7、要按指定地点倾倒垃圾。</w:t>
            </w:r>
          </w:p>
        </w:tc>
        <w:tc>
          <w:tcPr>
            <w:tcW w:w="1870" w:type="pct"/>
            <w:tcBorders>
              <w:top w:val="single" w:color="000000" w:sz="4" w:space="0"/>
              <w:left w:val="single" w:color="000000" w:sz="4" w:space="0"/>
              <w:bottom w:val="single" w:color="000000" w:sz="4" w:space="0"/>
              <w:right w:val="single" w:color="000000" w:sz="4" w:space="0"/>
            </w:tcBorders>
            <w:noWrap w:val="0"/>
            <w:vAlign w:val="center"/>
          </w:tcPr>
          <w:p w14:paraId="5343142E">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7、未按要求的扣0.5分，并处以罚款；</w:t>
            </w:r>
          </w:p>
        </w:tc>
        <w:tc>
          <w:tcPr>
            <w:tcW w:w="447" w:type="pct"/>
            <w:tcBorders>
              <w:top w:val="single" w:color="000000" w:sz="4" w:space="0"/>
              <w:left w:val="single" w:color="000000" w:sz="4" w:space="0"/>
              <w:bottom w:val="single" w:color="000000" w:sz="4" w:space="0"/>
              <w:right w:val="single" w:color="000000" w:sz="4" w:space="0"/>
            </w:tcBorders>
            <w:noWrap/>
            <w:vAlign w:val="center"/>
          </w:tcPr>
          <w:p w14:paraId="4CB4DC55">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c>
          <w:tcPr>
            <w:tcW w:w="468" w:type="pct"/>
            <w:tcBorders>
              <w:top w:val="single" w:color="000000" w:sz="4" w:space="0"/>
              <w:left w:val="single" w:color="000000" w:sz="4" w:space="0"/>
              <w:bottom w:val="single" w:color="000000" w:sz="4" w:space="0"/>
              <w:right w:val="single" w:color="000000" w:sz="4" w:space="0"/>
            </w:tcBorders>
            <w:noWrap/>
            <w:vAlign w:val="center"/>
          </w:tcPr>
          <w:p w14:paraId="0483F401">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r>
      <w:tr w14:paraId="62739D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686" w:hRule="atLeast"/>
          <w:jc w:val="center"/>
        </w:trPr>
        <w:tc>
          <w:tcPr>
            <w:tcW w:w="504" w:type="pct"/>
            <w:vMerge w:val="continue"/>
            <w:tcBorders>
              <w:left w:val="single" w:color="000000" w:sz="4" w:space="0"/>
              <w:right w:val="single" w:color="000000" w:sz="4" w:space="0"/>
            </w:tcBorders>
            <w:noWrap w:val="0"/>
            <w:vAlign w:val="center"/>
          </w:tcPr>
          <w:p w14:paraId="1BC59350">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c>
          <w:tcPr>
            <w:tcW w:w="1708" w:type="pct"/>
            <w:tcBorders>
              <w:top w:val="single" w:color="000000" w:sz="4" w:space="0"/>
              <w:left w:val="single" w:color="000000" w:sz="4" w:space="0"/>
              <w:bottom w:val="single" w:color="000000" w:sz="4" w:space="0"/>
              <w:right w:val="single" w:color="000000" w:sz="4" w:space="0"/>
            </w:tcBorders>
            <w:noWrap/>
            <w:vAlign w:val="center"/>
          </w:tcPr>
          <w:p w14:paraId="6087110E">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8、道路内未发现垃圾死角。</w:t>
            </w:r>
          </w:p>
        </w:tc>
        <w:tc>
          <w:tcPr>
            <w:tcW w:w="1870" w:type="pct"/>
            <w:tcBorders>
              <w:top w:val="single" w:color="000000" w:sz="4" w:space="0"/>
              <w:left w:val="single" w:color="000000" w:sz="4" w:space="0"/>
              <w:bottom w:val="single" w:color="000000" w:sz="4" w:space="0"/>
              <w:right w:val="single" w:color="000000" w:sz="4" w:space="0"/>
            </w:tcBorders>
            <w:noWrap w:val="0"/>
            <w:vAlign w:val="center"/>
          </w:tcPr>
          <w:p w14:paraId="52AED97A">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8、发现垃圾死角的，每处扣2分，扣完为止。</w:t>
            </w:r>
          </w:p>
        </w:tc>
        <w:tc>
          <w:tcPr>
            <w:tcW w:w="447" w:type="pct"/>
            <w:tcBorders>
              <w:top w:val="single" w:color="000000" w:sz="4" w:space="0"/>
              <w:left w:val="single" w:color="000000" w:sz="4" w:space="0"/>
              <w:bottom w:val="single" w:color="000000" w:sz="4" w:space="0"/>
              <w:right w:val="single" w:color="000000" w:sz="4" w:space="0"/>
            </w:tcBorders>
            <w:noWrap/>
            <w:vAlign w:val="center"/>
          </w:tcPr>
          <w:p w14:paraId="4BF6367F">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c>
          <w:tcPr>
            <w:tcW w:w="468" w:type="pct"/>
            <w:tcBorders>
              <w:top w:val="single" w:color="000000" w:sz="4" w:space="0"/>
              <w:left w:val="single" w:color="000000" w:sz="4" w:space="0"/>
              <w:bottom w:val="single" w:color="000000" w:sz="4" w:space="0"/>
              <w:right w:val="single" w:color="000000" w:sz="4" w:space="0"/>
            </w:tcBorders>
            <w:noWrap/>
            <w:vAlign w:val="center"/>
          </w:tcPr>
          <w:p w14:paraId="32EF6A1D">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r>
      <w:tr w14:paraId="2F59DD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1561" w:hRule="atLeast"/>
          <w:jc w:val="center"/>
        </w:trPr>
        <w:tc>
          <w:tcPr>
            <w:tcW w:w="504" w:type="pct"/>
            <w:vMerge w:val="continue"/>
            <w:tcBorders>
              <w:left w:val="single" w:color="000000" w:sz="4" w:space="0"/>
              <w:right w:val="single" w:color="000000" w:sz="4" w:space="0"/>
            </w:tcBorders>
            <w:noWrap w:val="0"/>
            <w:vAlign w:val="center"/>
          </w:tcPr>
          <w:p w14:paraId="4C336B9C">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c>
          <w:tcPr>
            <w:tcW w:w="1708" w:type="pct"/>
            <w:tcBorders>
              <w:top w:val="single" w:color="000000" w:sz="4" w:space="0"/>
              <w:left w:val="single" w:color="000000" w:sz="4" w:space="0"/>
              <w:bottom w:val="single" w:color="000000" w:sz="4" w:space="0"/>
              <w:right w:val="single" w:color="000000" w:sz="4" w:space="0"/>
            </w:tcBorders>
            <w:noWrap w:val="0"/>
            <w:vAlign w:val="center"/>
          </w:tcPr>
          <w:p w14:paraId="0A87DEA6">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9、上门收集垃圾：商铺每日2次，分上、下午两个时段上门收集垃圾；居民住宅区每日3次分早、中、晚三个时段上门收集垃圾。工作人员上门收集垃圾应摇铃提示。</w:t>
            </w:r>
          </w:p>
        </w:tc>
        <w:tc>
          <w:tcPr>
            <w:tcW w:w="1870" w:type="pct"/>
            <w:tcBorders>
              <w:top w:val="single" w:color="000000" w:sz="4" w:space="0"/>
              <w:left w:val="single" w:color="000000" w:sz="4" w:space="0"/>
              <w:bottom w:val="single" w:color="000000" w:sz="4" w:space="0"/>
              <w:right w:val="single" w:color="000000" w:sz="4" w:space="0"/>
            </w:tcBorders>
            <w:noWrap w:val="0"/>
            <w:vAlign w:val="center"/>
          </w:tcPr>
          <w:p w14:paraId="24232F82">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9、未落实上门收垃圾工作，按每条路或每个社区扣1分，扣完为止。</w:t>
            </w:r>
          </w:p>
        </w:tc>
        <w:tc>
          <w:tcPr>
            <w:tcW w:w="447" w:type="pct"/>
            <w:tcBorders>
              <w:top w:val="single" w:color="000000" w:sz="4" w:space="0"/>
              <w:left w:val="single" w:color="000000" w:sz="4" w:space="0"/>
              <w:bottom w:val="single" w:color="000000" w:sz="4" w:space="0"/>
              <w:right w:val="single" w:color="000000" w:sz="4" w:space="0"/>
            </w:tcBorders>
            <w:noWrap/>
            <w:vAlign w:val="center"/>
          </w:tcPr>
          <w:p w14:paraId="7F2BE4DD">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c>
          <w:tcPr>
            <w:tcW w:w="468" w:type="pct"/>
            <w:tcBorders>
              <w:top w:val="single" w:color="000000" w:sz="4" w:space="0"/>
              <w:left w:val="single" w:color="000000" w:sz="4" w:space="0"/>
              <w:bottom w:val="single" w:color="000000" w:sz="4" w:space="0"/>
              <w:right w:val="single" w:color="000000" w:sz="4" w:space="0"/>
            </w:tcBorders>
            <w:noWrap/>
            <w:vAlign w:val="center"/>
          </w:tcPr>
          <w:p w14:paraId="27C9DBDA">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r>
      <w:tr w14:paraId="19158C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1561" w:hRule="atLeast"/>
          <w:jc w:val="center"/>
        </w:trPr>
        <w:tc>
          <w:tcPr>
            <w:tcW w:w="504" w:type="pct"/>
            <w:vMerge w:val="continue"/>
            <w:tcBorders>
              <w:left w:val="single" w:color="000000" w:sz="4" w:space="0"/>
              <w:bottom w:val="single" w:color="000000" w:sz="4" w:space="0"/>
              <w:right w:val="single" w:color="000000" w:sz="4" w:space="0"/>
            </w:tcBorders>
            <w:noWrap w:val="0"/>
            <w:vAlign w:val="center"/>
          </w:tcPr>
          <w:p w14:paraId="7E09A797">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c>
          <w:tcPr>
            <w:tcW w:w="1708" w:type="pct"/>
            <w:tcBorders>
              <w:top w:val="single" w:color="000000" w:sz="4" w:space="0"/>
              <w:left w:val="single" w:color="000000" w:sz="4" w:space="0"/>
              <w:bottom w:val="single" w:color="000000" w:sz="4" w:space="0"/>
              <w:right w:val="single" w:color="000000" w:sz="4" w:space="0"/>
            </w:tcBorders>
            <w:noWrap w:val="0"/>
            <w:vAlign w:val="center"/>
          </w:tcPr>
          <w:p w14:paraId="596C3233">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10、工业垃圾及大件垃圾的清处理工作：及时将社区路面丢弃的大件垃圾、工业垃圾收集到社区临时收集点，连同收集的其他大件垃圾、工业垃圾定期清运处置。</w:t>
            </w:r>
          </w:p>
        </w:tc>
        <w:tc>
          <w:tcPr>
            <w:tcW w:w="1870" w:type="pct"/>
            <w:tcBorders>
              <w:top w:val="single" w:color="000000" w:sz="4" w:space="0"/>
              <w:left w:val="single" w:color="000000" w:sz="4" w:space="0"/>
              <w:bottom w:val="single" w:color="000000" w:sz="4" w:space="0"/>
              <w:right w:val="single" w:color="000000" w:sz="4" w:space="0"/>
            </w:tcBorders>
            <w:noWrap w:val="0"/>
            <w:vAlign w:val="center"/>
          </w:tcPr>
          <w:p w14:paraId="535D11D5">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10、未及时收集的，每发现1处扣0.2分：未按要求及时清理社区临时收集点的，每发现1处扣1分，扣完为止。</w:t>
            </w:r>
          </w:p>
        </w:tc>
        <w:tc>
          <w:tcPr>
            <w:tcW w:w="447" w:type="pct"/>
            <w:tcBorders>
              <w:top w:val="single" w:color="000000" w:sz="4" w:space="0"/>
              <w:left w:val="single" w:color="000000" w:sz="4" w:space="0"/>
              <w:bottom w:val="single" w:color="000000" w:sz="4" w:space="0"/>
              <w:right w:val="single" w:color="000000" w:sz="4" w:space="0"/>
            </w:tcBorders>
            <w:noWrap/>
            <w:vAlign w:val="center"/>
          </w:tcPr>
          <w:p w14:paraId="345AE743">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c>
          <w:tcPr>
            <w:tcW w:w="468" w:type="pct"/>
            <w:tcBorders>
              <w:top w:val="single" w:color="000000" w:sz="4" w:space="0"/>
              <w:left w:val="single" w:color="000000" w:sz="4" w:space="0"/>
              <w:bottom w:val="single" w:color="000000" w:sz="4" w:space="0"/>
              <w:right w:val="single" w:color="000000" w:sz="4" w:space="0"/>
            </w:tcBorders>
            <w:noWrap/>
            <w:vAlign w:val="center"/>
          </w:tcPr>
          <w:p w14:paraId="5A60BDBE">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r>
      <w:tr w14:paraId="3F62CD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1402" w:hRule="atLeast"/>
          <w:jc w:val="center"/>
        </w:trPr>
        <w:tc>
          <w:tcPr>
            <w:tcW w:w="504" w:type="pct"/>
            <w:vMerge w:val="restart"/>
            <w:tcBorders>
              <w:top w:val="single" w:color="000000" w:sz="4" w:space="0"/>
              <w:left w:val="single" w:color="000000" w:sz="4" w:space="0"/>
              <w:bottom w:val="single" w:color="000000" w:sz="4" w:space="0"/>
              <w:right w:val="single" w:color="000000" w:sz="4" w:space="0"/>
            </w:tcBorders>
            <w:noWrap w:val="0"/>
            <w:vAlign w:val="center"/>
          </w:tcPr>
          <w:p w14:paraId="24341D62">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五、果皮箱、垃圾桶5分</w:t>
            </w:r>
          </w:p>
        </w:tc>
        <w:tc>
          <w:tcPr>
            <w:tcW w:w="1708" w:type="pct"/>
            <w:tcBorders>
              <w:top w:val="single" w:color="000000" w:sz="4" w:space="0"/>
              <w:left w:val="single" w:color="000000" w:sz="4" w:space="0"/>
              <w:bottom w:val="single" w:color="000000" w:sz="4" w:space="0"/>
              <w:right w:val="single" w:color="000000" w:sz="4" w:space="0"/>
            </w:tcBorders>
            <w:noWrap w:val="0"/>
            <w:vAlign w:val="center"/>
          </w:tcPr>
          <w:p w14:paraId="420B364E">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1、果皮箱、垃圾桶清掏作业：每日清掏果皮箱、垃圾桶，保证可视范围内果皮箱、垃圾桶无溢满，清除果皮箱、垃圾桶表面污渍和“牛皮癣”。</w:t>
            </w:r>
          </w:p>
        </w:tc>
        <w:tc>
          <w:tcPr>
            <w:tcW w:w="1870" w:type="pct"/>
            <w:tcBorders>
              <w:top w:val="single" w:color="000000" w:sz="4" w:space="0"/>
              <w:left w:val="single" w:color="000000" w:sz="4" w:space="0"/>
              <w:bottom w:val="single" w:color="000000" w:sz="4" w:space="0"/>
              <w:right w:val="single" w:color="000000" w:sz="4" w:space="0"/>
            </w:tcBorders>
            <w:noWrap w:val="0"/>
            <w:vAlign w:val="center"/>
          </w:tcPr>
          <w:p w14:paraId="7D5A4BBA">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1、造成漫溢、脏乱的，每处扣0.5分，扣完为止；</w:t>
            </w:r>
          </w:p>
        </w:tc>
        <w:tc>
          <w:tcPr>
            <w:tcW w:w="447" w:type="pct"/>
            <w:tcBorders>
              <w:top w:val="single" w:color="000000" w:sz="4" w:space="0"/>
              <w:left w:val="single" w:color="000000" w:sz="4" w:space="0"/>
              <w:bottom w:val="single" w:color="000000" w:sz="4" w:space="0"/>
              <w:right w:val="single" w:color="000000" w:sz="4" w:space="0"/>
            </w:tcBorders>
            <w:noWrap/>
            <w:vAlign w:val="center"/>
          </w:tcPr>
          <w:p w14:paraId="522279BD">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c>
          <w:tcPr>
            <w:tcW w:w="468" w:type="pct"/>
            <w:tcBorders>
              <w:top w:val="single" w:color="000000" w:sz="4" w:space="0"/>
              <w:left w:val="single" w:color="000000" w:sz="4" w:space="0"/>
              <w:bottom w:val="single" w:color="000000" w:sz="4" w:space="0"/>
              <w:right w:val="single" w:color="000000" w:sz="4" w:space="0"/>
            </w:tcBorders>
            <w:noWrap/>
            <w:vAlign w:val="center"/>
          </w:tcPr>
          <w:p w14:paraId="3F0268DC">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r>
      <w:tr w14:paraId="5006C9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1561" w:hRule="atLeast"/>
          <w:jc w:val="center"/>
        </w:trPr>
        <w:tc>
          <w:tcPr>
            <w:tcW w:w="504" w:type="pct"/>
            <w:vMerge w:val="continue"/>
            <w:tcBorders>
              <w:top w:val="single" w:color="000000" w:sz="4" w:space="0"/>
              <w:left w:val="single" w:color="000000" w:sz="4" w:space="0"/>
              <w:bottom w:val="single" w:color="000000" w:sz="4" w:space="0"/>
              <w:right w:val="single" w:color="000000" w:sz="4" w:space="0"/>
            </w:tcBorders>
            <w:noWrap w:val="0"/>
            <w:vAlign w:val="center"/>
          </w:tcPr>
          <w:p w14:paraId="69BD670B">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c>
          <w:tcPr>
            <w:tcW w:w="1708" w:type="pct"/>
            <w:tcBorders>
              <w:top w:val="single" w:color="000000" w:sz="4" w:space="0"/>
              <w:left w:val="single" w:color="000000" w:sz="4" w:space="0"/>
              <w:bottom w:val="single" w:color="000000" w:sz="4" w:space="0"/>
              <w:right w:val="single" w:color="000000" w:sz="4" w:space="0"/>
            </w:tcBorders>
            <w:noWrap w:val="0"/>
            <w:vAlign w:val="center"/>
          </w:tcPr>
          <w:p w14:paraId="37C2B77A">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2、果皮箱、垃圾桶清洗作业：每周1次清洗果皮箱、垃圾桶表面和内胆，并对箱体周围地面进行清洗和拖抹；果皮箱、垃圾桶完好率应不低于98%。</w:t>
            </w:r>
          </w:p>
        </w:tc>
        <w:tc>
          <w:tcPr>
            <w:tcW w:w="1870" w:type="pct"/>
            <w:tcBorders>
              <w:top w:val="single" w:color="000000" w:sz="4" w:space="0"/>
              <w:left w:val="single" w:color="000000" w:sz="4" w:space="0"/>
              <w:bottom w:val="single" w:color="000000" w:sz="4" w:space="0"/>
              <w:right w:val="single" w:color="000000" w:sz="4" w:space="0"/>
            </w:tcBorders>
            <w:noWrap w:val="0"/>
            <w:vAlign w:val="center"/>
          </w:tcPr>
          <w:p w14:paraId="142834F8">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2、发现未清洗和拖抹的，每个果皮箱、垃圾桶扣0.5分，扣完为止。</w:t>
            </w:r>
          </w:p>
        </w:tc>
        <w:tc>
          <w:tcPr>
            <w:tcW w:w="447" w:type="pct"/>
            <w:tcBorders>
              <w:top w:val="single" w:color="000000" w:sz="4" w:space="0"/>
              <w:left w:val="single" w:color="000000" w:sz="4" w:space="0"/>
              <w:bottom w:val="single" w:color="000000" w:sz="4" w:space="0"/>
              <w:right w:val="single" w:color="000000" w:sz="4" w:space="0"/>
            </w:tcBorders>
            <w:noWrap/>
            <w:vAlign w:val="center"/>
          </w:tcPr>
          <w:p w14:paraId="06090C8E">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c>
          <w:tcPr>
            <w:tcW w:w="468" w:type="pct"/>
            <w:tcBorders>
              <w:top w:val="single" w:color="000000" w:sz="4" w:space="0"/>
              <w:left w:val="single" w:color="000000" w:sz="4" w:space="0"/>
              <w:bottom w:val="single" w:color="000000" w:sz="4" w:space="0"/>
              <w:right w:val="single" w:color="000000" w:sz="4" w:space="0"/>
            </w:tcBorders>
            <w:noWrap/>
            <w:vAlign w:val="center"/>
          </w:tcPr>
          <w:p w14:paraId="6285A4A0">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r>
      <w:tr w14:paraId="2AE9B0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1561" w:hRule="atLeast"/>
          <w:jc w:val="center"/>
        </w:trPr>
        <w:tc>
          <w:tcPr>
            <w:tcW w:w="504" w:type="pct"/>
            <w:tcBorders>
              <w:top w:val="single" w:color="000000" w:sz="4" w:space="0"/>
              <w:left w:val="single" w:color="000000" w:sz="4" w:space="0"/>
              <w:bottom w:val="single" w:color="000000" w:sz="4" w:space="0"/>
              <w:right w:val="single" w:color="000000" w:sz="4" w:space="0"/>
            </w:tcBorders>
            <w:noWrap w:val="0"/>
            <w:vAlign w:val="center"/>
          </w:tcPr>
          <w:p w14:paraId="1573A283">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lang w:val="en-US" w:eastAsia="zh-CN"/>
              </w:rPr>
              <w:t>六、公厕管养5分</w:t>
            </w:r>
          </w:p>
        </w:tc>
        <w:tc>
          <w:tcPr>
            <w:tcW w:w="1708" w:type="pct"/>
            <w:tcBorders>
              <w:top w:val="single" w:color="000000" w:sz="4" w:space="0"/>
              <w:left w:val="single" w:color="000000" w:sz="4" w:space="0"/>
              <w:bottom w:val="single" w:color="000000" w:sz="4" w:space="0"/>
              <w:right w:val="single" w:color="000000" w:sz="4" w:space="0"/>
            </w:tcBorders>
            <w:noWrap w:val="0"/>
            <w:vAlign w:val="center"/>
          </w:tcPr>
          <w:p w14:paraId="608E7214">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“四净三无两通一明”（地面净、墙壁净、厕位净、周边净，无溢流、无蚊蝇、无臭味，水通、电通、灯明）</w:t>
            </w:r>
          </w:p>
        </w:tc>
        <w:tc>
          <w:tcPr>
            <w:tcW w:w="1870" w:type="pct"/>
            <w:tcBorders>
              <w:top w:val="single" w:color="000000" w:sz="4" w:space="0"/>
              <w:left w:val="single" w:color="000000" w:sz="4" w:space="0"/>
              <w:bottom w:val="single" w:color="000000" w:sz="4" w:space="0"/>
              <w:right w:val="single" w:color="000000" w:sz="4" w:space="0"/>
            </w:tcBorders>
            <w:noWrap w:val="0"/>
            <w:vAlign w:val="center"/>
          </w:tcPr>
          <w:p w14:paraId="72664151">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未按要求的每处扣0.5分，扣完为止。</w:t>
            </w:r>
          </w:p>
        </w:tc>
        <w:tc>
          <w:tcPr>
            <w:tcW w:w="447" w:type="pct"/>
            <w:tcBorders>
              <w:top w:val="single" w:color="000000" w:sz="4" w:space="0"/>
              <w:left w:val="single" w:color="000000" w:sz="4" w:space="0"/>
              <w:bottom w:val="single" w:color="000000" w:sz="4" w:space="0"/>
              <w:right w:val="single" w:color="000000" w:sz="4" w:space="0"/>
            </w:tcBorders>
            <w:noWrap/>
            <w:vAlign w:val="center"/>
          </w:tcPr>
          <w:p w14:paraId="3A3F6C17">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c>
          <w:tcPr>
            <w:tcW w:w="468" w:type="pct"/>
            <w:tcBorders>
              <w:top w:val="single" w:color="000000" w:sz="4" w:space="0"/>
              <w:left w:val="single" w:color="000000" w:sz="4" w:space="0"/>
              <w:bottom w:val="single" w:color="000000" w:sz="4" w:space="0"/>
              <w:right w:val="single" w:color="000000" w:sz="4" w:space="0"/>
            </w:tcBorders>
            <w:noWrap/>
            <w:vAlign w:val="center"/>
          </w:tcPr>
          <w:p w14:paraId="65388EE8">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r>
      <w:tr w14:paraId="33A727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2492" w:hRule="atLeast"/>
          <w:jc w:val="center"/>
        </w:trPr>
        <w:tc>
          <w:tcPr>
            <w:tcW w:w="504" w:type="pct"/>
            <w:vMerge w:val="restart"/>
            <w:tcBorders>
              <w:top w:val="single" w:color="000000" w:sz="4" w:space="0"/>
              <w:left w:val="single" w:color="000000" w:sz="4" w:space="0"/>
              <w:bottom w:val="single" w:color="000000" w:sz="4" w:space="0"/>
              <w:right w:val="single" w:color="000000" w:sz="4" w:space="0"/>
            </w:tcBorders>
            <w:noWrap w:val="0"/>
            <w:vAlign w:val="center"/>
          </w:tcPr>
          <w:p w14:paraId="602EA2B7">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六、其它10分</w:t>
            </w:r>
          </w:p>
        </w:tc>
        <w:tc>
          <w:tcPr>
            <w:tcW w:w="1708" w:type="pct"/>
            <w:tcBorders>
              <w:top w:val="single" w:color="000000" w:sz="4" w:space="0"/>
              <w:left w:val="single" w:color="000000" w:sz="4" w:space="0"/>
              <w:bottom w:val="single" w:color="000000" w:sz="4" w:space="0"/>
              <w:right w:val="single" w:color="000000" w:sz="4" w:space="0"/>
            </w:tcBorders>
            <w:noWrap w:val="0"/>
            <w:vAlign w:val="center"/>
          </w:tcPr>
          <w:p w14:paraId="536218AA">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牛皮癣”清理工作：道路设施包括交通标志、公共汽车上落站、电箱、果皮箱、电话亭、花池、树木、高压电塔(杆)以及两旁的第一排建筑立面，每日8:00点前完成清理，使道路两侧可视范围内的建筑物和构筑物沿街立面表面干净、整洁，无悬挂“牛皮癣”。</w:t>
            </w:r>
          </w:p>
        </w:tc>
        <w:tc>
          <w:tcPr>
            <w:tcW w:w="1870" w:type="pct"/>
            <w:tcBorders>
              <w:top w:val="single" w:color="000000" w:sz="4" w:space="0"/>
              <w:left w:val="single" w:color="000000" w:sz="4" w:space="0"/>
              <w:bottom w:val="single" w:color="000000" w:sz="4" w:space="0"/>
              <w:right w:val="single" w:color="000000" w:sz="4" w:space="0"/>
            </w:tcBorders>
            <w:noWrap w:val="0"/>
            <w:vAlign w:val="center"/>
          </w:tcPr>
          <w:p w14:paraId="148F20BB">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1、发现乱张贴、涂乌的，每处扣0.5分，扣完为止。</w:t>
            </w:r>
          </w:p>
        </w:tc>
        <w:tc>
          <w:tcPr>
            <w:tcW w:w="447" w:type="pct"/>
            <w:tcBorders>
              <w:top w:val="single" w:color="000000" w:sz="4" w:space="0"/>
              <w:left w:val="single" w:color="000000" w:sz="4" w:space="0"/>
              <w:bottom w:val="single" w:color="000000" w:sz="4" w:space="0"/>
              <w:right w:val="single" w:color="000000" w:sz="4" w:space="0"/>
            </w:tcBorders>
            <w:noWrap/>
            <w:vAlign w:val="center"/>
          </w:tcPr>
          <w:p w14:paraId="3EBA0FFA">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c>
          <w:tcPr>
            <w:tcW w:w="468" w:type="pct"/>
            <w:tcBorders>
              <w:top w:val="single" w:color="000000" w:sz="4" w:space="0"/>
              <w:left w:val="single" w:color="000000" w:sz="4" w:space="0"/>
              <w:bottom w:val="single" w:color="000000" w:sz="4" w:space="0"/>
              <w:right w:val="single" w:color="000000" w:sz="4" w:space="0"/>
            </w:tcBorders>
            <w:noWrap/>
            <w:vAlign w:val="center"/>
          </w:tcPr>
          <w:p w14:paraId="7D4C35AB">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r>
      <w:tr w14:paraId="6322B6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1025" w:hRule="atLeast"/>
          <w:jc w:val="center"/>
        </w:trPr>
        <w:tc>
          <w:tcPr>
            <w:tcW w:w="504" w:type="pct"/>
            <w:vMerge w:val="continue"/>
            <w:tcBorders>
              <w:top w:val="single" w:color="000000" w:sz="4" w:space="0"/>
              <w:left w:val="single" w:color="000000" w:sz="4" w:space="0"/>
              <w:bottom w:val="single" w:color="000000" w:sz="4" w:space="0"/>
              <w:right w:val="single" w:color="000000" w:sz="4" w:space="0"/>
            </w:tcBorders>
            <w:noWrap w:val="0"/>
            <w:vAlign w:val="center"/>
          </w:tcPr>
          <w:p w14:paraId="3E285DC4">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c>
          <w:tcPr>
            <w:tcW w:w="1708" w:type="pct"/>
            <w:tcBorders>
              <w:top w:val="single" w:color="000000" w:sz="4" w:space="0"/>
              <w:left w:val="single" w:color="000000" w:sz="4" w:space="0"/>
              <w:bottom w:val="single" w:color="000000" w:sz="4" w:space="0"/>
              <w:right w:val="single" w:color="000000" w:sz="4" w:space="0"/>
            </w:tcBorders>
            <w:noWrap w:val="0"/>
            <w:vAlign w:val="center"/>
          </w:tcPr>
          <w:p w14:paraId="4F2881DB">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2、全民清洁活动或突击性的卫生清洁任务，能按时、按标准、按要求完成所分配工作。</w:t>
            </w:r>
          </w:p>
        </w:tc>
        <w:tc>
          <w:tcPr>
            <w:tcW w:w="1870" w:type="pct"/>
            <w:tcBorders>
              <w:top w:val="single" w:color="000000" w:sz="4" w:space="0"/>
              <w:left w:val="single" w:color="000000" w:sz="4" w:space="0"/>
              <w:bottom w:val="single" w:color="000000" w:sz="4" w:space="0"/>
              <w:right w:val="single" w:color="000000" w:sz="4" w:space="0"/>
            </w:tcBorders>
            <w:noWrap w:val="0"/>
            <w:vAlign w:val="center"/>
          </w:tcPr>
          <w:p w14:paraId="12C5327F">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2、未按时按要求完成的，扣0.5分，扣完为止。</w:t>
            </w:r>
          </w:p>
        </w:tc>
        <w:tc>
          <w:tcPr>
            <w:tcW w:w="447" w:type="pct"/>
            <w:tcBorders>
              <w:top w:val="single" w:color="000000" w:sz="4" w:space="0"/>
              <w:left w:val="single" w:color="000000" w:sz="4" w:space="0"/>
              <w:bottom w:val="single" w:color="000000" w:sz="4" w:space="0"/>
              <w:right w:val="single" w:color="000000" w:sz="4" w:space="0"/>
            </w:tcBorders>
            <w:noWrap/>
            <w:vAlign w:val="center"/>
          </w:tcPr>
          <w:p w14:paraId="50886466">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c>
          <w:tcPr>
            <w:tcW w:w="468" w:type="pct"/>
            <w:tcBorders>
              <w:top w:val="single" w:color="000000" w:sz="4" w:space="0"/>
              <w:left w:val="single" w:color="000000" w:sz="4" w:space="0"/>
              <w:bottom w:val="single" w:color="000000" w:sz="4" w:space="0"/>
              <w:right w:val="single" w:color="000000" w:sz="4" w:space="0"/>
            </w:tcBorders>
            <w:noWrap/>
            <w:vAlign w:val="center"/>
          </w:tcPr>
          <w:p w14:paraId="01C37760">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r>
      <w:tr w14:paraId="3FA773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686" w:hRule="atLeast"/>
          <w:jc w:val="center"/>
        </w:trPr>
        <w:tc>
          <w:tcPr>
            <w:tcW w:w="504" w:type="pct"/>
            <w:vMerge w:val="continue"/>
            <w:tcBorders>
              <w:top w:val="single" w:color="000000" w:sz="4" w:space="0"/>
              <w:left w:val="single" w:color="000000" w:sz="4" w:space="0"/>
              <w:bottom w:val="single" w:color="000000" w:sz="4" w:space="0"/>
              <w:right w:val="single" w:color="000000" w:sz="4" w:space="0"/>
            </w:tcBorders>
            <w:noWrap w:val="0"/>
            <w:vAlign w:val="center"/>
          </w:tcPr>
          <w:p w14:paraId="3223E48B">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c>
          <w:tcPr>
            <w:tcW w:w="1708" w:type="pct"/>
            <w:tcBorders>
              <w:top w:val="single" w:color="000000" w:sz="4" w:space="0"/>
              <w:left w:val="single" w:color="000000" w:sz="4" w:space="0"/>
              <w:bottom w:val="single" w:color="000000" w:sz="4" w:space="0"/>
              <w:right w:val="single" w:color="000000" w:sz="4" w:space="0"/>
            </w:tcBorders>
            <w:noWrap w:val="0"/>
            <w:vAlign w:val="center"/>
          </w:tcPr>
          <w:p w14:paraId="74A7EF34">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3、工作到位，没被市、镇领导批评。</w:t>
            </w:r>
          </w:p>
        </w:tc>
        <w:tc>
          <w:tcPr>
            <w:tcW w:w="1870" w:type="pct"/>
            <w:tcBorders>
              <w:top w:val="single" w:color="000000" w:sz="4" w:space="0"/>
              <w:left w:val="single" w:color="000000" w:sz="4" w:space="0"/>
              <w:bottom w:val="single" w:color="000000" w:sz="4" w:space="0"/>
              <w:right w:val="single" w:color="000000" w:sz="4" w:space="0"/>
            </w:tcBorders>
            <w:noWrap w:val="0"/>
            <w:vAlign w:val="center"/>
          </w:tcPr>
          <w:p w14:paraId="2401CB72">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3、被批评，情况属实的，扣5分。</w:t>
            </w:r>
          </w:p>
        </w:tc>
        <w:tc>
          <w:tcPr>
            <w:tcW w:w="447" w:type="pct"/>
            <w:tcBorders>
              <w:top w:val="single" w:color="000000" w:sz="4" w:space="0"/>
              <w:left w:val="single" w:color="000000" w:sz="4" w:space="0"/>
              <w:bottom w:val="single" w:color="000000" w:sz="4" w:space="0"/>
              <w:right w:val="single" w:color="000000" w:sz="4" w:space="0"/>
            </w:tcBorders>
            <w:noWrap/>
            <w:vAlign w:val="center"/>
          </w:tcPr>
          <w:p w14:paraId="7520B218">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c>
          <w:tcPr>
            <w:tcW w:w="468" w:type="pct"/>
            <w:tcBorders>
              <w:top w:val="single" w:color="000000" w:sz="4" w:space="0"/>
              <w:left w:val="single" w:color="000000" w:sz="4" w:space="0"/>
              <w:bottom w:val="single" w:color="000000" w:sz="4" w:space="0"/>
              <w:right w:val="single" w:color="000000" w:sz="4" w:space="0"/>
            </w:tcBorders>
            <w:noWrap/>
            <w:vAlign w:val="center"/>
          </w:tcPr>
          <w:p w14:paraId="3F4DCE9B">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r>
      <w:tr w14:paraId="2D7A64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686" w:hRule="atLeast"/>
          <w:jc w:val="center"/>
        </w:trPr>
        <w:tc>
          <w:tcPr>
            <w:tcW w:w="504" w:type="pct"/>
            <w:vMerge w:val="continue"/>
            <w:tcBorders>
              <w:top w:val="single" w:color="000000" w:sz="4" w:space="0"/>
              <w:left w:val="single" w:color="000000" w:sz="4" w:space="0"/>
              <w:bottom w:val="single" w:color="000000" w:sz="4" w:space="0"/>
              <w:right w:val="single" w:color="000000" w:sz="4" w:space="0"/>
            </w:tcBorders>
            <w:noWrap w:val="0"/>
            <w:vAlign w:val="center"/>
          </w:tcPr>
          <w:p w14:paraId="742E9A36">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c>
          <w:tcPr>
            <w:tcW w:w="1708" w:type="pct"/>
            <w:tcBorders>
              <w:top w:val="single" w:color="000000" w:sz="4" w:space="0"/>
              <w:left w:val="single" w:color="000000" w:sz="4" w:space="0"/>
              <w:bottom w:val="single" w:color="000000" w:sz="4" w:space="0"/>
              <w:right w:val="single" w:color="000000" w:sz="4" w:space="0"/>
            </w:tcBorders>
            <w:noWrap/>
            <w:vAlign w:val="center"/>
          </w:tcPr>
          <w:p w14:paraId="62DA54B0">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4、工作到位，没被市民投诉。</w:t>
            </w:r>
          </w:p>
        </w:tc>
        <w:tc>
          <w:tcPr>
            <w:tcW w:w="1870" w:type="pct"/>
            <w:tcBorders>
              <w:top w:val="single" w:color="000000" w:sz="4" w:space="0"/>
              <w:left w:val="single" w:color="000000" w:sz="4" w:space="0"/>
              <w:bottom w:val="single" w:color="000000" w:sz="4" w:space="0"/>
              <w:right w:val="single" w:color="000000" w:sz="4" w:space="0"/>
            </w:tcBorders>
            <w:noWrap w:val="0"/>
            <w:vAlign w:val="center"/>
          </w:tcPr>
          <w:p w14:paraId="401B307B">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4、被投诉，情况属实的，扣0.5分。</w:t>
            </w:r>
          </w:p>
        </w:tc>
        <w:tc>
          <w:tcPr>
            <w:tcW w:w="447" w:type="pct"/>
            <w:tcBorders>
              <w:top w:val="single" w:color="000000" w:sz="4" w:space="0"/>
              <w:left w:val="single" w:color="000000" w:sz="4" w:space="0"/>
              <w:bottom w:val="single" w:color="000000" w:sz="4" w:space="0"/>
              <w:right w:val="single" w:color="000000" w:sz="4" w:space="0"/>
            </w:tcBorders>
            <w:noWrap/>
            <w:vAlign w:val="center"/>
          </w:tcPr>
          <w:p w14:paraId="194D3239">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c>
          <w:tcPr>
            <w:tcW w:w="468" w:type="pct"/>
            <w:tcBorders>
              <w:top w:val="single" w:color="000000" w:sz="4" w:space="0"/>
              <w:left w:val="single" w:color="000000" w:sz="4" w:space="0"/>
              <w:bottom w:val="single" w:color="000000" w:sz="4" w:space="0"/>
              <w:right w:val="single" w:color="000000" w:sz="4" w:space="0"/>
            </w:tcBorders>
            <w:noWrap/>
            <w:vAlign w:val="center"/>
          </w:tcPr>
          <w:p w14:paraId="42CE233E">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r>
      <w:tr w14:paraId="45520D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686" w:hRule="atLeast"/>
          <w:jc w:val="center"/>
        </w:trPr>
        <w:tc>
          <w:tcPr>
            <w:tcW w:w="504" w:type="pct"/>
            <w:vMerge w:val="continue"/>
            <w:tcBorders>
              <w:top w:val="single" w:color="000000" w:sz="4" w:space="0"/>
              <w:left w:val="single" w:color="000000" w:sz="4" w:space="0"/>
              <w:bottom w:val="single" w:color="000000" w:sz="4" w:space="0"/>
              <w:right w:val="single" w:color="000000" w:sz="4" w:space="0"/>
            </w:tcBorders>
            <w:noWrap w:val="0"/>
            <w:vAlign w:val="center"/>
          </w:tcPr>
          <w:p w14:paraId="192BDD89">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c>
          <w:tcPr>
            <w:tcW w:w="1708" w:type="pct"/>
            <w:tcBorders>
              <w:top w:val="single" w:color="000000" w:sz="4" w:space="0"/>
              <w:left w:val="single" w:color="000000" w:sz="4" w:space="0"/>
              <w:bottom w:val="single" w:color="000000" w:sz="4" w:space="0"/>
              <w:right w:val="single" w:color="000000" w:sz="4" w:space="0"/>
            </w:tcBorders>
            <w:noWrap/>
            <w:vAlign w:val="center"/>
          </w:tcPr>
          <w:p w14:paraId="25088760">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5、达到环卫管理其它项目标准。</w:t>
            </w:r>
          </w:p>
        </w:tc>
        <w:tc>
          <w:tcPr>
            <w:tcW w:w="1870" w:type="pct"/>
            <w:tcBorders>
              <w:top w:val="single" w:color="000000" w:sz="4" w:space="0"/>
              <w:left w:val="single" w:color="000000" w:sz="4" w:space="0"/>
              <w:bottom w:val="single" w:color="000000" w:sz="4" w:space="0"/>
              <w:right w:val="single" w:color="000000" w:sz="4" w:space="0"/>
            </w:tcBorders>
            <w:noWrap w:val="0"/>
            <w:vAlign w:val="center"/>
          </w:tcPr>
          <w:p w14:paraId="5EFE64DA">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5、达不到标准的，每项扣0.5分。</w:t>
            </w:r>
          </w:p>
        </w:tc>
        <w:tc>
          <w:tcPr>
            <w:tcW w:w="447" w:type="pct"/>
            <w:tcBorders>
              <w:top w:val="single" w:color="000000" w:sz="4" w:space="0"/>
              <w:left w:val="single" w:color="000000" w:sz="4" w:space="0"/>
              <w:bottom w:val="single" w:color="000000" w:sz="4" w:space="0"/>
              <w:right w:val="single" w:color="000000" w:sz="4" w:space="0"/>
            </w:tcBorders>
            <w:noWrap/>
            <w:vAlign w:val="center"/>
          </w:tcPr>
          <w:p w14:paraId="3CFE525F">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c>
          <w:tcPr>
            <w:tcW w:w="468" w:type="pct"/>
            <w:tcBorders>
              <w:top w:val="single" w:color="000000" w:sz="4" w:space="0"/>
              <w:left w:val="single" w:color="000000" w:sz="4" w:space="0"/>
              <w:bottom w:val="single" w:color="000000" w:sz="4" w:space="0"/>
              <w:right w:val="single" w:color="000000" w:sz="4" w:space="0"/>
            </w:tcBorders>
            <w:noWrap/>
            <w:vAlign w:val="center"/>
          </w:tcPr>
          <w:p w14:paraId="2067643A">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i w:val="0"/>
                <w:iCs w:val="0"/>
                <w:color w:val="auto"/>
                <w:sz w:val="21"/>
                <w:szCs w:val="21"/>
                <w:highlight w:val="none"/>
                <w:u w:val="none"/>
              </w:rPr>
            </w:pPr>
          </w:p>
        </w:tc>
      </w:tr>
      <w:tr w14:paraId="0C1DC8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686"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ign w:val="center"/>
          </w:tcPr>
          <w:p w14:paraId="174AEA55">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合计检查扣分</w:t>
            </w:r>
          </w:p>
        </w:tc>
      </w:tr>
      <w:tr w14:paraId="687D9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686"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ign w:val="center"/>
          </w:tcPr>
          <w:p w14:paraId="50AB36AD">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合计实得分(</w:t>
            </w:r>
            <w:r>
              <w:rPr>
                <w:rFonts w:hint="eastAsia" w:ascii="宋体" w:hAnsi="宋体" w:eastAsia="宋体" w:cs="宋体"/>
                <w:i w:val="0"/>
                <w:iCs w:val="0"/>
                <w:color w:val="auto"/>
                <w:kern w:val="0"/>
                <w:sz w:val="21"/>
                <w:szCs w:val="21"/>
                <w:highlight w:val="none"/>
                <w:u w:val="single"/>
                <w:lang w:val="en-US" w:eastAsia="zh-CN" w:bidi="ar"/>
              </w:rPr>
              <w:t xml:space="preserve">       </w:t>
            </w:r>
            <w:r>
              <w:rPr>
                <w:rFonts w:hint="eastAsia" w:ascii="宋体" w:hAnsi="宋体" w:eastAsia="宋体" w:cs="宋体"/>
                <w:i w:val="0"/>
                <w:iCs w:val="0"/>
                <w:color w:val="auto"/>
                <w:kern w:val="0"/>
                <w:sz w:val="21"/>
                <w:szCs w:val="21"/>
                <w:highlight w:val="none"/>
                <w:u w:val="none"/>
                <w:lang w:val="en-US" w:eastAsia="zh-CN" w:bidi="ar"/>
              </w:rPr>
              <w:t>)=总分(100)-合计检查扣分(</w:t>
            </w:r>
            <w:r>
              <w:rPr>
                <w:rFonts w:hint="eastAsia" w:ascii="宋体" w:hAnsi="宋体" w:eastAsia="宋体" w:cs="宋体"/>
                <w:i w:val="0"/>
                <w:iCs w:val="0"/>
                <w:color w:val="auto"/>
                <w:kern w:val="0"/>
                <w:sz w:val="21"/>
                <w:szCs w:val="21"/>
                <w:highlight w:val="none"/>
                <w:u w:val="single"/>
                <w:lang w:val="en-US" w:eastAsia="zh-CN" w:bidi="ar"/>
              </w:rPr>
              <w:t xml:space="preserve">          </w:t>
            </w:r>
            <w:r>
              <w:rPr>
                <w:rFonts w:hint="eastAsia" w:ascii="宋体" w:hAnsi="宋体" w:eastAsia="宋体" w:cs="宋体"/>
                <w:i w:val="0"/>
                <w:iCs w:val="0"/>
                <w:color w:val="auto"/>
                <w:kern w:val="0"/>
                <w:sz w:val="21"/>
                <w:szCs w:val="21"/>
                <w:highlight w:val="none"/>
                <w:u w:val="none"/>
                <w:lang w:val="en-US" w:eastAsia="zh-CN" w:bidi="ar"/>
              </w:rPr>
              <w:t>)</w:t>
            </w:r>
          </w:p>
        </w:tc>
      </w:tr>
      <w:tr w14:paraId="5FD6DF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3" w:type="dxa"/>
            <w:bottom w:w="0" w:type="dxa"/>
            <w:right w:w="23" w:type="dxa"/>
          </w:tblCellMar>
        </w:tblPrEx>
        <w:trPr>
          <w:trHeight w:val="696"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ign w:val="center"/>
          </w:tcPr>
          <w:p w14:paraId="74DF35BF">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评分员：</w:t>
            </w:r>
            <w:r>
              <w:rPr>
                <w:rFonts w:hint="eastAsia" w:ascii="宋体" w:hAnsi="宋体" w:eastAsia="宋体" w:cs="宋体"/>
                <w:i w:val="0"/>
                <w:iCs w:val="0"/>
                <w:color w:val="auto"/>
                <w:kern w:val="0"/>
                <w:sz w:val="21"/>
                <w:szCs w:val="21"/>
                <w:highlight w:val="none"/>
                <w:u w:val="single"/>
                <w:lang w:val="en-US" w:eastAsia="zh-CN" w:bidi="ar"/>
              </w:rPr>
              <w:t xml:space="preserve">                    </w:t>
            </w:r>
            <w:r>
              <w:rPr>
                <w:rFonts w:hint="eastAsia" w:ascii="宋体" w:hAnsi="宋体" w:eastAsia="宋体" w:cs="宋体"/>
                <w:i w:val="0"/>
                <w:iCs w:val="0"/>
                <w:color w:val="auto"/>
                <w:kern w:val="0"/>
                <w:sz w:val="21"/>
                <w:szCs w:val="21"/>
                <w:highlight w:val="none"/>
                <w:u w:val="none"/>
                <w:lang w:val="en-US" w:eastAsia="zh-CN" w:bidi="ar"/>
              </w:rPr>
              <w:t>初审：</w:t>
            </w:r>
            <w:r>
              <w:rPr>
                <w:rFonts w:hint="eastAsia" w:ascii="宋体" w:hAnsi="宋体" w:eastAsia="宋体" w:cs="宋体"/>
                <w:i w:val="0"/>
                <w:iCs w:val="0"/>
                <w:color w:val="auto"/>
                <w:kern w:val="0"/>
                <w:sz w:val="21"/>
                <w:szCs w:val="21"/>
                <w:highlight w:val="none"/>
                <w:u w:val="single"/>
                <w:lang w:val="en-US" w:eastAsia="zh-CN" w:bidi="ar"/>
              </w:rPr>
              <w:t xml:space="preserve">                </w:t>
            </w:r>
            <w:r>
              <w:rPr>
                <w:rFonts w:hint="eastAsia" w:ascii="宋体" w:hAnsi="宋体" w:eastAsia="宋体" w:cs="宋体"/>
                <w:i w:val="0"/>
                <w:iCs w:val="0"/>
                <w:color w:val="auto"/>
                <w:kern w:val="0"/>
                <w:sz w:val="21"/>
                <w:szCs w:val="21"/>
                <w:highlight w:val="none"/>
                <w:u w:val="none"/>
                <w:lang w:val="en-US" w:eastAsia="zh-CN" w:bidi="ar"/>
              </w:rPr>
              <w:t>审核：</w:t>
            </w:r>
            <w:r>
              <w:rPr>
                <w:rFonts w:hint="eastAsia" w:ascii="宋体" w:hAnsi="宋体" w:eastAsia="宋体" w:cs="宋体"/>
                <w:i w:val="0"/>
                <w:iCs w:val="0"/>
                <w:color w:val="auto"/>
                <w:kern w:val="0"/>
                <w:sz w:val="21"/>
                <w:szCs w:val="21"/>
                <w:highlight w:val="none"/>
                <w:u w:val="single"/>
                <w:lang w:val="en-US" w:eastAsia="zh-CN" w:bidi="ar"/>
              </w:rPr>
              <w:t xml:space="preserve">          </w:t>
            </w:r>
          </w:p>
        </w:tc>
      </w:tr>
    </w:tbl>
    <w:p w14:paraId="0E3B1C9F">
      <w:pPr>
        <w:keepNext w:val="0"/>
        <w:keepLines w:val="0"/>
        <w:pageBreakBefore w:val="0"/>
        <w:tabs>
          <w:tab w:val="left" w:pos="840"/>
        </w:tabs>
        <w:kinsoku/>
        <w:wordWrap/>
        <w:overflowPunct/>
        <w:topLinePunct w:val="0"/>
        <w:autoSpaceDE/>
        <w:autoSpaceDN/>
        <w:bidi w:val="0"/>
        <w:adjustRightInd/>
        <w:snapToGrid w:val="0"/>
        <w:spacing w:line="360" w:lineRule="auto"/>
        <w:jc w:val="left"/>
        <w:rPr>
          <w:rFonts w:hint="eastAsia" w:ascii="宋体" w:hAnsi="宋体" w:eastAsia="宋体" w:cs="宋体"/>
          <w:color w:val="auto"/>
          <w:sz w:val="21"/>
          <w:szCs w:val="21"/>
          <w:highlight w:val="none"/>
        </w:rPr>
      </w:pPr>
    </w:p>
    <w:p w14:paraId="08228FF7">
      <w:pPr>
        <w:keepNext w:val="0"/>
        <w:keepLines w:val="0"/>
        <w:pageBreakBefore w:val="0"/>
        <w:kinsoku/>
        <w:wordWrap/>
        <w:overflowPunct/>
        <w:topLinePunct w:val="0"/>
        <w:autoSpaceDE/>
        <w:autoSpaceDN/>
        <w:bidi w:val="0"/>
        <w:adjustRightInd/>
        <w:snapToGrid w:val="0"/>
        <w:spacing w:line="360" w:lineRule="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附件2：《虎门镇环卫保洁明检扣减标准表》</w:t>
      </w:r>
    </w:p>
    <w:tbl>
      <w:tblPr>
        <w:tblStyle w:val="14"/>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
      <w:tblGrid>
        <w:gridCol w:w="686"/>
        <w:gridCol w:w="4817"/>
        <w:gridCol w:w="2184"/>
        <w:gridCol w:w="1439"/>
      </w:tblGrid>
      <w:tr w14:paraId="21BC77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375" w:type="pct"/>
            <w:tcBorders>
              <w:top w:val="single" w:color="000000" w:sz="4" w:space="0"/>
              <w:left w:val="single" w:color="000000" w:sz="4" w:space="0"/>
              <w:bottom w:val="single" w:color="000000" w:sz="4" w:space="0"/>
              <w:right w:val="single" w:color="000000" w:sz="4" w:space="0"/>
            </w:tcBorders>
            <w:noWrap/>
            <w:vAlign w:val="center"/>
          </w:tcPr>
          <w:p w14:paraId="56721D1D">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档次</w:t>
            </w:r>
          </w:p>
        </w:tc>
        <w:tc>
          <w:tcPr>
            <w:tcW w:w="2639" w:type="pct"/>
            <w:tcBorders>
              <w:top w:val="single" w:color="000000" w:sz="4" w:space="0"/>
              <w:left w:val="single" w:color="000000" w:sz="4" w:space="0"/>
              <w:bottom w:val="single" w:color="000000" w:sz="4" w:space="0"/>
              <w:right w:val="single" w:color="000000" w:sz="4" w:space="0"/>
            </w:tcBorders>
            <w:noWrap/>
            <w:vAlign w:val="center"/>
          </w:tcPr>
          <w:p w14:paraId="27032568">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扣减规则</w:t>
            </w:r>
          </w:p>
        </w:tc>
        <w:tc>
          <w:tcPr>
            <w:tcW w:w="1984" w:type="pct"/>
            <w:gridSpan w:val="2"/>
            <w:tcBorders>
              <w:top w:val="single" w:color="000000" w:sz="4" w:space="0"/>
              <w:left w:val="single" w:color="000000" w:sz="4" w:space="0"/>
              <w:bottom w:val="single" w:color="000000" w:sz="4" w:space="0"/>
              <w:right w:val="single" w:color="000000" w:sz="4" w:space="0"/>
            </w:tcBorders>
            <w:noWrap/>
            <w:vAlign w:val="center"/>
          </w:tcPr>
          <w:p w14:paraId="7907813A">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承包款支付比例</w:t>
            </w:r>
          </w:p>
        </w:tc>
      </w:tr>
      <w:tr w14:paraId="3098F8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375" w:type="pct"/>
            <w:tcBorders>
              <w:top w:val="single" w:color="000000" w:sz="4" w:space="0"/>
              <w:left w:val="single" w:color="000000" w:sz="4" w:space="0"/>
              <w:bottom w:val="single" w:color="000000" w:sz="4" w:space="0"/>
              <w:right w:val="single" w:color="000000" w:sz="4" w:space="0"/>
            </w:tcBorders>
            <w:noWrap/>
            <w:vAlign w:val="center"/>
          </w:tcPr>
          <w:p w14:paraId="19057BA6">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好</w:t>
            </w:r>
          </w:p>
        </w:tc>
        <w:tc>
          <w:tcPr>
            <w:tcW w:w="2639" w:type="pct"/>
            <w:tcBorders>
              <w:top w:val="single" w:color="000000" w:sz="4" w:space="0"/>
              <w:left w:val="single" w:color="000000" w:sz="4" w:space="0"/>
              <w:bottom w:val="single" w:color="000000" w:sz="4" w:space="0"/>
              <w:right w:val="single" w:color="000000" w:sz="4" w:space="0"/>
            </w:tcBorders>
            <w:noWrap/>
            <w:vAlign w:val="center"/>
          </w:tcPr>
          <w:p w14:paraId="693C2152">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第一区间：100≥分数≥88，不扣减；</w:t>
            </w:r>
          </w:p>
        </w:tc>
        <w:tc>
          <w:tcPr>
            <w:tcW w:w="1196" w:type="pct"/>
            <w:tcBorders>
              <w:top w:val="single" w:color="000000" w:sz="4" w:space="0"/>
              <w:left w:val="single" w:color="000000" w:sz="4" w:space="0"/>
              <w:bottom w:val="single" w:color="000000" w:sz="4" w:space="0"/>
              <w:right w:val="single" w:color="000000" w:sz="4" w:space="0"/>
            </w:tcBorders>
            <w:noWrap/>
            <w:vAlign w:val="center"/>
          </w:tcPr>
          <w:p w14:paraId="60E3AE6B">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88（含）~100（含）</w:t>
            </w:r>
          </w:p>
        </w:tc>
        <w:tc>
          <w:tcPr>
            <w:tcW w:w="788" w:type="pct"/>
            <w:tcBorders>
              <w:top w:val="single" w:color="000000" w:sz="4" w:space="0"/>
              <w:left w:val="single" w:color="000000" w:sz="4" w:space="0"/>
              <w:bottom w:val="single" w:color="000000" w:sz="4" w:space="0"/>
              <w:right w:val="single" w:color="000000" w:sz="4" w:space="0"/>
            </w:tcBorders>
            <w:noWrap/>
            <w:vAlign w:val="center"/>
          </w:tcPr>
          <w:p w14:paraId="6A0F1A73">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100%</w:t>
            </w:r>
          </w:p>
        </w:tc>
      </w:tr>
      <w:tr w14:paraId="225540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375" w:type="pct"/>
            <w:vMerge w:val="restart"/>
            <w:tcBorders>
              <w:top w:val="single" w:color="000000" w:sz="4" w:space="0"/>
              <w:left w:val="single" w:color="000000" w:sz="4" w:space="0"/>
              <w:right w:val="single" w:color="000000" w:sz="4" w:space="0"/>
            </w:tcBorders>
            <w:noWrap/>
            <w:vAlign w:val="center"/>
          </w:tcPr>
          <w:p w14:paraId="49789787">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中</w:t>
            </w:r>
          </w:p>
        </w:tc>
        <w:tc>
          <w:tcPr>
            <w:tcW w:w="2639" w:type="pct"/>
            <w:vMerge w:val="restart"/>
            <w:tcBorders>
              <w:top w:val="single" w:color="000000" w:sz="4" w:space="0"/>
              <w:left w:val="single" w:color="000000" w:sz="4" w:space="0"/>
              <w:right w:val="single" w:color="000000" w:sz="4" w:space="0"/>
            </w:tcBorders>
            <w:noWrap/>
            <w:vAlign w:val="center"/>
          </w:tcPr>
          <w:p w14:paraId="3548C8D4">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第二区间：80≥分数＞88，每扣1分按1%累计扣除；</w:t>
            </w:r>
          </w:p>
        </w:tc>
        <w:tc>
          <w:tcPr>
            <w:tcW w:w="1196" w:type="pct"/>
            <w:tcBorders>
              <w:top w:val="single" w:color="000000" w:sz="4" w:space="0"/>
              <w:left w:val="single" w:color="000000" w:sz="4" w:space="0"/>
              <w:bottom w:val="single" w:color="000000" w:sz="4" w:space="0"/>
              <w:right w:val="single" w:color="000000" w:sz="4" w:space="0"/>
            </w:tcBorders>
            <w:noWrap/>
            <w:vAlign w:val="center"/>
          </w:tcPr>
          <w:p w14:paraId="06446FC9">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87</w:t>
            </w:r>
          </w:p>
        </w:tc>
        <w:tc>
          <w:tcPr>
            <w:tcW w:w="788" w:type="pct"/>
            <w:tcBorders>
              <w:top w:val="single" w:color="000000" w:sz="4" w:space="0"/>
              <w:left w:val="single" w:color="000000" w:sz="4" w:space="0"/>
              <w:bottom w:val="single" w:color="000000" w:sz="4" w:space="0"/>
              <w:right w:val="single" w:color="000000" w:sz="4" w:space="0"/>
            </w:tcBorders>
            <w:noWrap/>
            <w:vAlign w:val="center"/>
          </w:tcPr>
          <w:p w14:paraId="7DDA875A">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99%</w:t>
            </w:r>
          </w:p>
        </w:tc>
      </w:tr>
      <w:tr w14:paraId="54C52E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375" w:type="pct"/>
            <w:vMerge w:val="continue"/>
            <w:tcBorders>
              <w:left w:val="single" w:color="000000" w:sz="4" w:space="0"/>
              <w:right w:val="single" w:color="000000" w:sz="4" w:space="0"/>
            </w:tcBorders>
            <w:noWrap/>
            <w:vAlign w:val="center"/>
          </w:tcPr>
          <w:p w14:paraId="4A0CA61F">
            <w:pPr>
              <w:keepNext w:val="0"/>
              <w:keepLines w:val="0"/>
              <w:pageBreakBefore w:val="0"/>
              <w:kinsoku/>
              <w:wordWrap/>
              <w:overflowPunct/>
              <w:topLinePunct w:val="0"/>
              <w:autoSpaceDE/>
              <w:autoSpaceDN/>
              <w:bidi w:val="0"/>
              <w:adjustRightInd/>
              <w:snapToGrid w:val="0"/>
              <w:spacing w:line="360" w:lineRule="auto"/>
              <w:jc w:val="center"/>
              <w:rPr>
                <w:rFonts w:hint="eastAsia" w:ascii="宋体" w:hAnsi="宋体" w:eastAsia="宋体" w:cs="宋体"/>
                <w:color w:val="auto"/>
                <w:kern w:val="2"/>
                <w:sz w:val="21"/>
                <w:szCs w:val="21"/>
                <w:highlight w:val="none"/>
                <w:lang w:val="en-US" w:eastAsia="zh-CN" w:bidi="ar-SA"/>
              </w:rPr>
            </w:pPr>
          </w:p>
        </w:tc>
        <w:tc>
          <w:tcPr>
            <w:tcW w:w="2639" w:type="pct"/>
            <w:vMerge w:val="continue"/>
            <w:tcBorders>
              <w:left w:val="single" w:color="000000" w:sz="4" w:space="0"/>
              <w:right w:val="single" w:color="000000" w:sz="4" w:space="0"/>
            </w:tcBorders>
            <w:noWrap/>
            <w:vAlign w:val="center"/>
          </w:tcPr>
          <w:p w14:paraId="7F4BA0FD">
            <w:pPr>
              <w:keepNext w:val="0"/>
              <w:keepLines w:val="0"/>
              <w:pageBreakBefore w:val="0"/>
              <w:kinsoku/>
              <w:wordWrap/>
              <w:overflowPunct/>
              <w:topLinePunct w:val="0"/>
              <w:autoSpaceDE/>
              <w:autoSpaceDN/>
              <w:bidi w:val="0"/>
              <w:adjustRightInd/>
              <w:snapToGrid w:val="0"/>
              <w:spacing w:line="360" w:lineRule="auto"/>
              <w:jc w:val="center"/>
              <w:rPr>
                <w:rFonts w:hint="eastAsia" w:ascii="宋体" w:hAnsi="宋体" w:eastAsia="宋体" w:cs="宋体"/>
                <w:color w:val="auto"/>
                <w:kern w:val="2"/>
                <w:sz w:val="21"/>
                <w:szCs w:val="21"/>
                <w:highlight w:val="none"/>
                <w:lang w:val="en-US" w:eastAsia="zh-CN" w:bidi="ar-SA"/>
              </w:rPr>
            </w:pPr>
          </w:p>
        </w:tc>
        <w:tc>
          <w:tcPr>
            <w:tcW w:w="1196" w:type="pct"/>
            <w:tcBorders>
              <w:top w:val="single" w:color="000000" w:sz="4" w:space="0"/>
              <w:left w:val="single" w:color="000000" w:sz="4" w:space="0"/>
              <w:bottom w:val="single" w:color="000000" w:sz="4" w:space="0"/>
              <w:right w:val="single" w:color="000000" w:sz="4" w:space="0"/>
            </w:tcBorders>
            <w:noWrap/>
            <w:vAlign w:val="center"/>
          </w:tcPr>
          <w:p w14:paraId="000C1B4B">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86</w:t>
            </w:r>
          </w:p>
        </w:tc>
        <w:tc>
          <w:tcPr>
            <w:tcW w:w="788" w:type="pct"/>
            <w:tcBorders>
              <w:top w:val="single" w:color="000000" w:sz="4" w:space="0"/>
              <w:left w:val="single" w:color="000000" w:sz="4" w:space="0"/>
              <w:bottom w:val="single" w:color="000000" w:sz="4" w:space="0"/>
              <w:right w:val="single" w:color="000000" w:sz="4" w:space="0"/>
            </w:tcBorders>
            <w:noWrap/>
            <w:vAlign w:val="center"/>
          </w:tcPr>
          <w:p w14:paraId="23C2D106">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98%</w:t>
            </w:r>
          </w:p>
        </w:tc>
      </w:tr>
      <w:tr w14:paraId="0C9459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375" w:type="pct"/>
            <w:vMerge w:val="continue"/>
            <w:tcBorders>
              <w:left w:val="single" w:color="000000" w:sz="4" w:space="0"/>
              <w:right w:val="single" w:color="000000" w:sz="4" w:space="0"/>
            </w:tcBorders>
            <w:noWrap/>
            <w:vAlign w:val="center"/>
          </w:tcPr>
          <w:p w14:paraId="3B145314">
            <w:pPr>
              <w:keepNext w:val="0"/>
              <w:keepLines w:val="0"/>
              <w:pageBreakBefore w:val="0"/>
              <w:kinsoku/>
              <w:wordWrap/>
              <w:overflowPunct/>
              <w:topLinePunct w:val="0"/>
              <w:autoSpaceDE/>
              <w:autoSpaceDN/>
              <w:bidi w:val="0"/>
              <w:adjustRightInd/>
              <w:snapToGrid w:val="0"/>
              <w:spacing w:line="360" w:lineRule="auto"/>
              <w:jc w:val="center"/>
              <w:rPr>
                <w:rFonts w:hint="eastAsia" w:ascii="宋体" w:hAnsi="宋体" w:eastAsia="宋体" w:cs="宋体"/>
                <w:color w:val="auto"/>
                <w:kern w:val="2"/>
                <w:sz w:val="21"/>
                <w:szCs w:val="21"/>
                <w:highlight w:val="none"/>
                <w:lang w:val="en-US" w:eastAsia="zh-CN" w:bidi="ar-SA"/>
              </w:rPr>
            </w:pPr>
          </w:p>
        </w:tc>
        <w:tc>
          <w:tcPr>
            <w:tcW w:w="2639" w:type="pct"/>
            <w:vMerge w:val="continue"/>
            <w:tcBorders>
              <w:left w:val="single" w:color="000000" w:sz="4" w:space="0"/>
              <w:right w:val="single" w:color="000000" w:sz="4" w:space="0"/>
            </w:tcBorders>
            <w:noWrap/>
            <w:vAlign w:val="center"/>
          </w:tcPr>
          <w:p w14:paraId="7C74D262">
            <w:pPr>
              <w:keepNext w:val="0"/>
              <w:keepLines w:val="0"/>
              <w:pageBreakBefore w:val="0"/>
              <w:kinsoku/>
              <w:wordWrap/>
              <w:overflowPunct/>
              <w:topLinePunct w:val="0"/>
              <w:autoSpaceDE/>
              <w:autoSpaceDN/>
              <w:bidi w:val="0"/>
              <w:adjustRightInd/>
              <w:snapToGrid w:val="0"/>
              <w:spacing w:line="360" w:lineRule="auto"/>
              <w:jc w:val="center"/>
              <w:rPr>
                <w:rFonts w:hint="eastAsia" w:ascii="宋体" w:hAnsi="宋体" w:eastAsia="宋体" w:cs="宋体"/>
                <w:color w:val="auto"/>
                <w:kern w:val="2"/>
                <w:sz w:val="21"/>
                <w:szCs w:val="21"/>
                <w:highlight w:val="none"/>
                <w:lang w:val="en-US" w:eastAsia="zh-CN" w:bidi="ar-SA"/>
              </w:rPr>
            </w:pPr>
          </w:p>
        </w:tc>
        <w:tc>
          <w:tcPr>
            <w:tcW w:w="1196" w:type="pct"/>
            <w:tcBorders>
              <w:top w:val="single" w:color="000000" w:sz="4" w:space="0"/>
              <w:left w:val="single" w:color="000000" w:sz="4" w:space="0"/>
              <w:bottom w:val="single" w:color="000000" w:sz="4" w:space="0"/>
              <w:right w:val="single" w:color="000000" w:sz="4" w:space="0"/>
            </w:tcBorders>
            <w:noWrap/>
            <w:vAlign w:val="center"/>
          </w:tcPr>
          <w:p w14:paraId="21C30AEB">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85</w:t>
            </w:r>
          </w:p>
        </w:tc>
        <w:tc>
          <w:tcPr>
            <w:tcW w:w="788" w:type="pct"/>
            <w:tcBorders>
              <w:top w:val="single" w:color="000000" w:sz="4" w:space="0"/>
              <w:left w:val="single" w:color="000000" w:sz="4" w:space="0"/>
              <w:bottom w:val="single" w:color="000000" w:sz="4" w:space="0"/>
              <w:right w:val="single" w:color="000000" w:sz="4" w:space="0"/>
            </w:tcBorders>
            <w:noWrap/>
            <w:vAlign w:val="center"/>
          </w:tcPr>
          <w:p w14:paraId="5BD6279B">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97%</w:t>
            </w:r>
          </w:p>
        </w:tc>
      </w:tr>
      <w:tr w14:paraId="76C21B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375" w:type="pct"/>
            <w:vMerge w:val="continue"/>
            <w:tcBorders>
              <w:left w:val="single" w:color="000000" w:sz="4" w:space="0"/>
              <w:right w:val="single" w:color="000000" w:sz="4" w:space="0"/>
            </w:tcBorders>
            <w:noWrap/>
            <w:vAlign w:val="center"/>
          </w:tcPr>
          <w:p w14:paraId="25073D83">
            <w:pPr>
              <w:keepNext w:val="0"/>
              <w:keepLines w:val="0"/>
              <w:pageBreakBefore w:val="0"/>
              <w:kinsoku/>
              <w:wordWrap/>
              <w:overflowPunct/>
              <w:topLinePunct w:val="0"/>
              <w:autoSpaceDE/>
              <w:autoSpaceDN/>
              <w:bidi w:val="0"/>
              <w:adjustRightInd/>
              <w:snapToGrid w:val="0"/>
              <w:spacing w:line="360" w:lineRule="auto"/>
              <w:jc w:val="center"/>
              <w:rPr>
                <w:rFonts w:hint="eastAsia" w:ascii="宋体" w:hAnsi="宋体" w:eastAsia="宋体" w:cs="宋体"/>
                <w:color w:val="auto"/>
                <w:kern w:val="2"/>
                <w:sz w:val="21"/>
                <w:szCs w:val="21"/>
                <w:highlight w:val="none"/>
                <w:lang w:val="en-US" w:eastAsia="zh-CN" w:bidi="ar-SA"/>
              </w:rPr>
            </w:pPr>
          </w:p>
        </w:tc>
        <w:tc>
          <w:tcPr>
            <w:tcW w:w="2639" w:type="pct"/>
            <w:vMerge w:val="continue"/>
            <w:tcBorders>
              <w:left w:val="single" w:color="000000" w:sz="4" w:space="0"/>
              <w:right w:val="single" w:color="000000" w:sz="4" w:space="0"/>
            </w:tcBorders>
            <w:noWrap/>
            <w:vAlign w:val="center"/>
          </w:tcPr>
          <w:p w14:paraId="1442F6A5">
            <w:pPr>
              <w:keepNext w:val="0"/>
              <w:keepLines w:val="0"/>
              <w:pageBreakBefore w:val="0"/>
              <w:kinsoku/>
              <w:wordWrap/>
              <w:overflowPunct/>
              <w:topLinePunct w:val="0"/>
              <w:autoSpaceDE/>
              <w:autoSpaceDN/>
              <w:bidi w:val="0"/>
              <w:adjustRightInd/>
              <w:snapToGrid w:val="0"/>
              <w:spacing w:line="360" w:lineRule="auto"/>
              <w:jc w:val="center"/>
              <w:rPr>
                <w:rFonts w:hint="eastAsia" w:ascii="宋体" w:hAnsi="宋体" w:eastAsia="宋体" w:cs="宋体"/>
                <w:color w:val="auto"/>
                <w:kern w:val="2"/>
                <w:sz w:val="21"/>
                <w:szCs w:val="21"/>
                <w:highlight w:val="none"/>
                <w:lang w:val="en-US" w:eastAsia="zh-CN" w:bidi="ar-SA"/>
              </w:rPr>
            </w:pPr>
          </w:p>
        </w:tc>
        <w:tc>
          <w:tcPr>
            <w:tcW w:w="1196" w:type="pct"/>
            <w:tcBorders>
              <w:top w:val="single" w:color="000000" w:sz="4" w:space="0"/>
              <w:left w:val="single" w:color="000000" w:sz="4" w:space="0"/>
              <w:bottom w:val="single" w:color="000000" w:sz="4" w:space="0"/>
              <w:right w:val="single" w:color="000000" w:sz="4" w:space="0"/>
            </w:tcBorders>
            <w:noWrap/>
            <w:vAlign w:val="center"/>
          </w:tcPr>
          <w:p w14:paraId="52F5F37D">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84</w:t>
            </w:r>
          </w:p>
        </w:tc>
        <w:tc>
          <w:tcPr>
            <w:tcW w:w="788" w:type="pct"/>
            <w:tcBorders>
              <w:top w:val="single" w:color="000000" w:sz="4" w:space="0"/>
              <w:left w:val="single" w:color="000000" w:sz="4" w:space="0"/>
              <w:bottom w:val="single" w:color="000000" w:sz="4" w:space="0"/>
              <w:right w:val="single" w:color="000000" w:sz="4" w:space="0"/>
            </w:tcBorders>
            <w:noWrap/>
            <w:vAlign w:val="center"/>
          </w:tcPr>
          <w:p w14:paraId="11B0C09C">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96%</w:t>
            </w:r>
          </w:p>
        </w:tc>
      </w:tr>
      <w:tr w14:paraId="0CFECC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375" w:type="pct"/>
            <w:vMerge w:val="continue"/>
            <w:tcBorders>
              <w:left w:val="single" w:color="000000" w:sz="4" w:space="0"/>
              <w:right w:val="single" w:color="000000" w:sz="4" w:space="0"/>
            </w:tcBorders>
            <w:noWrap/>
            <w:vAlign w:val="center"/>
          </w:tcPr>
          <w:p w14:paraId="37097D4E">
            <w:pPr>
              <w:keepNext w:val="0"/>
              <w:keepLines w:val="0"/>
              <w:pageBreakBefore w:val="0"/>
              <w:kinsoku/>
              <w:wordWrap/>
              <w:overflowPunct/>
              <w:topLinePunct w:val="0"/>
              <w:autoSpaceDE/>
              <w:autoSpaceDN/>
              <w:bidi w:val="0"/>
              <w:adjustRightInd/>
              <w:snapToGrid w:val="0"/>
              <w:spacing w:line="360" w:lineRule="auto"/>
              <w:jc w:val="center"/>
              <w:rPr>
                <w:rFonts w:hint="eastAsia" w:ascii="宋体" w:hAnsi="宋体" w:eastAsia="宋体" w:cs="宋体"/>
                <w:color w:val="auto"/>
                <w:kern w:val="2"/>
                <w:sz w:val="21"/>
                <w:szCs w:val="21"/>
                <w:highlight w:val="none"/>
                <w:lang w:val="en-US" w:eastAsia="zh-CN" w:bidi="ar-SA"/>
              </w:rPr>
            </w:pPr>
          </w:p>
        </w:tc>
        <w:tc>
          <w:tcPr>
            <w:tcW w:w="2639" w:type="pct"/>
            <w:vMerge w:val="continue"/>
            <w:tcBorders>
              <w:left w:val="single" w:color="000000" w:sz="4" w:space="0"/>
              <w:right w:val="single" w:color="000000" w:sz="4" w:space="0"/>
            </w:tcBorders>
            <w:noWrap/>
            <w:vAlign w:val="center"/>
          </w:tcPr>
          <w:p w14:paraId="6F767078">
            <w:pPr>
              <w:keepNext w:val="0"/>
              <w:keepLines w:val="0"/>
              <w:pageBreakBefore w:val="0"/>
              <w:kinsoku/>
              <w:wordWrap/>
              <w:overflowPunct/>
              <w:topLinePunct w:val="0"/>
              <w:autoSpaceDE/>
              <w:autoSpaceDN/>
              <w:bidi w:val="0"/>
              <w:adjustRightInd/>
              <w:snapToGrid w:val="0"/>
              <w:spacing w:line="360" w:lineRule="auto"/>
              <w:jc w:val="center"/>
              <w:rPr>
                <w:rFonts w:hint="eastAsia" w:ascii="宋体" w:hAnsi="宋体" w:eastAsia="宋体" w:cs="宋体"/>
                <w:color w:val="auto"/>
                <w:kern w:val="2"/>
                <w:sz w:val="21"/>
                <w:szCs w:val="21"/>
                <w:highlight w:val="none"/>
                <w:lang w:val="en-US" w:eastAsia="zh-CN" w:bidi="ar-SA"/>
              </w:rPr>
            </w:pPr>
          </w:p>
        </w:tc>
        <w:tc>
          <w:tcPr>
            <w:tcW w:w="1196" w:type="pct"/>
            <w:tcBorders>
              <w:top w:val="single" w:color="000000" w:sz="4" w:space="0"/>
              <w:left w:val="single" w:color="000000" w:sz="4" w:space="0"/>
              <w:bottom w:val="single" w:color="000000" w:sz="4" w:space="0"/>
              <w:right w:val="single" w:color="000000" w:sz="4" w:space="0"/>
            </w:tcBorders>
            <w:noWrap/>
            <w:vAlign w:val="center"/>
          </w:tcPr>
          <w:p w14:paraId="405A67E5">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83</w:t>
            </w:r>
          </w:p>
        </w:tc>
        <w:tc>
          <w:tcPr>
            <w:tcW w:w="788" w:type="pct"/>
            <w:tcBorders>
              <w:top w:val="single" w:color="000000" w:sz="4" w:space="0"/>
              <w:left w:val="single" w:color="000000" w:sz="4" w:space="0"/>
              <w:bottom w:val="single" w:color="000000" w:sz="4" w:space="0"/>
              <w:right w:val="single" w:color="000000" w:sz="4" w:space="0"/>
            </w:tcBorders>
            <w:noWrap/>
            <w:vAlign w:val="center"/>
          </w:tcPr>
          <w:p w14:paraId="369BD9BB">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95%</w:t>
            </w:r>
          </w:p>
        </w:tc>
      </w:tr>
      <w:tr w14:paraId="637863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375" w:type="pct"/>
            <w:vMerge w:val="continue"/>
            <w:tcBorders>
              <w:left w:val="single" w:color="000000" w:sz="4" w:space="0"/>
              <w:right w:val="single" w:color="000000" w:sz="4" w:space="0"/>
            </w:tcBorders>
            <w:noWrap/>
            <w:vAlign w:val="center"/>
          </w:tcPr>
          <w:p w14:paraId="6E8B6F6B">
            <w:pPr>
              <w:keepNext w:val="0"/>
              <w:keepLines w:val="0"/>
              <w:pageBreakBefore w:val="0"/>
              <w:kinsoku/>
              <w:wordWrap/>
              <w:overflowPunct/>
              <w:topLinePunct w:val="0"/>
              <w:autoSpaceDE/>
              <w:autoSpaceDN/>
              <w:bidi w:val="0"/>
              <w:adjustRightInd/>
              <w:snapToGrid w:val="0"/>
              <w:spacing w:line="360" w:lineRule="auto"/>
              <w:jc w:val="center"/>
              <w:rPr>
                <w:rFonts w:hint="eastAsia" w:ascii="宋体" w:hAnsi="宋体" w:eastAsia="宋体" w:cs="宋体"/>
                <w:color w:val="auto"/>
                <w:kern w:val="2"/>
                <w:sz w:val="21"/>
                <w:szCs w:val="21"/>
                <w:highlight w:val="none"/>
                <w:lang w:val="en-US" w:eastAsia="zh-CN" w:bidi="ar-SA"/>
              </w:rPr>
            </w:pPr>
          </w:p>
        </w:tc>
        <w:tc>
          <w:tcPr>
            <w:tcW w:w="2639" w:type="pct"/>
            <w:vMerge w:val="continue"/>
            <w:tcBorders>
              <w:left w:val="single" w:color="000000" w:sz="4" w:space="0"/>
              <w:right w:val="single" w:color="000000" w:sz="4" w:space="0"/>
            </w:tcBorders>
            <w:noWrap/>
            <w:vAlign w:val="center"/>
          </w:tcPr>
          <w:p w14:paraId="103D8D4D">
            <w:pPr>
              <w:keepNext w:val="0"/>
              <w:keepLines w:val="0"/>
              <w:pageBreakBefore w:val="0"/>
              <w:kinsoku/>
              <w:wordWrap/>
              <w:overflowPunct/>
              <w:topLinePunct w:val="0"/>
              <w:autoSpaceDE/>
              <w:autoSpaceDN/>
              <w:bidi w:val="0"/>
              <w:adjustRightInd/>
              <w:snapToGrid w:val="0"/>
              <w:spacing w:line="360" w:lineRule="auto"/>
              <w:jc w:val="center"/>
              <w:rPr>
                <w:rFonts w:hint="eastAsia" w:ascii="宋体" w:hAnsi="宋体" w:eastAsia="宋体" w:cs="宋体"/>
                <w:color w:val="auto"/>
                <w:kern w:val="2"/>
                <w:sz w:val="21"/>
                <w:szCs w:val="21"/>
                <w:highlight w:val="none"/>
                <w:lang w:val="en-US" w:eastAsia="zh-CN" w:bidi="ar-SA"/>
              </w:rPr>
            </w:pPr>
          </w:p>
        </w:tc>
        <w:tc>
          <w:tcPr>
            <w:tcW w:w="1196" w:type="pct"/>
            <w:tcBorders>
              <w:top w:val="single" w:color="000000" w:sz="4" w:space="0"/>
              <w:left w:val="single" w:color="000000" w:sz="4" w:space="0"/>
              <w:bottom w:val="single" w:color="000000" w:sz="4" w:space="0"/>
              <w:right w:val="single" w:color="000000" w:sz="4" w:space="0"/>
            </w:tcBorders>
            <w:noWrap/>
            <w:vAlign w:val="center"/>
          </w:tcPr>
          <w:p w14:paraId="19E2B149">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82</w:t>
            </w:r>
          </w:p>
        </w:tc>
        <w:tc>
          <w:tcPr>
            <w:tcW w:w="788" w:type="pct"/>
            <w:tcBorders>
              <w:top w:val="single" w:color="000000" w:sz="4" w:space="0"/>
              <w:left w:val="single" w:color="000000" w:sz="4" w:space="0"/>
              <w:bottom w:val="single" w:color="000000" w:sz="4" w:space="0"/>
              <w:right w:val="single" w:color="000000" w:sz="4" w:space="0"/>
            </w:tcBorders>
            <w:noWrap/>
            <w:vAlign w:val="center"/>
          </w:tcPr>
          <w:p w14:paraId="0AD24CA9">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94%</w:t>
            </w:r>
          </w:p>
        </w:tc>
      </w:tr>
      <w:tr w14:paraId="6FEE3F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375" w:type="pct"/>
            <w:vMerge w:val="continue"/>
            <w:tcBorders>
              <w:left w:val="single" w:color="000000" w:sz="4" w:space="0"/>
              <w:right w:val="single" w:color="000000" w:sz="4" w:space="0"/>
            </w:tcBorders>
            <w:noWrap/>
            <w:vAlign w:val="center"/>
          </w:tcPr>
          <w:p w14:paraId="309E42F2">
            <w:pPr>
              <w:keepNext w:val="0"/>
              <w:keepLines w:val="0"/>
              <w:pageBreakBefore w:val="0"/>
              <w:kinsoku/>
              <w:wordWrap/>
              <w:overflowPunct/>
              <w:topLinePunct w:val="0"/>
              <w:autoSpaceDE/>
              <w:autoSpaceDN/>
              <w:bidi w:val="0"/>
              <w:adjustRightInd/>
              <w:snapToGrid w:val="0"/>
              <w:spacing w:line="360" w:lineRule="auto"/>
              <w:jc w:val="center"/>
              <w:rPr>
                <w:rFonts w:hint="eastAsia" w:ascii="宋体" w:hAnsi="宋体" w:eastAsia="宋体" w:cs="宋体"/>
                <w:color w:val="auto"/>
                <w:kern w:val="2"/>
                <w:sz w:val="21"/>
                <w:szCs w:val="21"/>
                <w:highlight w:val="none"/>
                <w:lang w:val="en-US" w:eastAsia="zh-CN" w:bidi="ar-SA"/>
              </w:rPr>
            </w:pPr>
          </w:p>
        </w:tc>
        <w:tc>
          <w:tcPr>
            <w:tcW w:w="2639" w:type="pct"/>
            <w:vMerge w:val="continue"/>
            <w:tcBorders>
              <w:left w:val="single" w:color="000000" w:sz="4" w:space="0"/>
              <w:right w:val="single" w:color="000000" w:sz="4" w:space="0"/>
            </w:tcBorders>
            <w:noWrap/>
            <w:vAlign w:val="center"/>
          </w:tcPr>
          <w:p w14:paraId="682AC5A6">
            <w:pPr>
              <w:keepNext w:val="0"/>
              <w:keepLines w:val="0"/>
              <w:pageBreakBefore w:val="0"/>
              <w:kinsoku/>
              <w:wordWrap/>
              <w:overflowPunct/>
              <w:topLinePunct w:val="0"/>
              <w:autoSpaceDE/>
              <w:autoSpaceDN/>
              <w:bidi w:val="0"/>
              <w:adjustRightInd/>
              <w:snapToGrid w:val="0"/>
              <w:spacing w:line="360" w:lineRule="auto"/>
              <w:jc w:val="center"/>
              <w:rPr>
                <w:rFonts w:hint="eastAsia" w:ascii="宋体" w:hAnsi="宋体" w:eastAsia="宋体" w:cs="宋体"/>
                <w:color w:val="auto"/>
                <w:kern w:val="2"/>
                <w:sz w:val="21"/>
                <w:szCs w:val="21"/>
                <w:highlight w:val="none"/>
                <w:lang w:val="en-US" w:eastAsia="zh-CN" w:bidi="ar-SA"/>
              </w:rPr>
            </w:pPr>
          </w:p>
        </w:tc>
        <w:tc>
          <w:tcPr>
            <w:tcW w:w="1196" w:type="pct"/>
            <w:tcBorders>
              <w:top w:val="single" w:color="000000" w:sz="4" w:space="0"/>
              <w:left w:val="single" w:color="000000" w:sz="4" w:space="0"/>
              <w:bottom w:val="single" w:color="000000" w:sz="4" w:space="0"/>
              <w:right w:val="single" w:color="000000" w:sz="4" w:space="0"/>
            </w:tcBorders>
            <w:noWrap/>
            <w:vAlign w:val="center"/>
          </w:tcPr>
          <w:p w14:paraId="54689FC2">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81</w:t>
            </w:r>
          </w:p>
        </w:tc>
        <w:tc>
          <w:tcPr>
            <w:tcW w:w="788" w:type="pct"/>
            <w:tcBorders>
              <w:top w:val="single" w:color="000000" w:sz="4" w:space="0"/>
              <w:left w:val="single" w:color="000000" w:sz="4" w:space="0"/>
              <w:bottom w:val="single" w:color="000000" w:sz="4" w:space="0"/>
              <w:right w:val="single" w:color="000000" w:sz="4" w:space="0"/>
            </w:tcBorders>
            <w:noWrap/>
            <w:vAlign w:val="center"/>
          </w:tcPr>
          <w:p w14:paraId="2D6C284E">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93%</w:t>
            </w:r>
          </w:p>
        </w:tc>
      </w:tr>
      <w:tr w14:paraId="7B5A38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375" w:type="pct"/>
            <w:vMerge w:val="continue"/>
            <w:tcBorders>
              <w:left w:val="single" w:color="000000" w:sz="4" w:space="0"/>
              <w:right w:val="single" w:color="000000" w:sz="4" w:space="0"/>
            </w:tcBorders>
            <w:noWrap/>
            <w:vAlign w:val="center"/>
          </w:tcPr>
          <w:p w14:paraId="34042393">
            <w:pPr>
              <w:keepNext w:val="0"/>
              <w:keepLines w:val="0"/>
              <w:pageBreakBefore w:val="0"/>
              <w:kinsoku/>
              <w:wordWrap/>
              <w:overflowPunct/>
              <w:topLinePunct w:val="0"/>
              <w:autoSpaceDE/>
              <w:autoSpaceDN/>
              <w:bidi w:val="0"/>
              <w:adjustRightInd/>
              <w:snapToGrid w:val="0"/>
              <w:spacing w:line="360" w:lineRule="auto"/>
              <w:jc w:val="center"/>
              <w:rPr>
                <w:rFonts w:hint="eastAsia" w:ascii="宋体" w:hAnsi="宋体" w:eastAsia="宋体" w:cs="宋体"/>
                <w:color w:val="auto"/>
                <w:kern w:val="2"/>
                <w:sz w:val="21"/>
                <w:szCs w:val="21"/>
                <w:highlight w:val="none"/>
                <w:lang w:val="en-US" w:eastAsia="zh-CN" w:bidi="ar-SA"/>
              </w:rPr>
            </w:pPr>
          </w:p>
        </w:tc>
        <w:tc>
          <w:tcPr>
            <w:tcW w:w="2639" w:type="pct"/>
            <w:vMerge w:val="continue"/>
            <w:tcBorders>
              <w:left w:val="single" w:color="000000" w:sz="4" w:space="0"/>
              <w:bottom w:val="single" w:color="000000" w:sz="4" w:space="0"/>
              <w:right w:val="single" w:color="000000" w:sz="4" w:space="0"/>
            </w:tcBorders>
            <w:noWrap/>
            <w:vAlign w:val="center"/>
          </w:tcPr>
          <w:p w14:paraId="4BEF2D1E">
            <w:pPr>
              <w:keepNext w:val="0"/>
              <w:keepLines w:val="0"/>
              <w:pageBreakBefore w:val="0"/>
              <w:kinsoku/>
              <w:wordWrap/>
              <w:overflowPunct/>
              <w:topLinePunct w:val="0"/>
              <w:autoSpaceDE/>
              <w:autoSpaceDN/>
              <w:bidi w:val="0"/>
              <w:adjustRightInd/>
              <w:snapToGrid w:val="0"/>
              <w:spacing w:line="360" w:lineRule="auto"/>
              <w:jc w:val="center"/>
              <w:rPr>
                <w:rFonts w:hint="eastAsia" w:ascii="宋体" w:hAnsi="宋体" w:eastAsia="宋体" w:cs="宋体"/>
                <w:color w:val="auto"/>
                <w:kern w:val="2"/>
                <w:sz w:val="21"/>
                <w:szCs w:val="21"/>
                <w:highlight w:val="none"/>
                <w:lang w:val="en-US" w:eastAsia="zh-CN" w:bidi="ar-SA"/>
              </w:rPr>
            </w:pPr>
          </w:p>
        </w:tc>
        <w:tc>
          <w:tcPr>
            <w:tcW w:w="1196" w:type="pct"/>
            <w:tcBorders>
              <w:top w:val="single" w:color="000000" w:sz="4" w:space="0"/>
              <w:left w:val="single" w:color="000000" w:sz="4" w:space="0"/>
              <w:bottom w:val="single" w:color="000000" w:sz="4" w:space="0"/>
              <w:right w:val="single" w:color="000000" w:sz="4" w:space="0"/>
            </w:tcBorders>
            <w:noWrap/>
            <w:vAlign w:val="center"/>
          </w:tcPr>
          <w:p w14:paraId="333F5DA5">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80</w:t>
            </w:r>
          </w:p>
        </w:tc>
        <w:tc>
          <w:tcPr>
            <w:tcW w:w="788" w:type="pct"/>
            <w:tcBorders>
              <w:top w:val="single" w:color="000000" w:sz="4" w:space="0"/>
              <w:left w:val="single" w:color="000000" w:sz="4" w:space="0"/>
              <w:bottom w:val="single" w:color="000000" w:sz="4" w:space="0"/>
              <w:right w:val="single" w:color="000000" w:sz="4" w:space="0"/>
            </w:tcBorders>
            <w:noWrap/>
            <w:vAlign w:val="center"/>
          </w:tcPr>
          <w:p w14:paraId="7E5A8934">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92%</w:t>
            </w:r>
          </w:p>
        </w:tc>
      </w:tr>
      <w:tr w14:paraId="4689EC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375" w:type="pct"/>
            <w:vMerge w:val="continue"/>
            <w:tcBorders>
              <w:left w:val="single" w:color="000000" w:sz="4" w:space="0"/>
              <w:right w:val="single" w:color="000000" w:sz="4" w:space="0"/>
            </w:tcBorders>
            <w:noWrap/>
            <w:vAlign w:val="center"/>
          </w:tcPr>
          <w:p w14:paraId="50018096">
            <w:pPr>
              <w:keepNext w:val="0"/>
              <w:keepLines w:val="0"/>
              <w:pageBreakBefore w:val="0"/>
              <w:kinsoku/>
              <w:wordWrap/>
              <w:overflowPunct/>
              <w:topLinePunct w:val="0"/>
              <w:autoSpaceDE/>
              <w:autoSpaceDN/>
              <w:bidi w:val="0"/>
              <w:adjustRightInd/>
              <w:snapToGrid w:val="0"/>
              <w:spacing w:line="360" w:lineRule="auto"/>
              <w:jc w:val="center"/>
              <w:rPr>
                <w:rFonts w:hint="eastAsia" w:ascii="宋体" w:hAnsi="宋体" w:eastAsia="宋体" w:cs="宋体"/>
                <w:color w:val="auto"/>
                <w:kern w:val="2"/>
                <w:sz w:val="21"/>
                <w:szCs w:val="21"/>
                <w:highlight w:val="none"/>
                <w:lang w:val="en-US" w:eastAsia="zh-CN" w:bidi="ar-SA"/>
              </w:rPr>
            </w:pPr>
          </w:p>
        </w:tc>
        <w:tc>
          <w:tcPr>
            <w:tcW w:w="2639" w:type="pct"/>
            <w:vMerge w:val="restart"/>
            <w:tcBorders>
              <w:top w:val="single" w:color="000000" w:sz="4" w:space="0"/>
              <w:left w:val="single" w:color="000000" w:sz="4" w:space="0"/>
              <w:right w:val="single" w:color="000000" w:sz="4" w:space="0"/>
            </w:tcBorders>
            <w:noWrap/>
            <w:vAlign w:val="center"/>
          </w:tcPr>
          <w:p w14:paraId="65B53AEA">
            <w:pPr>
              <w:keepNext w:val="0"/>
              <w:keepLines w:val="0"/>
              <w:pageBreakBefore w:val="0"/>
              <w:kinsoku/>
              <w:wordWrap/>
              <w:overflowPunct/>
              <w:topLinePunct w:val="0"/>
              <w:autoSpaceDE/>
              <w:autoSpaceDN/>
              <w:bidi w:val="0"/>
              <w:adjustRightInd/>
              <w:snapToGrid w:val="0"/>
              <w:spacing w:line="36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第三区间：70≥分数＞80，第二区间正常扣除8%，超出第二区间的每扣1分按1.2%累计扣除；</w:t>
            </w:r>
          </w:p>
          <w:p w14:paraId="4996FC0B">
            <w:pPr>
              <w:keepNext w:val="0"/>
              <w:keepLines w:val="0"/>
              <w:pageBreakBefore w:val="0"/>
              <w:kinsoku/>
              <w:wordWrap/>
              <w:overflowPunct/>
              <w:topLinePunct w:val="0"/>
              <w:autoSpaceDE/>
              <w:autoSpaceDN/>
              <w:bidi w:val="0"/>
              <w:adjustRightInd/>
              <w:snapToGrid w:val="0"/>
              <w:spacing w:line="360" w:lineRule="auto"/>
              <w:jc w:val="center"/>
              <w:rPr>
                <w:rFonts w:hint="eastAsia" w:ascii="宋体" w:hAnsi="宋体" w:eastAsia="宋体" w:cs="宋体"/>
                <w:color w:val="auto"/>
                <w:kern w:val="2"/>
                <w:sz w:val="21"/>
                <w:szCs w:val="21"/>
                <w:highlight w:val="none"/>
                <w:lang w:val="en-US" w:eastAsia="zh-CN" w:bidi="ar-SA"/>
              </w:rPr>
            </w:pPr>
          </w:p>
        </w:tc>
        <w:tc>
          <w:tcPr>
            <w:tcW w:w="1196" w:type="pct"/>
            <w:tcBorders>
              <w:top w:val="single" w:color="000000" w:sz="4" w:space="0"/>
              <w:left w:val="single" w:color="000000" w:sz="4" w:space="0"/>
              <w:bottom w:val="single" w:color="000000" w:sz="4" w:space="0"/>
              <w:right w:val="single" w:color="000000" w:sz="4" w:space="0"/>
            </w:tcBorders>
            <w:noWrap/>
            <w:vAlign w:val="center"/>
          </w:tcPr>
          <w:p w14:paraId="14876FFC">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79</w:t>
            </w:r>
          </w:p>
        </w:tc>
        <w:tc>
          <w:tcPr>
            <w:tcW w:w="788" w:type="pct"/>
            <w:tcBorders>
              <w:top w:val="single" w:color="000000" w:sz="4" w:space="0"/>
              <w:left w:val="single" w:color="000000" w:sz="4" w:space="0"/>
              <w:bottom w:val="single" w:color="000000" w:sz="4" w:space="0"/>
              <w:right w:val="single" w:color="000000" w:sz="4" w:space="0"/>
            </w:tcBorders>
            <w:noWrap/>
            <w:vAlign w:val="center"/>
          </w:tcPr>
          <w:p w14:paraId="1587F38F">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90.8%</w:t>
            </w:r>
          </w:p>
        </w:tc>
      </w:tr>
      <w:tr w14:paraId="6D98A8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375" w:type="pct"/>
            <w:vMerge w:val="continue"/>
            <w:tcBorders>
              <w:left w:val="single" w:color="000000" w:sz="4" w:space="0"/>
              <w:right w:val="single" w:color="000000" w:sz="4" w:space="0"/>
            </w:tcBorders>
            <w:noWrap/>
            <w:vAlign w:val="center"/>
          </w:tcPr>
          <w:p w14:paraId="26C4CDE5">
            <w:pPr>
              <w:keepNext w:val="0"/>
              <w:keepLines w:val="0"/>
              <w:pageBreakBefore w:val="0"/>
              <w:kinsoku/>
              <w:wordWrap/>
              <w:overflowPunct/>
              <w:topLinePunct w:val="0"/>
              <w:autoSpaceDE/>
              <w:autoSpaceDN/>
              <w:bidi w:val="0"/>
              <w:adjustRightInd/>
              <w:snapToGrid w:val="0"/>
              <w:spacing w:line="360" w:lineRule="auto"/>
              <w:jc w:val="center"/>
              <w:rPr>
                <w:rFonts w:hint="eastAsia" w:ascii="宋体" w:hAnsi="宋体" w:eastAsia="宋体" w:cs="宋体"/>
                <w:color w:val="auto"/>
                <w:kern w:val="2"/>
                <w:sz w:val="21"/>
                <w:szCs w:val="21"/>
                <w:highlight w:val="none"/>
                <w:lang w:val="en-US" w:eastAsia="zh-CN" w:bidi="ar-SA"/>
              </w:rPr>
            </w:pPr>
          </w:p>
        </w:tc>
        <w:tc>
          <w:tcPr>
            <w:tcW w:w="2639" w:type="pct"/>
            <w:vMerge w:val="continue"/>
            <w:tcBorders>
              <w:left w:val="single" w:color="000000" w:sz="4" w:space="0"/>
              <w:right w:val="single" w:color="000000" w:sz="4" w:space="0"/>
            </w:tcBorders>
            <w:noWrap/>
            <w:vAlign w:val="center"/>
          </w:tcPr>
          <w:p w14:paraId="6E26903A">
            <w:pPr>
              <w:keepNext w:val="0"/>
              <w:keepLines w:val="0"/>
              <w:pageBreakBefore w:val="0"/>
              <w:kinsoku/>
              <w:wordWrap/>
              <w:overflowPunct/>
              <w:topLinePunct w:val="0"/>
              <w:autoSpaceDE/>
              <w:autoSpaceDN/>
              <w:bidi w:val="0"/>
              <w:adjustRightInd/>
              <w:snapToGrid w:val="0"/>
              <w:spacing w:line="360" w:lineRule="auto"/>
              <w:jc w:val="center"/>
              <w:rPr>
                <w:rFonts w:hint="eastAsia" w:ascii="宋体" w:hAnsi="宋体" w:eastAsia="宋体" w:cs="宋体"/>
                <w:color w:val="auto"/>
                <w:kern w:val="2"/>
                <w:sz w:val="21"/>
                <w:szCs w:val="21"/>
                <w:highlight w:val="none"/>
                <w:lang w:val="en-US" w:eastAsia="zh-CN" w:bidi="ar-SA"/>
              </w:rPr>
            </w:pPr>
          </w:p>
        </w:tc>
        <w:tc>
          <w:tcPr>
            <w:tcW w:w="1196" w:type="pct"/>
            <w:tcBorders>
              <w:top w:val="single" w:color="000000" w:sz="4" w:space="0"/>
              <w:left w:val="single" w:color="000000" w:sz="4" w:space="0"/>
              <w:bottom w:val="single" w:color="000000" w:sz="4" w:space="0"/>
              <w:right w:val="single" w:color="000000" w:sz="4" w:space="0"/>
            </w:tcBorders>
            <w:noWrap/>
            <w:vAlign w:val="center"/>
          </w:tcPr>
          <w:p w14:paraId="300E055E">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78</w:t>
            </w:r>
          </w:p>
        </w:tc>
        <w:tc>
          <w:tcPr>
            <w:tcW w:w="788" w:type="pct"/>
            <w:tcBorders>
              <w:top w:val="single" w:color="000000" w:sz="4" w:space="0"/>
              <w:left w:val="single" w:color="000000" w:sz="4" w:space="0"/>
              <w:bottom w:val="single" w:color="000000" w:sz="4" w:space="0"/>
              <w:right w:val="single" w:color="000000" w:sz="4" w:space="0"/>
            </w:tcBorders>
            <w:noWrap/>
            <w:vAlign w:val="center"/>
          </w:tcPr>
          <w:p w14:paraId="011682BB">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89.6%</w:t>
            </w:r>
          </w:p>
        </w:tc>
      </w:tr>
      <w:tr w14:paraId="0723E1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375" w:type="pct"/>
            <w:vMerge w:val="continue"/>
            <w:tcBorders>
              <w:left w:val="single" w:color="000000" w:sz="4" w:space="0"/>
              <w:right w:val="single" w:color="000000" w:sz="4" w:space="0"/>
            </w:tcBorders>
            <w:noWrap/>
            <w:vAlign w:val="center"/>
          </w:tcPr>
          <w:p w14:paraId="36B10F36">
            <w:pPr>
              <w:keepNext w:val="0"/>
              <w:keepLines w:val="0"/>
              <w:pageBreakBefore w:val="0"/>
              <w:kinsoku/>
              <w:wordWrap/>
              <w:overflowPunct/>
              <w:topLinePunct w:val="0"/>
              <w:autoSpaceDE/>
              <w:autoSpaceDN/>
              <w:bidi w:val="0"/>
              <w:adjustRightInd/>
              <w:snapToGrid w:val="0"/>
              <w:spacing w:line="360" w:lineRule="auto"/>
              <w:jc w:val="center"/>
              <w:rPr>
                <w:rFonts w:hint="eastAsia" w:ascii="宋体" w:hAnsi="宋体" w:eastAsia="宋体" w:cs="宋体"/>
                <w:color w:val="auto"/>
                <w:kern w:val="2"/>
                <w:sz w:val="21"/>
                <w:szCs w:val="21"/>
                <w:highlight w:val="none"/>
                <w:lang w:val="en-US" w:eastAsia="zh-CN" w:bidi="ar-SA"/>
              </w:rPr>
            </w:pPr>
          </w:p>
        </w:tc>
        <w:tc>
          <w:tcPr>
            <w:tcW w:w="2639" w:type="pct"/>
            <w:vMerge w:val="continue"/>
            <w:tcBorders>
              <w:left w:val="single" w:color="000000" w:sz="4" w:space="0"/>
              <w:right w:val="single" w:color="000000" w:sz="4" w:space="0"/>
            </w:tcBorders>
            <w:noWrap/>
            <w:vAlign w:val="center"/>
          </w:tcPr>
          <w:p w14:paraId="0A1BC8BD">
            <w:pPr>
              <w:keepNext w:val="0"/>
              <w:keepLines w:val="0"/>
              <w:pageBreakBefore w:val="0"/>
              <w:kinsoku/>
              <w:wordWrap/>
              <w:overflowPunct/>
              <w:topLinePunct w:val="0"/>
              <w:autoSpaceDE/>
              <w:autoSpaceDN/>
              <w:bidi w:val="0"/>
              <w:adjustRightInd/>
              <w:snapToGrid w:val="0"/>
              <w:spacing w:line="360" w:lineRule="auto"/>
              <w:jc w:val="center"/>
              <w:rPr>
                <w:rFonts w:hint="eastAsia" w:ascii="宋体" w:hAnsi="宋体" w:eastAsia="宋体" w:cs="宋体"/>
                <w:color w:val="auto"/>
                <w:kern w:val="2"/>
                <w:sz w:val="21"/>
                <w:szCs w:val="21"/>
                <w:highlight w:val="none"/>
                <w:lang w:val="en-US" w:eastAsia="zh-CN" w:bidi="ar-SA"/>
              </w:rPr>
            </w:pPr>
          </w:p>
        </w:tc>
        <w:tc>
          <w:tcPr>
            <w:tcW w:w="1196" w:type="pct"/>
            <w:tcBorders>
              <w:top w:val="single" w:color="000000" w:sz="4" w:space="0"/>
              <w:left w:val="single" w:color="000000" w:sz="4" w:space="0"/>
              <w:bottom w:val="single" w:color="000000" w:sz="4" w:space="0"/>
              <w:right w:val="single" w:color="000000" w:sz="4" w:space="0"/>
            </w:tcBorders>
            <w:noWrap/>
            <w:vAlign w:val="center"/>
          </w:tcPr>
          <w:p w14:paraId="3A78CF25">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77</w:t>
            </w:r>
          </w:p>
        </w:tc>
        <w:tc>
          <w:tcPr>
            <w:tcW w:w="788" w:type="pct"/>
            <w:tcBorders>
              <w:top w:val="single" w:color="000000" w:sz="4" w:space="0"/>
              <w:left w:val="single" w:color="000000" w:sz="4" w:space="0"/>
              <w:bottom w:val="single" w:color="000000" w:sz="4" w:space="0"/>
              <w:right w:val="single" w:color="000000" w:sz="4" w:space="0"/>
            </w:tcBorders>
            <w:noWrap/>
            <w:vAlign w:val="center"/>
          </w:tcPr>
          <w:p w14:paraId="52A35F79">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88.4%</w:t>
            </w:r>
          </w:p>
        </w:tc>
      </w:tr>
      <w:tr w14:paraId="4D9B7E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375" w:type="pct"/>
            <w:vMerge w:val="continue"/>
            <w:tcBorders>
              <w:left w:val="single" w:color="000000" w:sz="4" w:space="0"/>
              <w:right w:val="single" w:color="000000" w:sz="4" w:space="0"/>
            </w:tcBorders>
            <w:noWrap/>
            <w:vAlign w:val="center"/>
          </w:tcPr>
          <w:p w14:paraId="6AA908A3">
            <w:pPr>
              <w:keepNext w:val="0"/>
              <w:keepLines w:val="0"/>
              <w:pageBreakBefore w:val="0"/>
              <w:kinsoku/>
              <w:wordWrap/>
              <w:overflowPunct/>
              <w:topLinePunct w:val="0"/>
              <w:autoSpaceDE/>
              <w:autoSpaceDN/>
              <w:bidi w:val="0"/>
              <w:adjustRightInd/>
              <w:snapToGrid w:val="0"/>
              <w:spacing w:line="360" w:lineRule="auto"/>
              <w:jc w:val="center"/>
              <w:rPr>
                <w:rFonts w:hint="eastAsia" w:ascii="宋体" w:hAnsi="宋体" w:eastAsia="宋体" w:cs="宋体"/>
                <w:color w:val="auto"/>
                <w:kern w:val="2"/>
                <w:sz w:val="21"/>
                <w:szCs w:val="21"/>
                <w:highlight w:val="none"/>
                <w:lang w:val="en-US" w:eastAsia="zh-CN" w:bidi="ar-SA"/>
              </w:rPr>
            </w:pPr>
          </w:p>
        </w:tc>
        <w:tc>
          <w:tcPr>
            <w:tcW w:w="2639" w:type="pct"/>
            <w:vMerge w:val="continue"/>
            <w:tcBorders>
              <w:left w:val="single" w:color="000000" w:sz="4" w:space="0"/>
              <w:right w:val="single" w:color="000000" w:sz="4" w:space="0"/>
            </w:tcBorders>
            <w:noWrap/>
            <w:vAlign w:val="center"/>
          </w:tcPr>
          <w:p w14:paraId="21B3242F">
            <w:pPr>
              <w:keepNext w:val="0"/>
              <w:keepLines w:val="0"/>
              <w:pageBreakBefore w:val="0"/>
              <w:kinsoku/>
              <w:wordWrap/>
              <w:overflowPunct/>
              <w:topLinePunct w:val="0"/>
              <w:autoSpaceDE/>
              <w:autoSpaceDN/>
              <w:bidi w:val="0"/>
              <w:adjustRightInd/>
              <w:snapToGrid w:val="0"/>
              <w:spacing w:line="360" w:lineRule="auto"/>
              <w:jc w:val="center"/>
              <w:rPr>
                <w:rFonts w:hint="eastAsia" w:ascii="宋体" w:hAnsi="宋体" w:eastAsia="宋体" w:cs="宋体"/>
                <w:color w:val="auto"/>
                <w:kern w:val="2"/>
                <w:sz w:val="21"/>
                <w:szCs w:val="21"/>
                <w:highlight w:val="none"/>
                <w:lang w:val="en-US" w:eastAsia="zh-CN" w:bidi="ar-SA"/>
              </w:rPr>
            </w:pPr>
          </w:p>
        </w:tc>
        <w:tc>
          <w:tcPr>
            <w:tcW w:w="1196" w:type="pct"/>
            <w:tcBorders>
              <w:top w:val="single" w:color="000000" w:sz="4" w:space="0"/>
              <w:left w:val="single" w:color="000000" w:sz="4" w:space="0"/>
              <w:bottom w:val="single" w:color="000000" w:sz="4" w:space="0"/>
              <w:right w:val="single" w:color="000000" w:sz="4" w:space="0"/>
            </w:tcBorders>
            <w:noWrap/>
            <w:vAlign w:val="center"/>
          </w:tcPr>
          <w:p w14:paraId="129548BC">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76</w:t>
            </w:r>
          </w:p>
        </w:tc>
        <w:tc>
          <w:tcPr>
            <w:tcW w:w="788" w:type="pct"/>
            <w:tcBorders>
              <w:top w:val="single" w:color="000000" w:sz="4" w:space="0"/>
              <w:left w:val="single" w:color="000000" w:sz="4" w:space="0"/>
              <w:bottom w:val="single" w:color="000000" w:sz="4" w:space="0"/>
              <w:right w:val="single" w:color="000000" w:sz="4" w:space="0"/>
            </w:tcBorders>
            <w:noWrap/>
            <w:vAlign w:val="center"/>
          </w:tcPr>
          <w:p w14:paraId="53287019">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87.2%</w:t>
            </w:r>
          </w:p>
        </w:tc>
      </w:tr>
      <w:tr w14:paraId="45529E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375" w:type="pct"/>
            <w:vMerge w:val="continue"/>
            <w:tcBorders>
              <w:left w:val="single" w:color="000000" w:sz="4" w:space="0"/>
              <w:right w:val="single" w:color="000000" w:sz="4" w:space="0"/>
            </w:tcBorders>
            <w:noWrap/>
            <w:vAlign w:val="center"/>
          </w:tcPr>
          <w:p w14:paraId="4BB928AE">
            <w:pPr>
              <w:keepNext w:val="0"/>
              <w:keepLines w:val="0"/>
              <w:pageBreakBefore w:val="0"/>
              <w:kinsoku/>
              <w:wordWrap/>
              <w:overflowPunct/>
              <w:topLinePunct w:val="0"/>
              <w:autoSpaceDE/>
              <w:autoSpaceDN/>
              <w:bidi w:val="0"/>
              <w:adjustRightInd/>
              <w:snapToGrid w:val="0"/>
              <w:spacing w:line="360" w:lineRule="auto"/>
              <w:jc w:val="center"/>
              <w:rPr>
                <w:rFonts w:hint="eastAsia" w:ascii="宋体" w:hAnsi="宋体" w:eastAsia="宋体" w:cs="宋体"/>
                <w:color w:val="auto"/>
                <w:kern w:val="2"/>
                <w:sz w:val="21"/>
                <w:szCs w:val="21"/>
                <w:highlight w:val="none"/>
                <w:lang w:val="en-US" w:eastAsia="zh-CN" w:bidi="ar-SA"/>
              </w:rPr>
            </w:pPr>
          </w:p>
        </w:tc>
        <w:tc>
          <w:tcPr>
            <w:tcW w:w="2639" w:type="pct"/>
            <w:vMerge w:val="continue"/>
            <w:tcBorders>
              <w:left w:val="single" w:color="000000" w:sz="4" w:space="0"/>
              <w:right w:val="single" w:color="000000" w:sz="4" w:space="0"/>
            </w:tcBorders>
            <w:noWrap/>
            <w:vAlign w:val="center"/>
          </w:tcPr>
          <w:p w14:paraId="4C7935F9">
            <w:pPr>
              <w:keepNext w:val="0"/>
              <w:keepLines w:val="0"/>
              <w:pageBreakBefore w:val="0"/>
              <w:kinsoku/>
              <w:wordWrap/>
              <w:overflowPunct/>
              <w:topLinePunct w:val="0"/>
              <w:autoSpaceDE/>
              <w:autoSpaceDN/>
              <w:bidi w:val="0"/>
              <w:adjustRightInd/>
              <w:snapToGrid w:val="0"/>
              <w:spacing w:line="360" w:lineRule="auto"/>
              <w:jc w:val="center"/>
              <w:rPr>
                <w:rFonts w:hint="eastAsia" w:ascii="宋体" w:hAnsi="宋体" w:eastAsia="宋体" w:cs="宋体"/>
                <w:color w:val="auto"/>
                <w:kern w:val="2"/>
                <w:sz w:val="21"/>
                <w:szCs w:val="21"/>
                <w:highlight w:val="none"/>
                <w:lang w:val="en-US" w:eastAsia="zh-CN" w:bidi="ar-SA"/>
              </w:rPr>
            </w:pPr>
          </w:p>
        </w:tc>
        <w:tc>
          <w:tcPr>
            <w:tcW w:w="1196" w:type="pct"/>
            <w:tcBorders>
              <w:top w:val="single" w:color="000000" w:sz="4" w:space="0"/>
              <w:left w:val="single" w:color="000000" w:sz="4" w:space="0"/>
              <w:bottom w:val="single" w:color="000000" w:sz="4" w:space="0"/>
              <w:right w:val="single" w:color="000000" w:sz="4" w:space="0"/>
            </w:tcBorders>
            <w:noWrap/>
            <w:vAlign w:val="center"/>
          </w:tcPr>
          <w:p w14:paraId="254EF172">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75</w:t>
            </w:r>
          </w:p>
        </w:tc>
        <w:tc>
          <w:tcPr>
            <w:tcW w:w="788" w:type="pct"/>
            <w:tcBorders>
              <w:top w:val="single" w:color="000000" w:sz="4" w:space="0"/>
              <w:left w:val="single" w:color="000000" w:sz="4" w:space="0"/>
              <w:bottom w:val="single" w:color="000000" w:sz="4" w:space="0"/>
              <w:right w:val="single" w:color="000000" w:sz="4" w:space="0"/>
            </w:tcBorders>
            <w:noWrap/>
            <w:vAlign w:val="center"/>
          </w:tcPr>
          <w:p w14:paraId="1EE6FFFC">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86%</w:t>
            </w:r>
          </w:p>
        </w:tc>
      </w:tr>
      <w:tr w14:paraId="78A275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375" w:type="pct"/>
            <w:vMerge w:val="continue"/>
            <w:tcBorders>
              <w:left w:val="single" w:color="000000" w:sz="4" w:space="0"/>
              <w:right w:val="single" w:color="000000" w:sz="4" w:space="0"/>
            </w:tcBorders>
            <w:noWrap/>
            <w:vAlign w:val="center"/>
          </w:tcPr>
          <w:p w14:paraId="09803507">
            <w:pPr>
              <w:keepNext w:val="0"/>
              <w:keepLines w:val="0"/>
              <w:pageBreakBefore w:val="0"/>
              <w:kinsoku/>
              <w:wordWrap/>
              <w:overflowPunct/>
              <w:topLinePunct w:val="0"/>
              <w:autoSpaceDE/>
              <w:autoSpaceDN/>
              <w:bidi w:val="0"/>
              <w:adjustRightInd/>
              <w:snapToGrid w:val="0"/>
              <w:spacing w:line="360" w:lineRule="auto"/>
              <w:jc w:val="center"/>
              <w:rPr>
                <w:rFonts w:hint="eastAsia" w:ascii="宋体" w:hAnsi="宋体" w:eastAsia="宋体" w:cs="宋体"/>
                <w:color w:val="auto"/>
                <w:kern w:val="2"/>
                <w:sz w:val="21"/>
                <w:szCs w:val="21"/>
                <w:highlight w:val="none"/>
                <w:lang w:val="en-US" w:eastAsia="zh-CN" w:bidi="ar-SA"/>
              </w:rPr>
            </w:pPr>
          </w:p>
        </w:tc>
        <w:tc>
          <w:tcPr>
            <w:tcW w:w="2639" w:type="pct"/>
            <w:vMerge w:val="continue"/>
            <w:tcBorders>
              <w:left w:val="single" w:color="000000" w:sz="4" w:space="0"/>
              <w:right w:val="single" w:color="000000" w:sz="4" w:space="0"/>
            </w:tcBorders>
            <w:noWrap/>
            <w:vAlign w:val="center"/>
          </w:tcPr>
          <w:p w14:paraId="74E56BDC">
            <w:pPr>
              <w:keepNext w:val="0"/>
              <w:keepLines w:val="0"/>
              <w:pageBreakBefore w:val="0"/>
              <w:kinsoku/>
              <w:wordWrap/>
              <w:overflowPunct/>
              <w:topLinePunct w:val="0"/>
              <w:autoSpaceDE/>
              <w:autoSpaceDN/>
              <w:bidi w:val="0"/>
              <w:adjustRightInd/>
              <w:snapToGrid w:val="0"/>
              <w:spacing w:line="360" w:lineRule="auto"/>
              <w:jc w:val="center"/>
              <w:rPr>
                <w:rFonts w:hint="eastAsia" w:ascii="宋体" w:hAnsi="宋体" w:eastAsia="宋体" w:cs="宋体"/>
                <w:color w:val="auto"/>
                <w:kern w:val="2"/>
                <w:sz w:val="21"/>
                <w:szCs w:val="21"/>
                <w:highlight w:val="none"/>
                <w:lang w:val="en-US" w:eastAsia="zh-CN" w:bidi="ar-SA"/>
              </w:rPr>
            </w:pPr>
          </w:p>
        </w:tc>
        <w:tc>
          <w:tcPr>
            <w:tcW w:w="1196" w:type="pct"/>
            <w:tcBorders>
              <w:top w:val="single" w:color="000000" w:sz="4" w:space="0"/>
              <w:left w:val="single" w:color="000000" w:sz="4" w:space="0"/>
              <w:bottom w:val="single" w:color="000000" w:sz="4" w:space="0"/>
              <w:right w:val="single" w:color="000000" w:sz="4" w:space="0"/>
            </w:tcBorders>
            <w:noWrap/>
            <w:vAlign w:val="center"/>
          </w:tcPr>
          <w:p w14:paraId="500A58E7">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74</w:t>
            </w:r>
          </w:p>
        </w:tc>
        <w:tc>
          <w:tcPr>
            <w:tcW w:w="788" w:type="pct"/>
            <w:tcBorders>
              <w:top w:val="single" w:color="000000" w:sz="4" w:space="0"/>
              <w:left w:val="single" w:color="000000" w:sz="4" w:space="0"/>
              <w:bottom w:val="single" w:color="000000" w:sz="4" w:space="0"/>
              <w:right w:val="single" w:color="000000" w:sz="4" w:space="0"/>
            </w:tcBorders>
            <w:noWrap/>
            <w:vAlign w:val="center"/>
          </w:tcPr>
          <w:p w14:paraId="372143A9">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84.8%</w:t>
            </w:r>
          </w:p>
        </w:tc>
      </w:tr>
      <w:tr w14:paraId="6C376E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375" w:type="pct"/>
            <w:vMerge w:val="continue"/>
            <w:tcBorders>
              <w:left w:val="single" w:color="000000" w:sz="4" w:space="0"/>
              <w:right w:val="single" w:color="000000" w:sz="4" w:space="0"/>
            </w:tcBorders>
            <w:noWrap/>
            <w:vAlign w:val="center"/>
          </w:tcPr>
          <w:p w14:paraId="1B71A256">
            <w:pPr>
              <w:keepNext w:val="0"/>
              <w:keepLines w:val="0"/>
              <w:pageBreakBefore w:val="0"/>
              <w:kinsoku/>
              <w:wordWrap/>
              <w:overflowPunct/>
              <w:topLinePunct w:val="0"/>
              <w:autoSpaceDE/>
              <w:autoSpaceDN/>
              <w:bidi w:val="0"/>
              <w:adjustRightInd/>
              <w:snapToGrid w:val="0"/>
              <w:spacing w:line="360" w:lineRule="auto"/>
              <w:jc w:val="center"/>
              <w:rPr>
                <w:rFonts w:hint="eastAsia" w:ascii="宋体" w:hAnsi="宋体" w:eastAsia="宋体" w:cs="宋体"/>
                <w:color w:val="auto"/>
                <w:kern w:val="2"/>
                <w:sz w:val="21"/>
                <w:szCs w:val="21"/>
                <w:highlight w:val="none"/>
                <w:lang w:val="en-US" w:eastAsia="zh-CN" w:bidi="ar-SA"/>
              </w:rPr>
            </w:pPr>
          </w:p>
        </w:tc>
        <w:tc>
          <w:tcPr>
            <w:tcW w:w="2639" w:type="pct"/>
            <w:vMerge w:val="continue"/>
            <w:tcBorders>
              <w:left w:val="single" w:color="000000" w:sz="4" w:space="0"/>
              <w:right w:val="single" w:color="000000" w:sz="4" w:space="0"/>
            </w:tcBorders>
            <w:noWrap/>
            <w:vAlign w:val="center"/>
          </w:tcPr>
          <w:p w14:paraId="6200C3DF">
            <w:pPr>
              <w:keepNext w:val="0"/>
              <w:keepLines w:val="0"/>
              <w:pageBreakBefore w:val="0"/>
              <w:kinsoku/>
              <w:wordWrap/>
              <w:overflowPunct/>
              <w:topLinePunct w:val="0"/>
              <w:autoSpaceDE/>
              <w:autoSpaceDN/>
              <w:bidi w:val="0"/>
              <w:adjustRightInd/>
              <w:snapToGrid w:val="0"/>
              <w:spacing w:line="360" w:lineRule="auto"/>
              <w:jc w:val="center"/>
              <w:rPr>
                <w:rFonts w:hint="eastAsia" w:ascii="宋体" w:hAnsi="宋体" w:eastAsia="宋体" w:cs="宋体"/>
                <w:color w:val="auto"/>
                <w:kern w:val="2"/>
                <w:sz w:val="21"/>
                <w:szCs w:val="21"/>
                <w:highlight w:val="none"/>
                <w:lang w:val="en-US" w:eastAsia="zh-CN" w:bidi="ar-SA"/>
              </w:rPr>
            </w:pPr>
          </w:p>
        </w:tc>
        <w:tc>
          <w:tcPr>
            <w:tcW w:w="1196" w:type="pct"/>
            <w:tcBorders>
              <w:top w:val="single" w:color="000000" w:sz="4" w:space="0"/>
              <w:left w:val="single" w:color="000000" w:sz="4" w:space="0"/>
              <w:bottom w:val="single" w:color="000000" w:sz="4" w:space="0"/>
              <w:right w:val="single" w:color="000000" w:sz="4" w:space="0"/>
            </w:tcBorders>
            <w:noWrap/>
            <w:vAlign w:val="center"/>
          </w:tcPr>
          <w:p w14:paraId="0AE6BDEC">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73</w:t>
            </w:r>
          </w:p>
        </w:tc>
        <w:tc>
          <w:tcPr>
            <w:tcW w:w="788" w:type="pct"/>
            <w:tcBorders>
              <w:top w:val="single" w:color="000000" w:sz="4" w:space="0"/>
              <w:left w:val="single" w:color="000000" w:sz="4" w:space="0"/>
              <w:bottom w:val="single" w:color="000000" w:sz="4" w:space="0"/>
              <w:right w:val="single" w:color="000000" w:sz="4" w:space="0"/>
            </w:tcBorders>
            <w:noWrap/>
            <w:vAlign w:val="center"/>
          </w:tcPr>
          <w:p w14:paraId="16AF791F">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83.6%</w:t>
            </w:r>
          </w:p>
        </w:tc>
      </w:tr>
      <w:tr w14:paraId="0A9155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375" w:type="pct"/>
            <w:vMerge w:val="continue"/>
            <w:tcBorders>
              <w:left w:val="single" w:color="000000" w:sz="4" w:space="0"/>
              <w:right w:val="single" w:color="000000" w:sz="4" w:space="0"/>
            </w:tcBorders>
            <w:noWrap/>
            <w:vAlign w:val="center"/>
          </w:tcPr>
          <w:p w14:paraId="598FE122">
            <w:pPr>
              <w:keepNext w:val="0"/>
              <w:keepLines w:val="0"/>
              <w:pageBreakBefore w:val="0"/>
              <w:kinsoku/>
              <w:wordWrap/>
              <w:overflowPunct/>
              <w:topLinePunct w:val="0"/>
              <w:autoSpaceDE/>
              <w:autoSpaceDN/>
              <w:bidi w:val="0"/>
              <w:adjustRightInd/>
              <w:snapToGrid w:val="0"/>
              <w:spacing w:line="360" w:lineRule="auto"/>
              <w:jc w:val="center"/>
              <w:rPr>
                <w:rFonts w:hint="eastAsia" w:ascii="宋体" w:hAnsi="宋体" w:eastAsia="宋体" w:cs="宋体"/>
                <w:color w:val="auto"/>
                <w:kern w:val="2"/>
                <w:sz w:val="21"/>
                <w:szCs w:val="21"/>
                <w:highlight w:val="none"/>
                <w:lang w:val="en-US" w:eastAsia="zh-CN" w:bidi="ar-SA"/>
              </w:rPr>
            </w:pPr>
          </w:p>
        </w:tc>
        <w:tc>
          <w:tcPr>
            <w:tcW w:w="2639" w:type="pct"/>
            <w:vMerge w:val="continue"/>
            <w:tcBorders>
              <w:left w:val="single" w:color="000000" w:sz="4" w:space="0"/>
              <w:right w:val="single" w:color="000000" w:sz="4" w:space="0"/>
            </w:tcBorders>
            <w:noWrap/>
            <w:vAlign w:val="center"/>
          </w:tcPr>
          <w:p w14:paraId="7251B94F">
            <w:pPr>
              <w:keepNext w:val="0"/>
              <w:keepLines w:val="0"/>
              <w:pageBreakBefore w:val="0"/>
              <w:kinsoku/>
              <w:wordWrap/>
              <w:overflowPunct/>
              <w:topLinePunct w:val="0"/>
              <w:autoSpaceDE/>
              <w:autoSpaceDN/>
              <w:bidi w:val="0"/>
              <w:adjustRightInd/>
              <w:snapToGrid w:val="0"/>
              <w:spacing w:line="360" w:lineRule="auto"/>
              <w:jc w:val="center"/>
              <w:rPr>
                <w:rFonts w:hint="eastAsia" w:ascii="宋体" w:hAnsi="宋体" w:eastAsia="宋体" w:cs="宋体"/>
                <w:color w:val="auto"/>
                <w:kern w:val="2"/>
                <w:sz w:val="21"/>
                <w:szCs w:val="21"/>
                <w:highlight w:val="none"/>
                <w:lang w:val="en-US" w:eastAsia="zh-CN" w:bidi="ar-SA"/>
              </w:rPr>
            </w:pPr>
          </w:p>
        </w:tc>
        <w:tc>
          <w:tcPr>
            <w:tcW w:w="1196" w:type="pct"/>
            <w:tcBorders>
              <w:top w:val="single" w:color="000000" w:sz="4" w:space="0"/>
              <w:left w:val="single" w:color="000000" w:sz="4" w:space="0"/>
              <w:bottom w:val="single" w:color="000000" w:sz="4" w:space="0"/>
              <w:right w:val="single" w:color="000000" w:sz="4" w:space="0"/>
            </w:tcBorders>
            <w:noWrap/>
            <w:vAlign w:val="center"/>
          </w:tcPr>
          <w:p w14:paraId="37C5A659">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72</w:t>
            </w:r>
          </w:p>
        </w:tc>
        <w:tc>
          <w:tcPr>
            <w:tcW w:w="788" w:type="pct"/>
            <w:tcBorders>
              <w:top w:val="single" w:color="000000" w:sz="4" w:space="0"/>
              <w:left w:val="single" w:color="000000" w:sz="4" w:space="0"/>
              <w:bottom w:val="single" w:color="000000" w:sz="4" w:space="0"/>
              <w:right w:val="single" w:color="000000" w:sz="4" w:space="0"/>
            </w:tcBorders>
            <w:noWrap/>
            <w:vAlign w:val="center"/>
          </w:tcPr>
          <w:p w14:paraId="4EB3F46F">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82.4%</w:t>
            </w:r>
          </w:p>
        </w:tc>
      </w:tr>
      <w:tr w14:paraId="2CB4FB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375" w:type="pct"/>
            <w:vMerge w:val="continue"/>
            <w:tcBorders>
              <w:left w:val="single" w:color="000000" w:sz="4" w:space="0"/>
              <w:right w:val="single" w:color="000000" w:sz="4" w:space="0"/>
            </w:tcBorders>
            <w:noWrap/>
            <w:vAlign w:val="center"/>
          </w:tcPr>
          <w:p w14:paraId="149ADBF1">
            <w:pPr>
              <w:keepNext w:val="0"/>
              <w:keepLines w:val="0"/>
              <w:pageBreakBefore w:val="0"/>
              <w:kinsoku/>
              <w:wordWrap/>
              <w:overflowPunct/>
              <w:topLinePunct w:val="0"/>
              <w:autoSpaceDE/>
              <w:autoSpaceDN/>
              <w:bidi w:val="0"/>
              <w:adjustRightInd/>
              <w:snapToGrid w:val="0"/>
              <w:spacing w:line="360" w:lineRule="auto"/>
              <w:jc w:val="center"/>
              <w:rPr>
                <w:rFonts w:hint="eastAsia" w:ascii="宋体" w:hAnsi="宋体" w:eastAsia="宋体" w:cs="宋体"/>
                <w:color w:val="auto"/>
                <w:kern w:val="2"/>
                <w:sz w:val="21"/>
                <w:szCs w:val="21"/>
                <w:highlight w:val="none"/>
                <w:lang w:val="en-US" w:eastAsia="zh-CN" w:bidi="ar-SA"/>
              </w:rPr>
            </w:pPr>
          </w:p>
        </w:tc>
        <w:tc>
          <w:tcPr>
            <w:tcW w:w="2639" w:type="pct"/>
            <w:vMerge w:val="continue"/>
            <w:tcBorders>
              <w:left w:val="single" w:color="000000" w:sz="4" w:space="0"/>
              <w:right w:val="single" w:color="000000" w:sz="4" w:space="0"/>
            </w:tcBorders>
            <w:noWrap/>
            <w:vAlign w:val="center"/>
          </w:tcPr>
          <w:p w14:paraId="1474980A">
            <w:pPr>
              <w:keepNext w:val="0"/>
              <w:keepLines w:val="0"/>
              <w:pageBreakBefore w:val="0"/>
              <w:kinsoku/>
              <w:wordWrap/>
              <w:overflowPunct/>
              <w:topLinePunct w:val="0"/>
              <w:autoSpaceDE/>
              <w:autoSpaceDN/>
              <w:bidi w:val="0"/>
              <w:adjustRightInd/>
              <w:snapToGrid w:val="0"/>
              <w:spacing w:line="360" w:lineRule="auto"/>
              <w:jc w:val="center"/>
              <w:rPr>
                <w:rFonts w:hint="eastAsia" w:ascii="宋体" w:hAnsi="宋体" w:eastAsia="宋体" w:cs="宋体"/>
                <w:color w:val="auto"/>
                <w:kern w:val="2"/>
                <w:sz w:val="21"/>
                <w:szCs w:val="21"/>
                <w:highlight w:val="none"/>
                <w:lang w:val="en-US" w:eastAsia="zh-CN" w:bidi="ar-SA"/>
              </w:rPr>
            </w:pPr>
          </w:p>
        </w:tc>
        <w:tc>
          <w:tcPr>
            <w:tcW w:w="1196" w:type="pct"/>
            <w:tcBorders>
              <w:top w:val="single" w:color="000000" w:sz="4" w:space="0"/>
              <w:left w:val="single" w:color="000000" w:sz="4" w:space="0"/>
              <w:bottom w:val="single" w:color="000000" w:sz="4" w:space="0"/>
              <w:right w:val="single" w:color="000000" w:sz="4" w:space="0"/>
            </w:tcBorders>
            <w:noWrap/>
            <w:vAlign w:val="center"/>
          </w:tcPr>
          <w:p w14:paraId="7D08174C">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71</w:t>
            </w:r>
          </w:p>
        </w:tc>
        <w:tc>
          <w:tcPr>
            <w:tcW w:w="788" w:type="pct"/>
            <w:tcBorders>
              <w:top w:val="single" w:color="000000" w:sz="4" w:space="0"/>
              <w:left w:val="single" w:color="000000" w:sz="4" w:space="0"/>
              <w:bottom w:val="single" w:color="000000" w:sz="4" w:space="0"/>
              <w:right w:val="single" w:color="000000" w:sz="4" w:space="0"/>
            </w:tcBorders>
            <w:noWrap/>
            <w:vAlign w:val="center"/>
          </w:tcPr>
          <w:p w14:paraId="2577E430">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81.2%</w:t>
            </w:r>
          </w:p>
        </w:tc>
      </w:tr>
      <w:tr w14:paraId="20F475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375" w:type="pct"/>
            <w:vMerge w:val="continue"/>
            <w:tcBorders>
              <w:left w:val="single" w:color="000000" w:sz="4" w:space="0"/>
              <w:right w:val="single" w:color="000000" w:sz="4" w:space="0"/>
            </w:tcBorders>
            <w:noWrap/>
            <w:vAlign w:val="center"/>
          </w:tcPr>
          <w:p w14:paraId="6AD660AE">
            <w:pPr>
              <w:keepNext w:val="0"/>
              <w:keepLines w:val="0"/>
              <w:pageBreakBefore w:val="0"/>
              <w:kinsoku/>
              <w:wordWrap/>
              <w:overflowPunct/>
              <w:topLinePunct w:val="0"/>
              <w:autoSpaceDE/>
              <w:autoSpaceDN/>
              <w:bidi w:val="0"/>
              <w:adjustRightInd/>
              <w:snapToGrid w:val="0"/>
              <w:spacing w:line="360" w:lineRule="auto"/>
              <w:jc w:val="center"/>
              <w:rPr>
                <w:rFonts w:hint="eastAsia" w:ascii="宋体" w:hAnsi="宋体" w:eastAsia="宋体" w:cs="宋体"/>
                <w:color w:val="auto"/>
                <w:kern w:val="2"/>
                <w:sz w:val="21"/>
                <w:szCs w:val="21"/>
                <w:highlight w:val="none"/>
                <w:lang w:val="en-US" w:eastAsia="zh-CN" w:bidi="ar-SA"/>
              </w:rPr>
            </w:pPr>
          </w:p>
        </w:tc>
        <w:tc>
          <w:tcPr>
            <w:tcW w:w="2639" w:type="pct"/>
            <w:vMerge w:val="continue"/>
            <w:tcBorders>
              <w:left w:val="single" w:color="000000" w:sz="4" w:space="0"/>
              <w:bottom w:val="single" w:color="000000" w:sz="4" w:space="0"/>
              <w:right w:val="single" w:color="000000" w:sz="4" w:space="0"/>
            </w:tcBorders>
            <w:noWrap/>
            <w:vAlign w:val="center"/>
          </w:tcPr>
          <w:p w14:paraId="3357AB56">
            <w:pPr>
              <w:keepNext w:val="0"/>
              <w:keepLines w:val="0"/>
              <w:pageBreakBefore w:val="0"/>
              <w:kinsoku/>
              <w:wordWrap/>
              <w:overflowPunct/>
              <w:topLinePunct w:val="0"/>
              <w:autoSpaceDE/>
              <w:autoSpaceDN/>
              <w:bidi w:val="0"/>
              <w:adjustRightInd/>
              <w:snapToGrid w:val="0"/>
              <w:spacing w:line="360" w:lineRule="auto"/>
              <w:jc w:val="center"/>
              <w:rPr>
                <w:rFonts w:hint="eastAsia" w:ascii="宋体" w:hAnsi="宋体" w:eastAsia="宋体" w:cs="宋体"/>
                <w:color w:val="auto"/>
                <w:kern w:val="2"/>
                <w:sz w:val="21"/>
                <w:szCs w:val="21"/>
                <w:highlight w:val="none"/>
                <w:lang w:val="en-US" w:eastAsia="zh-CN" w:bidi="ar-SA"/>
              </w:rPr>
            </w:pPr>
          </w:p>
        </w:tc>
        <w:tc>
          <w:tcPr>
            <w:tcW w:w="1196" w:type="pct"/>
            <w:tcBorders>
              <w:top w:val="single" w:color="000000" w:sz="4" w:space="0"/>
              <w:left w:val="single" w:color="000000" w:sz="4" w:space="0"/>
              <w:bottom w:val="single" w:color="000000" w:sz="4" w:space="0"/>
              <w:right w:val="single" w:color="000000" w:sz="4" w:space="0"/>
            </w:tcBorders>
            <w:noWrap/>
            <w:vAlign w:val="center"/>
          </w:tcPr>
          <w:p w14:paraId="0F3E205D">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70</w:t>
            </w:r>
          </w:p>
        </w:tc>
        <w:tc>
          <w:tcPr>
            <w:tcW w:w="788" w:type="pct"/>
            <w:tcBorders>
              <w:top w:val="single" w:color="000000" w:sz="4" w:space="0"/>
              <w:left w:val="single" w:color="000000" w:sz="4" w:space="0"/>
              <w:bottom w:val="single" w:color="000000" w:sz="4" w:space="0"/>
              <w:right w:val="single" w:color="000000" w:sz="4" w:space="0"/>
            </w:tcBorders>
            <w:noWrap/>
            <w:vAlign w:val="center"/>
          </w:tcPr>
          <w:p w14:paraId="2AAA16FB">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80%</w:t>
            </w:r>
          </w:p>
        </w:tc>
      </w:tr>
      <w:tr w14:paraId="50F4BF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375" w:type="pct"/>
            <w:vMerge w:val="continue"/>
            <w:tcBorders>
              <w:left w:val="single" w:color="000000" w:sz="4" w:space="0"/>
              <w:right w:val="single" w:color="000000" w:sz="4" w:space="0"/>
            </w:tcBorders>
            <w:noWrap/>
            <w:vAlign w:val="center"/>
          </w:tcPr>
          <w:p w14:paraId="073AC513">
            <w:pPr>
              <w:keepNext w:val="0"/>
              <w:keepLines w:val="0"/>
              <w:pageBreakBefore w:val="0"/>
              <w:kinsoku/>
              <w:wordWrap/>
              <w:overflowPunct/>
              <w:topLinePunct w:val="0"/>
              <w:autoSpaceDE/>
              <w:autoSpaceDN/>
              <w:bidi w:val="0"/>
              <w:adjustRightInd/>
              <w:snapToGrid w:val="0"/>
              <w:spacing w:line="360" w:lineRule="auto"/>
              <w:jc w:val="center"/>
              <w:rPr>
                <w:rFonts w:hint="eastAsia" w:ascii="宋体" w:hAnsi="宋体" w:eastAsia="宋体" w:cs="宋体"/>
                <w:color w:val="auto"/>
                <w:kern w:val="2"/>
                <w:sz w:val="21"/>
                <w:szCs w:val="21"/>
                <w:highlight w:val="none"/>
                <w:lang w:val="en-US" w:eastAsia="zh-CN" w:bidi="ar-SA"/>
              </w:rPr>
            </w:pPr>
          </w:p>
        </w:tc>
        <w:tc>
          <w:tcPr>
            <w:tcW w:w="2639" w:type="pct"/>
            <w:vMerge w:val="restart"/>
            <w:tcBorders>
              <w:left w:val="single" w:color="000000" w:sz="4" w:space="0"/>
              <w:right w:val="single" w:color="000000" w:sz="4" w:space="0"/>
            </w:tcBorders>
            <w:noWrap/>
            <w:vAlign w:val="center"/>
          </w:tcPr>
          <w:p w14:paraId="2F3C6578">
            <w:pPr>
              <w:keepNext w:val="0"/>
              <w:keepLines w:val="0"/>
              <w:pageBreakBefore w:val="0"/>
              <w:kinsoku/>
              <w:wordWrap/>
              <w:overflowPunct/>
              <w:topLinePunct w:val="0"/>
              <w:autoSpaceDE/>
              <w:autoSpaceDN/>
              <w:bidi w:val="0"/>
              <w:adjustRightInd/>
              <w:snapToGrid w:val="0"/>
              <w:spacing w:line="36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第四区间：60≥分数＞70，第三区间正常扣除20%，超出第三区间的每扣1分按1.5%累计扣除；</w:t>
            </w:r>
          </w:p>
          <w:p w14:paraId="05DB8323">
            <w:pPr>
              <w:keepNext w:val="0"/>
              <w:keepLines w:val="0"/>
              <w:pageBreakBefore w:val="0"/>
              <w:kinsoku/>
              <w:wordWrap/>
              <w:overflowPunct/>
              <w:topLinePunct w:val="0"/>
              <w:autoSpaceDE/>
              <w:autoSpaceDN/>
              <w:bidi w:val="0"/>
              <w:adjustRightInd/>
              <w:snapToGrid w:val="0"/>
              <w:spacing w:line="360" w:lineRule="auto"/>
              <w:jc w:val="center"/>
              <w:rPr>
                <w:rFonts w:hint="eastAsia" w:ascii="宋体" w:hAnsi="宋体" w:eastAsia="宋体" w:cs="宋体"/>
                <w:color w:val="auto"/>
                <w:kern w:val="2"/>
                <w:sz w:val="21"/>
                <w:szCs w:val="21"/>
                <w:highlight w:val="none"/>
                <w:lang w:val="en-US" w:eastAsia="zh-CN" w:bidi="ar-SA"/>
              </w:rPr>
            </w:pPr>
          </w:p>
        </w:tc>
        <w:tc>
          <w:tcPr>
            <w:tcW w:w="1196" w:type="pct"/>
            <w:tcBorders>
              <w:top w:val="single" w:color="000000" w:sz="4" w:space="0"/>
              <w:left w:val="single" w:color="000000" w:sz="4" w:space="0"/>
              <w:bottom w:val="single" w:color="000000" w:sz="4" w:space="0"/>
              <w:right w:val="single" w:color="000000" w:sz="4" w:space="0"/>
            </w:tcBorders>
            <w:noWrap/>
            <w:vAlign w:val="center"/>
          </w:tcPr>
          <w:p w14:paraId="4662E459">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69</w:t>
            </w:r>
          </w:p>
        </w:tc>
        <w:tc>
          <w:tcPr>
            <w:tcW w:w="788" w:type="pct"/>
            <w:tcBorders>
              <w:top w:val="single" w:color="000000" w:sz="4" w:space="0"/>
              <w:left w:val="single" w:color="000000" w:sz="4" w:space="0"/>
              <w:bottom w:val="single" w:color="000000" w:sz="4" w:space="0"/>
              <w:right w:val="single" w:color="000000" w:sz="4" w:space="0"/>
            </w:tcBorders>
            <w:noWrap/>
            <w:vAlign w:val="center"/>
          </w:tcPr>
          <w:p w14:paraId="34D6D833">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78.5%</w:t>
            </w:r>
          </w:p>
        </w:tc>
      </w:tr>
      <w:tr w14:paraId="3DF9E9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375" w:type="pct"/>
            <w:vMerge w:val="continue"/>
            <w:tcBorders>
              <w:left w:val="single" w:color="000000" w:sz="4" w:space="0"/>
              <w:right w:val="single" w:color="000000" w:sz="4" w:space="0"/>
            </w:tcBorders>
            <w:noWrap/>
            <w:vAlign w:val="center"/>
          </w:tcPr>
          <w:p w14:paraId="7017BC32">
            <w:pPr>
              <w:keepNext w:val="0"/>
              <w:keepLines w:val="0"/>
              <w:pageBreakBefore w:val="0"/>
              <w:kinsoku/>
              <w:wordWrap/>
              <w:overflowPunct/>
              <w:topLinePunct w:val="0"/>
              <w:autoSpaceDE/>
              <w:autoSpaceDN/>
              <w:bidi w:val="0"/>
              <w:adjustRightInd/>
              <w:snapToGrid w:val="0"/>
              <w:spacing w:line="360" w:lineRule="auto"/>
              <w:jc w:val="center"/>
              <w:rPr>
                <w:rFonts w:hint="eastAsia" w:ascii="宋体" w:hAnsi="宋体" w:eastAsia="宋体" w:cs="宋体"/>
                <w:color w:val="auto"/>
                <w:kern w:val="2"/>
                <w:sz w:val="21"/>
                <w:szCs w:val="21"/>
                <w:highlight w:val="none"/>
                <w:lang w:val="en-US" w:eastAsia="zh-CN" w:bidi="ar-SA"/>
              </w:rPr>
            </w:pPr>
          </w:p>
        </w:tc>
        <w:tc>
          <w:tcPr>
            <w:tcW w:w="2639" w:type="pct"/>
            <w:vMerge w:val="continue"/>
            <w:tcBorders>
              <w:left w:val="single" w:color="000000" w:sz="4" w:space="0"/>
              <w:right w:val="single" w:color="000000" w:sz="4" w:space="0"/>
            </w:tcBorders>
            <w:noWrap/>
            <w:vAlign w:val="center"/>
          </w:tcPr>
          <w:p w14:paraId="203441E0">
            <w:pPr>
              <w:keepNext w:val="0"/>
              <w:keepLines w:val="0"/>
              <w:pageBreakBefore w:val="0"/>
              <w:kinsoku/>
              <w:wordWrap/>
              <w:overflowPunct/>
              <w:topLinePunct w:val="0"/>
              <w:autoSpaceDE/>
              <w:autoSpaceDN/>
              <w:bidi w:val="0"/>
              <w:adjustRightInd/>
              <w:snapToGrid w:val="0"/>
              <w:spacing w:line="360" w:lineRule="auto"/>
              <w:jc w:val="center"/>
              <w:rPr>
                <w:rFonts w:hint="eastAsia" w:ascii="宋体" w:hAnsi="宋体" w:eastAsia="宋体" w:cs="宋体"/>
                <w:color w:val="auto"/>
                <w:kern w:val="2"/>
                <w:sz w:val="21"/>
                <w:szCs w:val="21"/>
                <w:highlight w:val="none"/>
                <w:lang w:val="en-US" w:eastAsia="zh-CN" w:bidi="ar-SA"/>
              </w:rPr>
            </w:pPr>
          </w:p>
        </w:tc>
        <w:tc>
          <w:tcPr>
            <w:tcW w:w="1196" w:type="pct"/>
            <w:tcBorders>
              <w:top w:val="single" w:color="000000" w:sz="4" w:space="0"/>
              <w:left w:val="single" w:color="000000" w:sz="4" w:space="0"/>
              <w:bottom w:val="single" w:color="000000" w:sz="4" w:space="0"/>
              <w:right w:val="single" w:color="000000" w:sz="4" w:space="0"/>
            </w:tcBorders>
            <w:noWrap/>
            <w:vAlign w:val="center"/>
          </w:tcPr>
          <w:p w14:paraId="0699B8DF">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68</w:t>
            </w:r>
          </w:p>
        </w:tc>
        <w:tc>
          <w:tcPr>
            <w:tcW w:w="788" w:type="pct"/>
            <w:tcBorders>
              <w:top w:val="single" w:color="000000" w:sz="4" w:space="0"/>
              <w:left w:val="single" w:color="000000" w:sz="4" w:space="0"/>
              <w:bottom w:val="single" w:color="000000" w:sz="4" w:space="0"/>
              <w:right w:val="single" w:color="000000" w:sz="4" w:space="0"/>
            </w:tcBorders>
            <w:noWrap/>
            <w:vAlign w:val="center"/>
          </w:tcPr>
          <w:p w14:paraId="6346F4C0">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77%</w:t>
            </w:r>
          </w:p>
        </w:tc>
      </w:tr>
      <w:tr w14:paraId="2AD217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375" w:type="pct"/>
            <w:vMerge w:val="continue"/>
            <w:tcBorders>
              <w:left w:val="single" w:color="000000" w:sz="4" w:space="0"/>
              <w:right w:val="single" w:color="000000" w:sz="4" w:space="0"/>
            </w:tcBorders>
            <w:noWrap/>
            <w:vAlign w:val="center"/>
          </w:tcPr>
          <w:p w14:paraId="70F98A5D">
            <w:pPr>
              <w:keepNext w:val="0"/>
              <w:keepLines w:val="0"/>
              <w:pageBreakBefore w:val="0"/>
              <w:kinsoku/>
              <w:wordWrap/>
              <w:overflowPunct/>
              <w:topLinePunct w:val="0"/>
              <w:autoSpaceDE/>
              <w:autoSpaceDN/>
              <w:bidi w:val="0"/>
              <w:adjustRightInd/>
              <w:snapToGrid w:val="0"/>
              <w:spacing w:line="360" w:lineRule="auto"/>
              <w:jc w:val="center"/>
              <w:rPr>
                <w:rFonts w:hint="eastAsia" w:ascii="宋体" w:hAnsi="宋体" w:eastAsia="宋体" w:cs="宋体"/>
                <w:color w:val="auto"/>
                <w:kern w:val="2"/>
                <w:sz w:val="21"/>
                <w:szCs w:val="21"/>
                <w:highlight w:val="none"/>
                <w:lang w:val="en-US" w:eastAsia="zh-CN" w:bidi="ar-SA"/>
              </w:rPr>
            </w:pPr>
          </w:p>
        </w:tc>
        <w:tc>
          <w:tcPr>
            <w:tcW w:w="2639" w:type="pct"/>
            <w:vMerge w:val="continue"/>
            <w:tcBorders>
              <w:left w:val="single" w:color="000000" w:sz="4" w:space="0"/>
              <w:right w:val="single" w:color="000000" w:sz="4" w:space="0"/>
            </w:tcBorders>
            <w:noWrap/>
            <w:vAlign w:val="center"/>
          </w:tcPr>
          <w:p w14:paraId="041EF768">
            <w:pPr>
              <w:keepNext w:val="0"/>
              <w:keepLines w:val="0"/>
              <w:pageBreakBefore w:val="0"/>
              <w:kinsoku/>
              <w:wordWrap/>
              <w:overflowPunct/>
              <w:topLinePunct w:val="0"/>
              <w:autoSpaceDE/>
              <w:autoSpaceDN/>
              <w:bidi w:val="0"/>
              <w:adjustRightInd/>
              <w:snapToGrid w:val="0"/>
              <w:spacing w:line="360" w:lineRule="auto"/>
              <w:jc w:val="center"/>
              <w:rPr>
                <w:rFonts w:hint="eastAsia" w:ascii="宋体" w:hAnsi="宋体" w:eastAsia="宋体" w:cs="宋体"/>
                <w:color w:val="auto"/>
                <w:kern w:val="2"/>
                <w:sz w:val="21"/>
                <w:szCs w:val="21"/>
                <w:highlight w:val="none"/>
                <w:lang w:val="en-US" w:eastAsia="zh-CN" w:bidi="ar-SA"/>
              </w:rPr>
            </w:pPr>
          </w:p>
        </w:tc>
        <w:tc>
          <w:tcPr>
            <w:tcW w:w="1196" w:type="pct"/>
            <w:tcBorders>
              <w:top w:val="single" w:color="000000" w:sz="4" w:space="0"/>
              <w:left w:val="single" w:color="000000" w:sz="4" w:space="0"/>
              <w:bottom w:val="single" w:color="000000" w:sz="4" w:space="0"/>
              <w:right w:val="single" w:color="000000" w:sz="4" w:space="0"/>
            </w:tcBorders>
            <w:noWrap/>
            <w:vAlign w:val="center"/>
          </w:tcPr>
          <w:p w14:paraId="6CD8D210">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67</w:t>
            </w:r>
          </w:p>
        </w:tc>
        <w:tc>
          <w:tcPr>
            <w:tcW w:w="788" w:type="pct"/>
            <w:tcBorders>
              <w:top w:val="single" w:color="000000" w:sz="4" w:space="0"/>
              <w:left w:val="single" w:color="000000" w:sz="4" w:space="0"/>
              <w:bottom w:val="single" w:color="000000" w:sz="4" w:space="0"/>
              <w:right w:val="single" w:color="000000" w:sz="4" w:space="0"/>
            </w:tcBorders>
            <w:noWrap/>
            <w:vAlign w:val="center"/>
          </w:tcPr>
          <w:p w14:paraId="56788169">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75.5%</w:t>
            </w:r>
          </w:p>
        </w:tc>
      </w:tr>
      <w:tr w14:paraId="3D666B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375" w:type="pct"/>
            <w:vMerge w:val="continue"/>
            <w:tcBorders>
              <w:left w:val="single" w:color="000000" w:sz="4" w:space="0"/>
              <w:right w:val="single" w:color="000000" w:sz="4" w:space="0"/>
            </w:tcBorders>
            <w:noWrap/>
            <w:vAlign w:val="center"/>
          </w:tcPr>
          <w:p w14:paraId="3F1BB981">
            <w:pPr>
              <w:keepNext w:val="0"/>
              <w:keepLines w:val="0"/>
              <w:pageBreakBefore w:val="0"/>
              <w:kinsoku/>
              <w:wordWrap/>
              <w:overflowPunct/>
              <w:topLinePunct w:val="0"/>
              <w:autoSpaceDE/>
              <w:autoSpaceDN/>
              <w:bidi w:val="0"/>
              <w:adjustRightInd/>
              <w:snapToGrid w:val="0"/>
              <w:spacing w:line="360" w:lineRule="auto"/>
              <w:jc w:val="center"/>
              <w:rPr>
                <w:rFonts w:hint="eastAsia" w:ascii="宋体" w:hAnsi="宋体" w:eastAsia="宋体" w:cs="宋体"/>
                <w:color w:val="auto"/>
                <w:kern w:val="2"/>
                <w:sz w:val="21"/>
                <w:szCs w:val="21"/>
                <w:highlight w:val="none"/>
                <w:lang w:val="en-US" w:eastAsia="zh-CN" w:bidi="ar-SA"/>
              </w:rPr>
            </w:pPr>
          </w:p>
        </w:tc>
        <w:tc>
          <w:tcPr>
            <w:tcW w:w="2639" w:type="pct"/>
            <w:vMerge w:val="continue"/>
            <w:tcBorders>
              <w:left w:val="single" w:color="000000" w:sz="4" w:space="0"/>
              <w:right w:val="single" w:color="000000" w:sz="4" w:space="0"/>
            </w:tcBorders>
            <w:noWrap/>
            <w:vAlign w:val="center"/>
          </w:tcPr>
          <w:p w14:paraId="6D78A5CE">
            <w:pPr>
              <w:keepNext w:val="0"/>
              <w:keepLines w:val="0"/>
              <w:pageBreakBefore w:val="0"/>
              <w:kinsoku/>
              <w:wordWrap/>
              <w:overflowPunct/>
              <w:topLinePunct w:val="0"/>
              <w:autoSpaceDE/>
              <w:autoSpaceDN/>
              <w:bidi w:val="0"/>
              <w:adjustRightInd/>
              <w:snapToGrid w:val="0"/>
              <w:spacing w:line="360" w:lineRule="auto"/>
              <w:jc w:val="center"/>
              <w:rPr>
                <w:rFonts w:hint="eastAsia" w:ascii="宋体" w:hAnsi="宋体" w:eastAsia="宋体" w:cs="宋体"/>
                <w:color w:val="auto"/>
                <w:kern w:val="2"/>
                <w:sz w:val="21"/>
                <w:szCs w:val="21"/>
                <w:highlight w:val="none"/>
                <w:lang w:val="en-US" w:eastAsia="zh-CN" w:bidi="ar-SA"/>
              </w:rPr>
            </w:pPr>
          </w:p>
        </w:tc>
        <w:tc>
          <w:tcPr>
            <w:tcW w:w="1196" w:type="pct"/>
            <w:tcBorders>
              <w:top w:val="single" w:color="000000" w:sz="4" w:space="0"/>
              <w:left w:val="single" w:color="000000" w:sz="4" w:space="0"/>
              <w:bottom w:val="single" w:color="000000" w:sz="4" w:space="0"/>
              <w:right w:val="single" w:color="000000" w:sz="4" w:space="0"/>
            </w:tcBorders>
            <w:noWrap/>
            <w:vAlign w:val="center"/>
          </w:tcPr>
          <w:p w14:paraId="6A974F99">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66</w:t>
            </w:r>
          </w:p>
        </w:tc>
        <w:tc>
          <w:tcPr>
            <w:tcW w:w="788" w:type="pct"/>
            <w:tcBorders>
              <w:top w:val="single" w:color="000000" w:sz="4" w:space="0"/>
              <w:left w:val="single" w:color="000000" w:sz="4" w:space="0"/>
              <w:bottom w:val="single" w:color="000000" w:sz="4" w:space="0"/>
              <w:right w:val="single" w:color="000000" w:sz="4" w:space="0"/>
            </w:tcBorders>
            <w:noWrap/>
            <w:vAlign w:val="center"/>
          </w:tcPr>
          <w:p w14:paraId="6E382BBF">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74%</w:t>
            </w:r>
          </w:p>
        </w:tc>
      </w:tr>
      <w:tr w14:paraId="081FD1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375" w:type="pct"/>
            <w:vMerge w:val="continue"/>
            <w:tcBorders>
              <w:left w:val="single" w:color="000000" w:sz="4" w:space="0"/>
              <w:right w:val="single" w:color="000000" w:sz="4" w:space="0"/>
            </w:tcBorders>
            <w:noWrap/>
            <w:vAlign w:val="center"/>
          </w:tcPr>
          <w:p w14:paraId="5A03F983">
            <w:pPr>
              <w:keepNext w:val="0"/>
              <w:keepLines w:val="0"/>
              <w:pageBreakBefore w:val="0"/>
              <w:kinsoku/>
              <w:wordWrap/>
              <w:overflowPunct/>
              <w:topLinePunct w:val="0"/>
              <w:autoSpaceDE/>
              <w:autoSpaceDN/>
              <w:bidi w:val="0"/>
              <w:adjustRightInd/>
              <w:snapToGrid w:val="0"/>
              <w:spacing w:line="360" w:lineRule="auto"/>
              <w:jc w:val="center"/>
              <w:rPr>
                <w:rFonts w:hint="eastAsia" w:ascii="宋体" w:hAnsi="宋体" w:eastAsia="宋体" w:cs="宋体"/>
                <w:color w:val="auto"/>
                <w:kern w:val="2"/>
                <w:sz w:val="21"/>
                <w:szCs w:val="21"/>
                <w:highlight w:val="none"/>
                <w:lang w:val="en-US" w:eastAsia="zh-CN" w:bidi="ar-SA"/>
              </w:rPr>
            </w:pPr>
          </w:p>
        </w:tc>
        <w:tc>
          <w:tcPr>
            <w:tcW w:w="2639" w:type="pct"/>
            <w:vMerge w:val="continue"/>
            <w:tcBorders>
              <w:left w:val="single" w:color="000000" w:sz="4" w:space="0"/>
              <w:right w:val="single" w:color="000000" w:sz="4" w:space="0"/>
            </w:tcBorders>
            <w:noWrap/>
            <w:vAlign w:val="center"/>
          </w:tcPr>
          <w:p w14:paraId="7EC41FF8">
            <w:pPr>
              <w:keepNext w:val="0"/>
              <w:keepLines w:val="0"/>
              <w:pageBreakBefore w:val="0"/>
              <w:kinsoku/>
              <w:wordWrap/>
              <w:overflowPunct/>
              <w:topLinePunct w:val="0"/>
              <w:autoSpaceDE/>
              <w:autoSpaceDN/>
              <w:bidi w:val="0"/>
              <w:adjustRightInd/>
              <w:snapToGrid w:val="0"/>
              <w:spacing w:line="360" w:lineRule="auto"/>
              <w:jc w:val="center"/>
              <w:rPr>
                <w:rFonts w:hint="eastAsia" w:ascii="宋体" w:hAnsi="宋体" w:eastAsia="宋体" w:cs="宋体"/>
                <w:color w:val="auto"/>
                <w:kern w:val="2"/>
                <w:sz w:val="21"/>
                <w:szCs w:val="21"/>
                <w:highlight w:val="none"/>
                <w:lang w:val="en-US" w:eastAsia="zh-CN" w:bidi="ar-SA"/>
              </w:rPr>
            </w:pPr>
          </w:p>
        </w:tc>
        <w:tc>
          <w:tcPr>
            <w:tcW w:w="1196" w:type="pct"/>
            <w:tcBorders>
              <w:top w:val="single" w:color="000000" w:sz="4" w:space="0"/>
              <w:left w:val="single" w:color="000000" w:sz="4" w:space="0"/>
              <w:bottom w:val="single" w:color="000000" w:sz="4" w:space="0"/>
              <w:right w:val="single" w:color="000000" w:sz="4" w:space="0"/>
            </w:tcBorders>
            <w:noWrap/>
            <w:vAlign w:val="center"/>
          </w:tcPr>
          <w:p w14:paraId="2C4AFF9B">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65</w:t>
            </w:r>
          </w:p>
        </w:tc>
        <w:tc>
          <w:tcPr>
            <w:tcW w:w="788" w:type="pct"/>
            <w:tcBorders>
              <w:top w:val="single" w:color="000000" w:sz="4" w:space="0"/>
              <w:left w:val="single" w:color="000000" w:sz="4" w:space="0"/>
              <w:bottom w:val="single" w:color="000000" w:sz="4" w:space="0"/>
              <w:right w:val="single" w:color="000000" w:sz="4" w:space="0"/>
            </w:tcBorders>
            <w:noWrap/>
            <w:vAlign w:val="center"/>
          </w:tcPr>
          <w:p w14:paraId="6E40311D">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72.5%</w:t>
            </w:r>
          </w:p>
        </w:tc>
      </w:tr>
      <w:tr w14:paraId="3014A9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375" w:type="pct"/>
            <w:vMerge w:val="continue"/>
            <w:tcBorders>
              <w:left w:val="single" w:color="000000" w:sz="4" w:space="0"/>
              <w:right w:val="single" w:color="000000" w:sz="4" w:space="0"/>
            </w:tcBorders>
            <w:noWrap/>
            <w:vAlign w:val="center"/>
          </w:tcPr>
          <w:p w14:paraId="2EE1071E">
            <w:pPr>
              <w:keepNext w:val="0"/>
              <w:keepLines w:val="0"/>
              <w:pageBreakBefore w:val="0"/>
              <w:kinsoku/>
              <w:wordWrap/>
              <w:overflowPunct/>
              <w:topLinePunct w:val="0"/>
              <w:autoSpaceDE/>
              <w:autoSpaceDN/>
              <w:bidi w:val="0"/>
              <w:adjustRightInd/>
              <w:snapToGrid w:val="0"/>
              <w:spacing w:line="360" w:lineRule="auto"/>
              <w:jc w:val="center"/>
              <w:rPr>
                <w:rFonts w:hint="eastAsia" w:ascii="宋体" w:hAnsi="宋体" w:eastAsia="宋体" w:cs="宋体"/>
                <w:color w:val="auto"/>
                <w:kern w:val="2"/>
                <w:sz w:val="21"/>
                <w:szCs w:val="21"/>
                <w:highlight w:val="none"/>
                <w:lang w:val="en-US" w:eastAsia="zh-CN" w:bidi="ar-SA"/>
              </w:rPr>
            </w:pPr>
          </w:p>
        </w:tc>
        <w:tc>
          <w:tcPr>
            <w:tcW w:w="2639" w:type="pct"/>
            <w:vMerge w:val="continue"/>
            <w:tcBorders>
              <w:left w:val="single" w:color="000000" w:sz="4" w:space="0"/>
              <w:right w:val="single" w:color="000000" w:sz="4" w:space="0"/>
            </w:tcBorders>
            <w:noWrap/>
            <w:vAlign w:val="center"/>
          </w:tcPr>
          <w:p w14:paraId="4BEF49BA">
            <w:pPr>
              <w:keepNext w:val="0"/>
              <w:keepLines w:val="0"/>
              <w:pageBreakBefore w:val="0"/>
              <w:kinsoku/>
              <w:wordWrap/>
              <w:overflowPunct/>
              <w:topLinePunct w:val="0"/>
              <w:autoSpaceDE/>
              <w:autoSpaceDN/>
              <w:bidi w:val="0"/>
              <w:adjustRightInd/>
              <w:snapToGrid w:val="0"/>
              <w:spacing w:line="360" w:lineRule="auto"/>
              <w:jc w:val="center"/>
              <w:rPr>
                <w:rFonts w:hint="eastAsia" w:ascii="宋体" w:hAnsi="宋体" w:eastAsia="宋体" w:cs="宋体"/>
                <w:color w:val="auto"/>
                <w:kern w:val="2"/>
                <w:sz w:val="21"/>
                <w:szCs w:val="21"/>
                <w:highlight w:val="none"/>
                <w:lang w:val="en-US" w:eastAsia="zh-CN" w:bidi="ar-SA"/>
              </w:rPr>
            </w:pPr>
          </w:p>
        </w:tc>
        <w:tc>
          <w:tcPr>
            <w:tcW w:w="1196" w:type="pct"/>
            <w:tcBorders>
              <w:top w:val="single" w:color="000000" w:sz="4" w:space="0"/>
              <w:left w:val="single" w:color="000000" w:sz="4" w:space="0"/>
              <w:bottom w:val="single" w:color="000000" w:sz="4" w:space="0"/>
              <w:right w:val="single" w:color="000000" w:sz="4" w:space="0"/>
            </w:tcBorders>
            <w:noWrap/>
            <w:vAlign w:val="center"/>
          </w:tcPr>
          <w:p w14:paraId="09371910">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64</w:t>
            </w:r>
          </w:p>
        </w:tc>
        <w:tc>
          <w:tcPr>
            <w:tcW w:w="788" w:type="pct"/>
            <w:tcBorders>
              <w:top w:val="single" w:color="000000" w:sz="4" w:space="0"/>
              <w:left w:val="single" w:color="000000" w:sz="4" w:space="0"/>
              <w:bottom w:val="single" w:color="000000" w:sz="4" w:space="0"/>
              <w:right w:val="single" w:color="000000" w:sz="4" w:space="0"/>
            </w:tcBorders>
            <w:noWrap/>
            <w:vAlign w:val="center"/>
          </w:tcPr>
          <w:p w14:paraId="757B9FB2">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71%</w:t>
            </w:r>
          </w:p>
        </w:tc>
      </w:tr>
      <w:tr w14:paraId="76DD87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375" w:type="pct"/>
            <w:vMerge w:val="continue"/>
            <w:tcBorders>
              <w:left w:val="single" w:color="000000" w:sz="4" w:space="0"/>
              <w:right w:val="single" w:color="000000" w:sz="4" w:space="0"/>
            </w:tcBorders>
            <w:noWrap/>
            <w:vAlign w:val="center"/>
          </w:tcPr>
          <w:p w14:paraId="33BC5768">
            <w:pPr>
              <w:keepNext w:val="0"/>
              <w:keepLines w:val="0"/>
              <w:pageBreakBefore w:val="0"/>
              <w:kinsoku/>
              <w:wordWrap/>
              <w:overflowPunct/>
              <w:topLinePunct w:val="0"/>
              <w:autoSpaceDE/>
              <w:autoSpaceDN/>
              <w:bidi w:val="0"/>
              <w:adjustRightInd/>
              <w:snapToGrid w:val="0"/>
              <w:spacing w:line="360" w:lineRule="auto"/>
              <w:jc w:val="center"/>
              <w:rPr>
                <w:rFonts w:hint="eastAsia" w:ascii="宋体" w:hAnsi="宋体" w:eastAsia="宋体" w:cs="宋体"/>
                <w:color w:val="auto"/>
                <w:kern w:val="2"/>
                <w:sz w:val="21"/>
                <w:szCs w:val="21"/>
                <w:highlight w:val="none"/>
                <w:lang w:val="en-US" w:eastAsia="zh-CN" w:bidi="ar-SA"/>
              </w:rPr>
            </w:pPr>
          </w:p>
        </w:tc>
        <w:tc>
          <w:tcPr>
            <w:tcW w:w="2639" w:type="pct"/>
            <w:vMerge w:val="continue"/>
            <w:tcBorders>
              <w:left w:val="single" w:color="000000" w:sz="4" w:space="0"/>
              <w:right w:val="single" w:color="000000" w:sz="4" w:space="0"/>
            </w:tcBorders>
            <w:noWrap/>
            <w:vAlign w:val="center"/>
          </w:tcPr>
          <w:p w14:paraId="0005EB02">
            <w:pPr>
              <w:keepNext w:val="0"/>
              <w:keepLines w:val="0"/>
              <w:pageBreakBefore w:val="0"/>
              <w:kinsoku/>
              <w:wordWrap/>
              <w:overflowPunct/>
              <w:topLinePunct w:val="0"/>
              <w:autoSpaceDE/>
              <w:autoSpaceDN/>
              <w:bidi w:val="0"/>
              <w:adjustRightInd/>
              <w:snapToGrid w:val="0"/>
              <w:spacing w:line="360" w:lineRule="auto"/>
              <w:jc w:val="center"/>
              <w:rPr>
                <w:rFonts w:hint="eastAsia" w:ascii="宋体" w:hAnsi="宋体" w:eastAsia="宋体" w:cs="宋体"/>
                <w:color w:val="auto"/>
                <w:kern w:val="2"/>
                <w:sz w:val="21"/>
                <w:szCs w:val="21"/>
                <w:highlight w:val="none"/>
                <w:lang w:val="en-US" w:eastAsia="zh-CN" w:bidi="ar-SA"/>
              </w:rPr>
            </w:pPr>
          </w:p>
        </w:tc>
        <w:tc>
          <w:tcPr>
            <w:tcW w:w="1196" w:type="pct"/>
            <w:tcBorders>
              <w:top w:val="single" w:color="000000" w:sz="4" w:space="0"/>
              <w:left w:val="single" w:color="000000" w:sz="4" w:space="0"/>
              <w:bottom w:val="single" w:color="000000" w:sz="4" w:space="0"/>
              <w:right w:val="single" w:color="000000" w:sz="4" w:space="0"/>
            </w:tcBorders>
            <w:noWrap/>
            <w:vAlign w:val="center"/>
          </w:tcPr>
          <w:p w14:paraId="7C430185">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63</w:t>
            </w:r>
          </w:p>
        </w:tc>
        <w:tc>
          <w:tcPr>
            <w:tcW w:w="788" w:type="pct"/>
            <w:tcBorders>
              <w:top w:val="single" w:color="000000" w:sz="4" w:space="0"/>
              <w:left w:val="single" w:color="000000" w:sz="4" w:space="0"/>
              <w:bottom w:val="single" w:color="000000" w:sz="4" w:space="0"/>
              <w:right w:val="single" w:color="000000" w:sz="4" w:space="0"/>
            </w:tcBorders>
            <w:noWrap/>
            <w:vAlign w:val="center"/>
          </w:tcPr>
          <w:p w14:paraId="6FD9A26C">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69.5%</w:t>
            </w:r>
          </w:p>
        </w:tc>
      </w:tr>
      <w:tr w14:paraId="0B0FC8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375" w:type="pct"/>
            <w:vMerge w:val="continue"/>
            <w:tcBorders>
              <w:left w:val="single" w:color="000000" w:sz="4" w:space="0"/>
              <w:right w:val="single" w:color="000000" w:sz="4" w:space="0"/>
            </w:tcBorders>
            <w:noWrap/>
            <w:vAlign w:val="center"/>
          </w:tcPr>
          <w:p w14:paraId="24D48912">
            <w:pPr>
              <w:keepNext w:val="0"/>
              <w:keepLines w:val="0"/>
              <w:pageBreakBefore w:val="0"/>
              <w:kinsoku/>
              <w:wordWrap/>
              <w:overflowPunct/>
              <w:topLinePunct w:val="0"/>
              <w:autoSpaceDE/>
              <w:autoSpaceDN/>
              <w:bidi w:val="0"/>
              <w:adjustRightInd/>
              <w:snapToGrid w:val="0"/>
              <w:spacing w:line="360" w:lineRule="auto"/>
              <w:jc w:val="center"/>
              <w:rPr>
                <w:rFonts w:hint="eastAsia" w:ascii="宋体" w:hAnsi="宋体" w:eastAsia="宋体" w:cs="宋体"/>
                <w:color w:val="auto"/>
                <w:kern w:val="2"/>
                <w:sz w:val="21"/>
                <w:szCs w:val="21"/>
                <w:highlight w:val="none"/>
                <w:lang w:val="en-US" w:eastAsia="zh-CN" w:bidi="ar-SA"/>
              </w:rPr>
            </w:pPr>
          </w:p>
        </w:tc>
        <w:tc>
          <w:tcPr>
            <w:tcW w:w="2639" w:type="pct"/>
            <w:vMerge w:val="continue"/>
            <w:tcBorders>
              <w:left w:val="single" w:color="000000" w:sz="4" w:space="0"/>
              <w:right w:val="single" w:color="000000" w:sz="4" w:space="0"/>
            </w:tcBorders>
            <w:noWrap/>
            <w:vAlign w:val="center"/>
          </w:tcPr>
          <w:p w14:paraId="6B66A162">
            <w:pPr>
              <w:keepNext w:val="0"/>
              <w:keepLines w:val="0"/>
              <w:pageBreakBefore w:val="0"/>
              <w:kinsoku/>
              <w:wordWrap/>
              <w:overflowPunct/>
              <w:topLinePunct w:val="0"/>
              <w:autoSpaceDE/>
              <w:autoSpaceDN/>
              <w:bidi w:val="0"/>
              <w:adjustRightInd/>
              <w:snapToGrid w:val="0"/>
              <w:spacing w:line="360" w:lineRule="auto"/>
              <w:jc w:val="center"/>
              <w:rPr>
                <w:rFonts w:hint="eastAsia" w:ascii="宋体" w:hAnsi="宋体" w:eastAsia="宋体" w:cs="宋体"/>
                <w:color w:val="auto"/>
                <w:kern w:val="2"/>
                <w:sz w:val="21"/>
                <w:szCs w:val="21"/>
                <w:highlight w:val="none"/>
                <w:lang w:val="en-US" w:eastAsia="zh-CN" w:bidi="ar-SA"/>
              </w:rPr>
            </w:pPr>
          </w:p>
        </w:tc>
        <w:tc>
          <w:tcPr>
            <w:tcW w:w="1196" w:type="pct"/>
            <w:tcBorders>
              <w:top w:val="single" w:color="000000" w:sz="4" w:space="0"/>
              <w:left w:val="single" w:color="000000" w:sz="4" w:space="0"/>
              <w:bottom w:val="single" w:color="000000" w:sz="4" w:space="0"/>
              <w:right w:val="single" w:color="000000" w:sz="4" w:space="0"/>
            </w:tcBorders>
            <w:noWrap/>
            <w:vAlign w:val="center"/>
          </w:tcPr>
          <w:p w14:paraId="30D4C3EF">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62</w:t>
            </w:r>
          </w:p>
        </w:tc>
        <w:tc>
          <w:tcPr>
            <w:tcW w:w="788" w:type="pct"/>
            <w:tcBorders>
              <w:top w:val="single" w:color="000000" w:sz="4" w:space="0"/>
              <w:left w:val="single" w:color="000000" w:sz="4" w:space="0"/>
              <w:bottom w:val="single" w:color="000000" w:sz="4" w:space="0"/>
              <w:right w:val="single" w:color="000000" w:sz="4" w:space="0"/>
            </w:tcBorders>
            <w:noWrap/>
            <w:vAlign w:val="center"/>
          </w:tcPr>
          <w:p w14:paraId="5121A317">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68%</w:t>
            </w:r>
          </w:p>
        </w:tc>
      </w:tr>
      <w:tr w14:paraId="5CA335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375" w:type="pct"/>
            <w:vMerge w:val="continue"/>
            <w:tcBorders>
              <w:left w:val="single" w:color="000000" w:sz="4" w:space="0"/>
              <w:right w:val="single" w:color="000000" w:sz="4" w:space="0"/>
            </w:tcBorders>
            <w:noWrap/>
            <w:vAlign w:val="center"/>
          </w:tcPr>
          <w:p w14:paraId="7417317E">
            <w:pPr>
              <w:keepNext w:val="0"/>
              <w:keepLines w:val="0"/>
              <w:pageBreakBefore w:val="0"/>
              <w:kinsoku/>
              <w:wordWrap/>
              <w:overflowPunct/>
              <w:topLinePunct w:val="0"/>
              <w:autoSpaceDE/>
              <w:autoSpaceDN/>
              <w:bidi w:val="0"/>
              <w:adjustRightInd/>
              <w:snapToGrid w:val="0"/>
              <w:spacing w:line="360" w:lineRule="auto"/>
              <w:jc w:val="center"/>
              <w:rPr>
                <w:rFonts w:hint="eastAsia" w:ascii="宋体" w:hAnsi="宋体" w:eastAsia="宋体" w:cs="宋体"/>
                <w:color w:val="auto"/>
                <w:kern w:val="2"/>
                <w:sz w:val="21"/>
                <w:szCs w:val="21"/>
                <w:highlight w:val="none"/>
                <w:lang w:val="en-US" w:eastAsia="zh-CN" w:bidi="ar-SA"/>
              </w:rPr>
            </w:pPr>
          </w:p>
        </w:tc>
        <w:tc>
          <w:tcPr>
            <w:tcW w:w="2639" w:type="pct"/>
            <w:vMerge w:val="continue"/>
            <w:tcBorders>
              <w:left w:val="single" w:color="000000" w:sz="4" w:space="0"/>
              <w:right w:val="single" w:color="000000" w:sz="4" w:space="0"/>
            </w:tcBorders>
            <w:noWrap/>
            <w:vAlign w:val="center"/>
          </w:tcPr>
          <w:p w14:paraId="2F4F4EF9">
            <w:pPr>
              <w:keepNext w:val="0"/>
              <w:keepLines w:val="0"/>
              <w:pageBreakBefore w:val="0"/>
              <w:kinsoku/>
              <w:wordWrap/>
              <w:overflowPunct/>
              <w:topLinePunct w:val="0"/>
              <w:autoSpaceDE/>
              <w:autoSpaceDN/>
              <w:bidi w:val="0"/>
              <w:adjustRightInd/>
              <w:snapToGrid w:val="0"/>
              <w:spacing w:line="360" w:lineRule="auto"/>
              <w:jc w:val="center"/>
              <w:rPr>
                <w:rFonts w:hint="eastAsia" w:ascii="宋体" w:hAnsi="宋体" w:eastAsia="宋体" w:cs="宋体"/>
                <w:color w:val="auto"/>
                <w:kern w:val="2"/>
                <w:sz w:val="21"/>
                <w:szCs w:val="21"/>
                <w:highlight w:val="none"/>
                <w:lang w:val="en-US" w:eastAsia="zh-CN" w:bidi="ar-SA"/>
              </w:rPr>
            </w:pPr>
          </w:p>
        </w:tc>
        <w:tc>
          <w:tcPr>
            <w:tcW w:w="1196" w:type="pct"/>
            <w:tcBorders>
              <w:top w:val="single" w:color="000000" w:sz="4" w:space="0"/>
              <w:left w:val="single" w:color="000000" w:sz="4" w:space="0"/>
              <w:bottom w:val="single" w:color="000000" w:sz="4" w:space="0"/>
              <w:right w:val="single" w:color="000000" w:sz="4" w:space="0"/>
            </w:tcBorders>
            <w:noWrap/>
            <w:vAlign w:val="center"/>
          </w:tcPr>
          <w:p w14:paraId="6AE49B5F">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61</w:t>
            </w:r>
          </w:p>
        </w:tc>
        <w:tc>
          <w:tcPr>
            <w:tcW w:w="788" w:type="pct"/>
            <w:tcBorders>
              <w:top w:val="single" w:color="000000" w:sz="4" w:space="0"/>
              <w:left w:val="single" w:color="000000" w:sz="4" w:space="0"/>
              <w:bottom w:val="single" w:color="000000" w:sz="4" w:space="0"/>
              <w:right w:val="single" w:color="000000" w:sz="4" w:space="0"/>
            </w:tcBorders>
            <w:noWrap/>
            <w:vAlign w:val="center"/>
          </w:tcPr>
          <w:p w14:paraId="1EA473AF">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66.5%</w:t>
            </w:r>
          </w:p>
        </w:tc>
      </w:tr>
      <w:tr w14:paraId="17B7B4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375" w:type="pct"/>
            <w:vMerge w:val="continue"/>
            <w:tcBorders>
              <w:left w:val="single" w:color="000000" w:sz="4" w:space="0"/>
              <w:bottom w:val="single" w:color="000000" w:sz="4" w:space="0"/>
              <w:right w:val="single" w:color="000000" w:sz="4" w:space="0"/>
            </w:tcBorders>
            <w:noWrap/>
            <w:vAlign w:val="center"/>
          </w:tcPr>
          <w:p w14:paraId="72DE90B3">
            <w:pPr>
              <w:keepNext w:val="0"/>
              <w:keepLines w:val="0"/>
              <w:pageBreakBefore w:val="0"/>
              <w:kinsoku/>
              <w:wordWrap/>
              <w:overflowPunct/>
              <w:topLinePunct w:val="0"/>
              <w:autoSpaceDE/>
              <w:autoSpaceDN/>
              <w:bidi w:val="0"/>
              <w:adjustRightInd/>
              <w:snapToGrid w:val="0"/>
              <w:spacing w:line="360" w:lineRule="auto"/>
              <w:jc w:val="center"/>
              <w:rPr>
                <w:rFonts w:hint="eastAsia" w:ascii="宋体" w:hAnsi="宋体" w:eastAsia="宋体" w:cs="宋体"/>
                <w:color w:val="auto"/>
                <w:kern w:val="2"/>
                <w:sz w:val="21"/>
                <w:szCs w:val="21"/>
                <w:highlight w:val="none"/>
                <w:lang w:val="en-US" w:eastAsia="zh-CN" w:bidi="ar-SA"/>
              </w:rPr>
            </w:pPr>
          </w:p>
        </w:tc>
        <w:tc>
          <w:tcPr>
            <w:tcW w:w="2639" w:type="pct"/>
            <w:vMerge w:val="continue"/>
            <w:tcBorders>
              <w:left w:val="single" w:color="000000" w:sz="4" w:space="0"/>
              <w:bottom w:val="single" w:color="000000" w:sz="4" w:space="0"/>
              <w:right w:val="single" w:color="000000" w:sz="4" w:space="0"/>
            </w:tcBorders>
            <w:noWrap/>
            <w:vAlign w:val="center"/>
          </w:tcPr>
          <w:p w14:paraId="5E5E250B">
            <w:pPr>
              <w:keepNext w:val="0"/>
              <w:keepLines w:val="0"/>
              <w:pageBreakBefore w:val="0"/>
              <w:kinsoku/>
              <w:wordWrap/>
              <w:overflowPunct/>
              <w:topLinePunct w:val="0"/>
              <w:autoSpaceDE/>
              <w:autoSpaceDN/>
              <w:bidi w:val="0"/>
              <w:adjustRightInd/>
              <w:snapToGrid w:val="0"/>
              <w:spacing w:line="360" w:lineRule="auto"/>
              <w:jc w:val="center"/>
              <w:rPr>
                <w:rFonts w:hint="eastAsia" w:ascii="宋体" w:hAnsi="宋体" w:eastAsia="宋体" w:cs="宋体"/>
                <w:color w:val="auto"/>
                <w:kern w:val="2"/>
                <w:sz w:val="21"/>
                <w:szCs w:val="21"/>
                <w:highlight w:val="none"/>
                <w:lang w:val="en-US" w:eastAsia="zh-CN" w:bidi="ar-SA"/>
              </w:rPr>
            </w:pPr>
          </w:p>
        </w:tc>
        <w:tc>
          <w:tcPr>
            <w:tcW w:w="1196" w:type="pct"/>
            <w:tcBorders>
              <w:top w:val="single" w:color="000000" w:sz="4" w:space="0"/>
              <w:left w:val="single" w:color="000000" w:sz="4" w:space="0"/>
              <w:bottom w:val="single" w:color="000000" w:sz="4" w:space="0"/>
              <w:right w:val="single" w:color="000000" w:sz="4" w:space="0"/>
            </w:tcBorders>
            <w:noWrap/>
            <w:vAlign w:val="center"/>
          </w:tcPr>
          <w:p w14:paraId="7452142E">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60</w:t>
            </w:r>
          </w:p>
        </w:tc>
        <w:tc>
          <w:tcPr>
            <w:tcW w:w="788" w:type="pct"/>
            <w:tcBorders>
              <w:top w:val="single" w:color="000000" w:sz="4" w:space="0"/>
              <w:left w:val="single" w:color="000000" w:sz="4" w:space="0"/>
              <w:bottom w:val="single" w:color="000000" w:sz="4" w:space="0"/>
              <w:right w:val="single" w:color="000000" w:sz="4" w:space="0"/>
            </w:tcBorders>
            <w:noWrap/>
            <w:vAlign w:val="center"/>
          </w:tcPr>
          <w:p w14:paraId="69B4B4B1">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65%</w:t>
            </w:r>
          </w:p>
        </w:tc>
      </w:tr>
      <w:tr w14:paraId="67B0A8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375" w:type="pct"/>
            <w:tcBorders>
              <w:top w:val="single" w:color="000000" w:sz="4" w:space="0"/>
              <w:left w:val="single" w:color="000000" w:sz="4" w:space="0"/>
              <w:bottom w:val="single" w:color="000000" w:sz="4" w:space="0"/>
              <w:right w:val="single" w:color="000000" w:sz="4" w:space="0"/>
            </w:tcBorders>
            <w:noWrap/>
            <w:vAlign w:val="center"/>
          </w:tcPr>
          <w:p w14:paraId="66732CAA">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差</w:t>
            </w:r>
          </w:p>
        </w:tc>
        <w:tc>
          <w:tcPr>
            <w:tcW w:w="2639" w:type="pct"/>
            <w:tcBorders>
              <w:top w:val="single" w:color="000000" w:sz="4" w:space="0"/>
              <w:left w:val="single" w:color="000000" w:sz="4" w:space="0"/>
              <w:bottom w:val="single" w:color="000000" w:sz="4" w:space="0"/>
              <w:right w:val="single" w:color="000000" w:sz="4" w:space="0"/>
            </w:tcBorders>
            <w:noWrap/>
            <w:vAlign w:val="center"/>
          </w:tcPr>
          <w:p w14:paraId="0CFB7DCC">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第五区间：0≤分数＜60</w:t>
            </w:r>
          </w:p>
        </w:tc>
        <w:tc>
          <w:tcPr>
            <w:tcW w:w="1196" w:type="pct"/>
            <w:tcBorders>
              <w:top w:val="single" w:color="000000" w:sz="4" w:space="0"/>
              <w:left w:val="single" w:color="000000" w:sz="4" w:space="0"/>
              <w:bottom w:val="single" w:color="000000" w:sz="4" w:space="0"/>
              <w:right w:val="single" w:color="000000" w:sz="4" w:space="0"/>
            </w:tcBorders>
            <w:noWrap/>
            <w:vAlign w:val="center"/>
          </w:tcPr>
          <w:p w14:paraId="5299845B">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0（含）~60（含）</w:t>
            </w:r>
          </w:p>
        </w:tc>
        <w:tc>
          <w:tcPr>
            <w:tcW w:w="788" w:type="pct"/>
            <w:tcBorders>
              <w:top w:val="single" w:color="000000" w:sz="4" w:space="0"/>
              <w:left w:val="single" w:color="000000" w:sz="4" w:space="0"/>
              <w:bottom w:val="single" w:color="000000" w:sz="4" w:space="0"/>
              <w:right w:val="single" w:color="000000" w:sz="4" w:space="0"/>
            </w:tcBorders>
            <w:noWrap/>
            <w:vAlign w:val="center"/>
          </w:tcPr>
          <w:p w14:paraId="6468D98C">
            <w:pPr>
              <w:keepNext w:val="0"/>
              <w:keepLines w:val="0"/>
              <w:pageBreakBefore w:val="0"/>
              <w:widowControl/>
              <w:suppressLineNumbers w:val="0"/>
              <w:kinsoku/>
              <w:wordWrap/>
              <w:overflowPunct/>
              <w:topLinePunct w:val="0"/>
              <w:autoSpaceDE/>
              <w:autoSpaceDN/>
              <w:bidi w:val="0"/>
              <w:adjustRightInd/>
              <w:snapToGrid w:val="0"/>
              <w:spacing w:line="360" w:lineRule="auto"/>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50%</w:t>
            </w:r>
          </w:p>
        </w:tc>
      </w:tr>
    </w:tbl>
    <w:p w14:paraId="05ABB52E"/>
    <w:p w14:paraId="6B4A30A6">
      <w:pPr>
        <w:rPr>
          <w:rFonts w:hint="eastAsia" w:ascii="宋体" w:hAnsi="宋体" w:eastAsia="宋体" w:cs="宋体"/>
          <w:color w:val="auto"/>
          <w:highlight w:val="none"/>
        </w:rPr>
      </w:pPr>
    </w:p>
    <w:p w14:paraId="5BE54EE7">
      <w:pPr>
        <w:rPr>
          <w:rFonts w:hint="eastAsia" w:ascii="宋体" w:hAnsi="宋体" w:eastAsia="宋体" w:cs="宋体"/>
          <w:color w:val="auto"/>
          <w:highlight w:val="none"/>
        </w:rPr>
      </w:pPr>
    </w:p>
    <w:p w14:paraId="40ADE327">
      <w:pPr>
        <w:spacing w:line="600" w:lineRule="exact"/>
        <w:ind w:firstLine="0"/>
        <w:jc w:val="center"/>
        <w:rPr>
          <w:rFonts w:hint="eastAsia" w:ascii="宋体" w:hAnsi="宋体" w:eastAsia="宋体" w:cs="宋体"/>
          <w:color w:val="auto"/>
          <w:sz w:val="44"/>
          <w:szCs w:val="44"/>
          <w:highlight w:val="none"/>
          <w:lang w:eastAsia="zh-CN"/>
        </w:rPr>
      </w:pPr>
    </w:p>
    <w:p w14:paraId="25A164C6">
      <w:pPr>
        <w:pageBreakBefore/>
        <w:widowControl/>
        <w:jc w:val="center"/>
        <w:outlineLvl w:val="1"/>
        <w:rPr>
          <w:rFonts w:ascii="Calibri" w:hAnsi="Calibri" w:eastAsia="宋体" w:cs="Times New Roman"/>
          <w:kern w:val="0"/>
          <w:sz w:val="20"/>
          <w:szCs w:val="20"/>
          <w:lang w:eastAsia="zh-Hans"/>
        </w:rPr>
      </w:pPr>
      <w:r>
        <w:rPr>
          <w:rFonts w:ascii="Calibri" w:hAnsi="Calibri" w:eastAsia="宋体" w:cs="Times New Roman"/>
          <w:b/>
          <w:kern w:val="0"/>
          <w:sz w:val="36"/>
          <w:szCs w:val="20"/>
          <w:lang w:eastAsia="zh-Hans"/>
        </w:rPr>
        <w:t>第六章 投标文件格式</w:t>
      </w:r>
      <w:bookmarkEnd w:id="42"/>
      <w:bookmarkEnd w:id="43"/>
    </w:p>
    <w:p w14:paraId="1CE5421E">
      <w:pPr>
        <w:widowControl/>
        <w:jc w:val="left"/>
        <w:rPr>
          <w:rFonts w:ascii="Calibri" w:hAnsi="Calibri" w:eastAsia="宋体" w:cs="Times New Roman"/>
          <w:kern w:val="0"/>
          <w:sz w:val="20"/>
          <w:szCs w:val="20"/>
          <w:lang w:eastAsia="zh-Hans"/>
        </w:rPr>
      </w:pPr>
    </w:p>
    <w:p w14:paraId="3A556CA0">
      <w:pPr>
        <w:spacing w:before="652" w:beforeLines="150"/>
        <w:jc w:val="center"/>
        <w:rPr>
          <w:rFonts w:hint="eastAsia" w:ascii="宋体" w:hAnsi="宋体" w:eastAsia="宋体"/>
          <w:b/>
          <w:bCs/>
          <w:sz w:val="80"/>
          <w:szCs w:val="80"/>
          <w:lang w:eastAsia="zh-CN"/>
        </w:rPr>
      </w:pPr>
      <w:bookmarkStart w:id="49" w:name="_Toc169799785"/>
      <w:r>
        <w:rPr>
          <w:rFonts w:hint="eastAsia" w:ascii="宋体" w:hAnsi="宋体" w:eastAsia="宋体"/>
          <w:b/>
          <w:bCs/>
          <w:sz w:val="80"/>
          <w:szCs w:val="80"/>
          <w:lang w:eastAsia="zh-CN"/>
        </w:rPr>
        <w:t>虎门镇黄村社区环卫保洁服务项目</w:t>
      </w:r>
    </w:p>
    <w:p w14:paraId="22263F55">
      <w:pPr>
        <w:spacing w:before="652" w:beforeLines="150"/>
        <w:jc w:val="center"/>
        <w:rPr>
          <w:rFonts w:ascii="宋体" w:hAnsi="宋体" w:eastAsia="宋体"/>
          <w:b/>
          <w:bCs/>
          <w:spacing w:val="20"/>
          <w:sz w:val="80"/>
          <w:szCs w:val="80"/>
        </w:rPr>
      </w:pPr>
      <w:r>
        <w:rPr>
          <w:rFonts w:ascii="宋体" w:hAnsi="宋体" w:eastAsia="宋体"/>
          <w:b/>
          <w:bCs/>
          <w:spacing w:val="20"/>
          <w:sz w:val="80"/>
          <w:szCs w:val="80"/>
        </w:rPr>
        <w:t>投标文件</w:t>
      </w:r>
      <w:bookmarkEnd w:id="49"/>
    </w:p>
    <w:p w14:paraId="4BC6EA96">
      <w:pPr>
        <w:jc w:val="center"/>
        <w:rPr>
          <w:rFonts w:ascii="宋体" w:hAnsi="宋体" w:eastAsia="宋体"/>
          <w:b/>
          <w:bCs/>
        </w:rPr>
      </w:pPr>
      <w:bookmarkStart w:id="50" w:name="_Toc169799786"/>
      <w:r>
        <w:rPr>
          <w:rFonts w:ascii="宋体" w:hAnsi="宋体" w:eastAsia="宋体"/>
          <w:b/>
          <w:bCs/>
          <w:sz w:val="44"/>
          <w:szCs w:val="48"/>
        </w:rPr>
        <w:t>（正本/副本）</w:t>
      </w:r>
      <w:bookmarkEnd w:id="50"/>
      <w:r>
        <w:rPr>
          <w:rFonts w:ascii="宋体" w:hAnsi="宋体" w:eastAsia="宋体"/>
          <w:b/>
          <w:bCs/>
        </w:rPr>
        <w:br w:type="textWrapping"/>
      </w:r>
    </w:p>
    <w:p w14:paraId="29225CC7">
      <w:pPr>
        <w:keepNext w:val="0"/>
        <w:keepLines w:val="0"/>
        <w:pageBreakBefore w:val="0"/>
        <w:widowControl/>
        <w:kinsoku/>
        <w:wordWrap/>
        <w:overflowPunct/>
        <w:topLinePunct w:val="0"/>
        <w:autoSpaceDE/>
        <w:autoSpaceDN/>
        <w:bidi w:val="0"/>
        <w:adjustRightInd/>
        <w:snapToGrid/>
        <w:spacing w:before="3047" w:beforeLines="700" w:line="360" w:lineRule="auto"/>
        <w:ind w:firstLine="1558" w:firstLineChars="485"/>
        <w:jc w:val="left"/>
        <w:textAlignment w:val="auto"/>
        <w:outlineLvl w:val="3"/>
        <w:rPr>
          <w:rFonts w:ascii="宋体" w:hAnsi="宋体" w:eastAsia="宋体" w:cs="Times New Roman"/>
          <w:kern w:val="0"/>
          <w:sz w:val="32"/>
          <w:szCs w:val="32"/>
        </w:rPr>
      </w:pPr>
      <w:r>
        <w:rPr>
          <w:rFonts w:ascii="宋体" w:hAnsi="宋体" w:eastAsia="宋体" w:cs="Times New Roman"/>
          <w:b/>
          <w:kern w:val="0"/>
          <w:sz w:val="32"/>
          <w:szCs w:val="32"/>
          <w:lang w:eastAsia="zh-Hans"/>
        </w:rPr>
        <w:t>项目编号：</w:t>
      </w:r>
    </w:p>
    <w:p w14:paraId="1999A936">
      <w:pPr>
        <w:widowControl/>
        <w:spacing w:line="360" w:lineRule="auto"/>
        <w:ind w:firstLine="1558" w:firstLineChars="485"/>
        <w:jc w:val="left"/>
        <w:outlineLvl w:val="3"/>
        <w:rPr>
          <w:rFonts w:ascii="宋体" w:hAnsi="宋体" w:eastAsia="宋体" w:cs="Times New Roman"/>
          <w:kern w:val="0"/>
          <w:sz w:val="24"/>
          <w:szCs w:val="24"/>
        </w:rPr>
      </w:pPr>
      <w:r>
        <w:rPr>
          <w:rFonts w:ascii="宋体" w:hAnsi="宋体" w:eastAsia="宋体" w:cs="Times New Roman"/>
          <w:b/>
          <w:kern w:val="0"/>
          <w:sz w:val="32"/>
          <w:szCs w:val="32"/>
          <w:lang w:eastAsia="zh-Hans"/>
        </w:rPr>
        <w:t>投标人名称</w:t>
      </w:r>
      <w:r>
        <w:rPr>
          <w:rFonts w:hint="eastAsia" w:ascii="宋体" w:hAnsi="宋体" w:eastAsia="宋体" w:cs="Times New Roman"/>
          <w:b/>
          <w:kern w:val="0"/>
          <w:sz w:val="32"/>
          <w:szCs w:val="32"/>
          <w:lang w:eastAsia="zh-Hans"/>
        </w:rPr>
        <w:t>：</w:t>
      </w:r>
    </w:p>
    <w:p w14:paraId="36FD44B3">
      <w:pPr>
        <w:widowControl/>
        <w:spacing w:before="1305" w:beforeLines="300"/>
        <w:jc w:val="center"/>
        <w:outlineLvl w:val="3"/>
        <w:rPr>
          <w:rFonts w:ascii="Calibri" w:hAnsi="Calibri" w:eastAsia="宋体" w:cs="Times New Roman"/>
          <w:kern w:val="0"/>
          <w:sz w:val="20"/>
          <w:szCs w:val="20"/>
          <w:lang w:eastAsia="zh-Hans"/>
        </w:rPr>
      </w:pPr>
      <w:r>
        <w:rPr>
          <w:rFonts w:ascii="宋体" w:hAnsi="宋体" w:eastAsia="宋体" w:cs="Times New Roman"/>
          <w:b/>
          <w:kern w:val="0"/>
          <w:sz w:val="32"/>
          <w:szCs w:val="32"/>
          <w:lang w:eastAsia="zh-Hans"/>
        </w:rPr>
        <w:t xml:space="preserve"> 年 月 日</w:t>
      </w:r>
    </w:p>
    <w:p w14:paraId="3EACC7A6">
      <w:pPr>
        <w:pageBreakBefore/>
        <w:spacing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投标文件目录</w:t>
      </w:r>
    </w:p>
    <w:p w14:paraId="057413D5">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一、投标函</w:t>
      </w:r>
    </w:p>
    <w:p w14:paraId="512994C4">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二、开标一览表</w:t>
      </w:r>
    </w:p>
    <w:p w14:paraId="433CFA7F">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三、分项报价表</w:t>
      </w:r>
    </w:p>
    <w:p w14:paraId="6BBA1CBF">
      <w:pPr>
        <w:widowControl/>
        <w:jc w:val="left"/>
        <w:rPr>
          <w:rFonts w:ascii="Calibri" w:hAnsi="Calibri" w:eastAsia="宋体" w:cs="Times New Roman"/>
          <w:kern w:val="0"/>
          <w:szCs w:val="21"/>
        </w:rPr>
      </w:pPr>
      <w:r>
        <w:rPr>
          <w:rFonts w:ascii="Calibri" w:hAnsi="Calibri" w:eastAsia="宋体" w:cs="Times New Roman"/>
          <w:kern w:val="0"/>
          <w:szCs w:val="21"/>
          <w:lang w:eastAsia="zh-Hans"/>
        </w:rPr>
        <w:t>四、</w:t>
      </w:r>
      <w:r>
        <w:rPr>
          <w:rFonts w:hint="eastAsia" w:ascii="Calibri" w:hAnsi="Calibri" w:eastAsia="宋体" w:cs="Times New Roman"/>
          <w:kern w:val="0"/>
          <w:szCs w:val="21"/>
          <w:lang w:eastAsia="zh-Hans"/>
        </w:rPr>
        <w:t>中小企业声明函</w:t>
      </w:r>
    </w:p>
    <w:p w14:paraId="0F963B8C">
      <w:pPr>
        <w:widowControl/>
        <w:jc w:val="left"/>
        <w:rPr>
          <w:rFonts w:ascii="Calibri" w:hAnsi="Calibri" w:eastAsia="宋体" w:cs="Times New Roman"/>
          <w:kern w:val="0"/>
          <w:szCs w:val="21"/>
        </w:rPr>
      </w:pPr>
      <w:r>
        <w:rPr>
          <w:rFonts w:hint="eastAsia" w:ascii="Calibri" w:hAnsi="Calibri" w:eastAsia="宋体" w:cs="Times New Roman"/>
          <w:kern w:val="0"/>
          <w:szCs w:val="21"/>
        </w:rPr>
        <w:t>五、</w:t>
      </w:r>
      <w:r>
        <w:rPr>
          <w:rFonts w:ascii="Calibri" w:hAnsi="Calibri" w:eastAsia="宋体" w:cs="Times New Roman"/>
          <w:kern w:val="0"/>
          <w:szCs w:val="21"/>
          <w:lang w:eastAsia="zh-Hans"/>
        </w:rPr>
        <w:t>监狱企业</w:t>
      </w:r>
    </w:p>
    <w:p w14:paraId="5FE1DDF1">
      <w:pPr>
        <w:widowControl/>
        <w:jc w:val="left"/>
        <w:rPr>
          <w:rFonts w:ascii="Calibri" w:hAnsi="Calibri" w:eastAsia="宋体" w:cs="Times New Roman"/>
          <w:kern w:val="0"/>
          <w:szCs w:val="21"/>
        </w:rPr>
      </w:pPr>
      <w:r>
        <w:rPr>
          <w:rFonts w:hint="eastAsia" w:ascii="Calibri" w:hAnsi="Calibri" w:eastAsia="宋体" w:cs="Times New Roman"/>
          <w:kern w:val="0"/>
          <w:szCs w:val="21"/>
        </w:rPr>
        <w:t>六、</w:t>
      </w:r>
      <w:r>
        <w:rPr>
          <w:rFonts w:ascii="Calibri" w:hAnsi="Calibri" w:eastAsia="宋体" w:cs="Times New Roman"/>
          <w:kern w:val="0"/>
          <w:szCs w:val="21"/>
          <w:lang w:eastAsia="zh-Hans"/>
        </w:rPr>
        <w:t>残疾人福利性单位声明函</w:t>
      </w:r>
    </w:p>
    <w:p w14:paraId="06801FB1">
      <w:pPr>
        <w:widowControl/>
        <w:jc w:val="left"/>
        <w:rPr>
          <w:rFonts w:ascii="Calibri" w:hAnsi="Calibri" w:eastAsia="宋体" w:cs="Times New Roman"/>
          <w:kern w:val="0"/>
          <w:szCs w:val="21"/>
        </w:rPr>
      </w:pPr>
      <w:r>
        <w:rPr>
          <w:rFonts w:hint="eastAsia" w:ascii="Calibri" w:hAnsi="Calibri" w:eastAsia="宋体" w:cs="Times New Roman"/>
          <w:kern w:val="0"/>
          <w:szCs w:val="21"/>
        </w:rPr>
        <w:t>七、</w:t>
      </w:r>
      <w:r>
        <w:rPr>
          <w:rFonts w:ascii="Calibri" w:hAnsi="Calibri" w:eastAsia="宋体" w:cs="Times New Roman"/>
          <w:kern w:val="0"/>
          <w:szCs w:val="21"/>
          <w:lang w:eastAsia="zh-Hans"/>
        </w:rPr>
        <w:t>政策适用性说明</w:t>
      </w:r>
    </w:p>
    <w:p w14:paraId="520346D6">
      <w:pPr>
        <w:widowControl/>
        <w:jc w:val="left"/>
        <w:rPr>
          <w:rFonts w:ascii="Calibri" w:hAnsi="Calibri" w:eastAsia="宋体" w:cs="Times New Roman"/>
          <w:kern w:val="0"/>
          <w:szCs w:val="21"/>
        </w:rPr>
      </w:pPr>
      <w:r>
        <w:rPr>
          <w:rFonts w:hint="eastAsia" w:ascii="Calibri" w:hAnsi="Calibri" w:eastAsia="宋体" w:cs="Times New Roman"/>
          <w:kern w:val="0"/>
          <w:szCs w:val="21"/>
        </w:rPr>
        <w:t>八、联合体共同投标协议书</w:t>
      </w:r>
    </w:p>
    <w:p w14:paraId="0463493B">
      <w:pPr>
        <w:widowControl/>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九</w:t>
      </w:r>
      <w:r>
        <w:rPr>
          <w:rFonts w:ascii="Calibri" w:hAnsi="Calibri" w:eastAsia="宋体" w:cs="Times New Roman"/>
          <w:kern w:val="0"/>
          <w:szCs w:val="21"/>
          <w:lang w:eastAsia="zh-Hans"/>
        </w:rPr>
        <w:t>、法定代表人证明书</w:t>
      </w:r>
    </w:p>
    <w:p w14:paraId="6FFD1DEB">
      <w:pPr>
        <w:widowControl/>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十</w:t>
      </w:r>
      <w:r>
        <w:rPr>
          <w:rFonts w:ascii="Calibri" w:hAnsi="Calibri" w:eastAsia="宋体" w:cs="Times New Roman"/>
          <w:kern w:val="0"/>
          <w:szCs w:val="21"/>
          <w:lang w:eastAsia="zh-Hans"/>
        </w:rPr>
        <w:t>、法定代表人授权</w:t>
      </w:r>
      <w:r>
        <w:rPr>
          <w:rFonts w:hint="eastAsia" w:ascii="Calibri" w:hAnsi="Calibri" w:eastAsia="宋体" w:cs="Times New Roman"/>
          <w:kern w:val="0"/>
          <w:szCs w:val="21"/>
          <w:lang w:eastAsia="zh-Hans"/>
        </w:rPr>
        <w:t>委托</w:t>
      </w:r>
      <w:r>
        <w:rPr>
          <w:rFonts w:ascii="Calibri" w:hAnsi="Calibri" w:eastAsia="宋体" w:cs="Times New Roman"/>
          <w:kern w:val="0"/>
          <w:szCs w:val="21"/>
          <w:lang w:eastAsia="zh-Hans"/>
        </w:rPr>
        <w:t>书</w:t>
      </w:r>
    </w:p>
    <w:p w14:paraId="5C71B722">
      <w:pPr>
        <w:widowControl/>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十一</w:t>
      </w:r>
      <w:r>
        <w:rPr>
          <w:rFonts w:ascii="Calibri" w:hAnsi="Calibri" w:eastAsia="宋体" w:cs="Times New Roman"/>
          <w:kern w:val="0"/>
          <w:szCs w:val="21"/>
          <w:lang w:eastAsia="zh-Hans"/>
        </w:rPr>
        <w:t>、投标保证金</w:t>
      </w:r>
    </w:p>
    <w:p w14:paraId="31661940">
      <w:pPr>
        <w:widowControl/>
        <w:jc w:val="left"/>
        <w:rPr>
          <w:rFonts w:ascii="Calibri" w:hAnsi="Calibri" w:eastAsia="宋体" w:cs="Times New Roman"/>
          <w:kern w:val="0"/>
          <w:szCs w:val="21"/>
        </w:rPr>
      </w:pPr>
      <w:r>
        <w:rPr>
          <w:rFonts w:hint="eastAsia" w:ascii="Calibri" w:hAnsi="Calibri" w:eastAsia="宋体" w:cs="Times New Roman"/>
          <w:kern w:val="0"/>
          <w:szCs w:val="21"/>
        </w:rPr>
        <w:t>十二、资格条件承诺函</w:t>
      </w:r>
    </w:p>
    <w:p w14:paraId="118B6973">
      <w:pPr>
        <w:widowControl/>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十三</w:t>
      </w:r>
      <w:r>
        <w:rPr>
          <w:rFonts w:ascii="Calibri" w:hAnsi="Calibri" w:eastAsia="宋体" w:cs="Times New Roman"/>
          <w:kern w:val="0"/>
          <w:szCs w:val="21"/>
          <w:lang w:eastAsia="zh-Hans"/>
        </w:rPr>
        <w:t>、提供具有独立承担民事责任的能力的证明材料</w:t>
      </w:r>
    </w:p>
    <w:p w14:paraId="2C5908F1">
      <w:pPr>
        <w:widowControl/>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十四</w:t>
      </w:r>
      <w:r>
        <w:rPr>
          <w:rFonts w:ascii="Calibri" w:hAnsi="Calibri" w:eastAsia="宋体" w:cs="Times New Roman"/>
          <w:kern w:val="0"/>
          <w:szCs w:val="21"/>
          <w:lang w:eastAsia="zh-Hans"/>
        </w:rPr>
        <w:t>、</w:t>
      </w:r>
      <w:r>
        <w:rPr>
          <w:rFonts w:hint="eastAsia" w:ascii="Calibri" w:hAnsi="Calibri" w:eastAsia="宋体" w:cs="Times New Roman"/>
          <w:kern w:val="0"/>
          <w:szCs w:val="21"/>
          <w:lang w:eastAsia="zh-Hans"/>
        </w:rPr>
        <w:t>拟投入本项目设备情况表</w:t>
      </w:r>
    </w:p>
    <w:p w14:paraId="65C8EF60">
      <w:pPr>
        <w:widowControl/>
        <w:jc w:val="left"/>
        <w:rPr>
          <w:rFonts w:ascii="Calibri" w:hAnsi="Calibri" w:eastAsia="宋体" w:cs="Times New Roman"/>
          <w:kern w:val="0"/>
          <w:szCs w:val="21"/>
        </w:rPr>
      </w:pPr>
      <w:r>
        <w:rPr>
          <w:rFonts w:ascii="Calibri" w:hAnsi="Calibri" w:eastAsia="宋体" w:cs="Times New Roman"/>
          <w:kern w:val="0"/>
          <w:szCs w:val="21"/>
          <w:lang w:eastAsia="zh-Hans"/>
        </w:rPr>
        <w:t>十</w:t>
      </w:r>
      <w:r>
        <w:rPr>
          <w:rFonts w:hint="eastAsia" w:ascii="Calibri" w:hAnsi="Calibri" w:eastAsia="宋体" w:cs="Times New Roman"/>
          <w:kern w:val="0"/>
          <w:szCs w:val="21"/>
          <w:lang w:eastAsia="zh-Hans"/>
        </w:rPr>
        <w:t>五</w:t>
      </w:r>
      <w:r>
        <w:rPr>
          <w:rFonts w:ascii="Calibri" w:hAnsi="Calibri" w:eastAsia="宋体" w:cs="Times New Roman"/>
          <w:kern w:val="0"/>
          <w:szCs w:val="21"/>
          <w:lang w:eastAsia="zh-Hans"/>
        </w:rPr>
        <w:t>、</w:t>
      </w:r>
      <w:r>
        <w:rPr>
          <w:rFonts w:hint="eastAsia" w:ascii="Calibri" w:hAnsi="Calibri" w:eastAsia="宋体" w:cs="Times New Roman"/>
          <w:kern w:val="0"/>
          <w:szCs w:val="21"/>
          <w:lang w:eastAsia="zh-Hans"/>
        </w:rPr>
        <w:t>项目技术服务人员情况表</w:t>
      </w:r>
    </w:p>
    <w:p w14:paraId="41AFFB6B">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十</w:t>
      </w:r>
      <w:r>
        <w:rPr>
          <w:rFonts w:hint="eastAsia" w:ascii="Calibri" w:hAnsi="Calibri" w:eastAsia="宋体" w:cs="Times New Roman"/>
          <w:kern w:val="0"/>
          <w:szCs w:val="21"/>
          <w:lang w:eastAsia="zh-Hans"/>
        </w:rPr>
        <w:t>六</w:t>
      </w:r>
      <w:r>
        <w:rPr>
          <w:rFonts w:ascii="Calibri" w:hAnsi="Calibri" w:eastAsia="宋体" w:cs="Times New Roman"/>
          <w:kern w:val="0"/>
          <w:szCs w:val="21"/>
          <w:lang w:eastAsia="zh-Hans"/>
        </w:rPr>
        <w:t>、</w:t>
      </w:r>
      <w:r>
        <w:rPr>
          <w:rFonts w:hint="eastAsia" w:ascii="Calibri" w:hAnsi="Calibri" w:eastAsia="宋体" w:cs="Times New Roman"/>
          <w:kern w:val="0"/>
          <w:szCs w:val="21"/>
          <w:lang w:eastAsia="zh-Hans"/>
        </w:rPr>
        <w:t>项目负责人简历表</w:t>
      </w:r>
    </w:p>
    <w:p w14:paraId="174D1A68">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十</w:t>
      </w:r>
      <w:r>
        <w:rPr>
          <w:rFonts w:hint="eastAsia" w:ascii="Calibri" w:hAnsi="Calibri" w:eastAsia="宋体" w:cs="Times New Roman"/>
          <w:kern w:val="0"/>
          <w:szCs w:val="21"/>
          <w:lang w:eastAsia="zh-Hans"/>
        </w:rPr>
        <w:t>七</w:t>
      </w:r>
      <w:r>
        <w:rPr>
          <w:rFonts w:ascii="Calibri" w:hAnsi="Calibri" w:eastAsia="宋体" w:cs="Times New Roman"/>
          <w:kern w:val="0"/>
          <w:szCs w:val="21"/>
          <w:lang w:eastAsia="zh-Hans"/>
        </w:rPr>
        <w:t>、</w:t>
      </w:r>
      <w:r>
        <w:rPr>
          <w:rFonts w:hint="eastAsia" w:ascii="Calibri" w:hAnsi="Calibri" w:eastAsia="宋体" w:cs="Times New Roman"/>
          <w:kern w:val="0"/>
          <w:szCs w:val="21"/>
          <w:lang w:eastAsia="zh-Hans"/>
        </w:rPr>
        <w:t>投标人业绩情况表</w:t>
      </w:r>
    </w:p>
    <w:p w14:paraId="03FAB5CB">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十</w:t>
      </w:r>
      <w:r>
        <w:rPr>
          <w:rFonts w:hint="eastAsia" w:ascii="Calibri" w:hAnsi="Calibri" w:eastAsia="宋体" w:cs="Times New Roman"/>
          <w:kern w:val="0"/>
          <w:szCs w:val="21"/>
          <w:lang w:eastAsia="zh-Hans"/>
        </w:rPr>
        <w:t>八</w:t>
      </w:r>
      <w:r>
        <w:rPr>
          <w:rFonts w:ascii="Calibri" w:hAnsi="Calibri" w:eastAsia="宋体" w:cs="Times New Roman"/>
          <w:kern w:val="0"/>
          <w:szCs w:val="21"/>
          <w:lang w:eastAsia="zh-Hans"/>
        </w:rPr>
        <w:t>、</w:t>
      </w:r>
      <w:r>
        <w:rPr>
          <w:rFonts w:hint="eastAsia" w:ascii="Calibri" w:hAnsi="Calibri" w:eastAsia="宋体" w:cs="Times New Roman"/>
          <w:kern w:val="0"/>
          <w:szCs w:val="21"/>
          <w:lang w:eastAsia="zh-Hans"/>
        </w:rPr>
        <w:t>技术和服务要求响应表</w:t>
      </w:r>
    </w:p>
    <w:p w14:paraId="441CCE17">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十</w:t>
      </w:r>
      <w:r>
        <w:rPr>
          <w:rFonts w:hint="eastAsia" w:ascii="Calibri" w:hAnsi="Calibri" w:eastAsia="宋体" w:cs="Times New Roman"/>
          <w:kern w:val="0"/>
          <w:szCs w:val="21"/>
          <w:lang w:eastAsia="zh-Hans"/>
        </w:rPr>
        <w:t>九</w:t>
      </w:r>
      <w:r>
        <w:rPr>
          <w:rFonts w:ascii="Calibri" w:hAnsi="Calibri" w:eastAsia="宋体" w:cs="Times New Roman"/>
          <w:kern w:val="0"/>
          <w:szCs w:val="21"/>
          <w:lang w:eastAsia="zh-Hans"/>
        </w:rPr>
        <w:t>、</w:t>
      </w:r>
      <w:r>
        <w:rPr>
          <w:rFonts w:hint="eastAsia" w:ascii="Calibri" w:hAnsi="Calibri" w:eastAsia="宋体" w:cs="Times New Roman"/>
          <w:kern w:val="0"/>
          <w:szCs w:val="21"/>
          <w:lang w:eastAsia="zh-Hans"/>
        </w:rPr>
        <w:t>商务条件响应表</w:t>
      </w:r>
    </w:p>
    <w:p w14:paraId="201B1BAE">
      <w:pPr>
        <w:widowControl/>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二十</w:t>
      </w:r>
      <w:r>
        <w:rPr>
          <w:rFonts w:ascii="Calibri" w:hAnsi="Calibri" w:eastAsia="宋体" w:cs="Times New Roman"/>
          <w:kern w:val="0"/>
          <w:szCs w:val="21"/>
          <w:lang w:eastAsia="zh-Hans"/>
        </w:rPr>
        <w:t>、</w:t>
      </w:r>
      <w:r>
        <w:rPr>
          <w:rFonts w:hint="eastAsia" w:ascii="Calibri" w:hAnsi="Calibri" w:eastAsia="宋体" w:cs="Times New Roman"/>
          <w:kern w:val="0"/>
          <w:szCs w:val="21"/>
          <w:lang w:eastAsia="zh-Hans"/>
        </w:rPr>
        <w:t>各类证明材料</w:t>
      </w:r>
    </w:p>
    <w:p w14:paraId="4048C294">
      <w:pPr>
        <w:widowControl/>
        <w:jc w:val="left"/>
        <w:rPr>
          <w:rFonts w:ascii="Calibri" w:hAnsi="Calibri" w:eastAsia="宋体" w:cs="Times New Roman"/>
          <w:kern w:val="0"/>
          <w:szCs w:val="21"/>
        </w:rPr>
      </w:pPr>
      <w:r>
        <w:rPr>
          <w:rFonts w:hint="eastAsia" w:ascii="Calibri" w:hAnsi="Calibri" w:eastAsia="宋体" w:cs="Times New Roman"/>
          <w:kern w:val="0"/>
          <w:szCs w:val="21"/>
          <w:lang w:eastAsia="zh-Hans"/>
        </w:rPr>
        <w:t>二十一</w:t>
      </w:r>
      <w:r>
        <w:rPr>
          <w:rFonts w:ascii="Calibri" w:hAnsi="Calibri" w:eastAsia="宋体" w:cs="Times New Roman"/>
          <w:kern w:val="0"/>
          <w:szCs w:val="21"/>
          <w:lang w:eastAsia="zh-Hans"/>
        </w:rPr>
        <w:t>、</w:t>
      </w:r>
      <w:r>
        <w:rPr>
          <w:rFonts w:hint="eastAsia" w:ascii="Calibri" w:hAnsi="Calibri" w:eastAsia="宋体" w:cs="Times New Roman"/>
          <w:kern w:val="0"/>
          <w:szCs w:val="21"/>
          <w:lang w:eastAsia="zh-Hans"/>
        </w:rPr>
        <w:t>采购代理服务费支付承诺书</w:t>
      </w:r>
    </w:p>
    <w:p w14:paraId="16C153A6">
      <w:pPr>
        <w:widowControl/>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二十二</w:t>
      </w:r>
      <w:r>
        <w:rPr>
          <w:rFonts w:ascii="Calibri" w:hAnsi="Calibri" w:eastAsia="宋体" w:cs="Times New Roman"/>
          <w:kern w:val="0"/>
          <w:szCs w:val="21"/>
          <w:lang w:eastAsia="zh-Hans"/>
        </w:rPr>
        <w:t>、</w:t>
      </w:r>
      <w:r>
        <w:rPr>
          <w:rFonts w:hint="eastAsia" w:ascii="Calibri" w:hAnsi="Calibri" w:eastAsia="宋体" w:cs="Times New Roman"/>
          <w:kern w:val="0"/>
          <w:szCs w:val="21"/>
          <w:lang w:eastAsia="zh-Hans"/>
        </w:rPr>
        <w:t>询问函、质疑函、投诉书格式</w:t>
      </w:r>
    </w:p>
    <w:p w14:paraId="11B2B4F0">
      <w:pPr>
        <w:widowControl/>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二十三</w:t>
      </w:r>
      <w:r>
        <w:rPr>
          <w:rFonts w:ascii="Calibri" w:hAnsi="Calibri" w:eastAsia="宋体" w:cs="Times New Roman"/>
          <w:kern w:val="0"/>
          <w:szCs w:val="21"/>
          <w:lang w:eastAsia="zh-Hans"/>
        </w:rPr>
        <w:t>、</w:t>
      </w:r>
      <w:r>
        <w:rPr>
          <w:rFonts w:hint="eastAsia" w:ascii="Calibri" w:hAnsi="Calibri" w:eastAsia="宋体" w:cs="Times New Roman"/>
          <w:kern w:val="0"/>
          <w:szCs w:val="21"/>
          <w:lang w:eastAsia="zh-Hans"/>
        </w:rPr>
        <w:t>投标担保函、履约担保</w:t>
      </w:r>
    </w:p>
    <w:p w14:paraId="2DC55D76">
      <w:pPr>
        <w:widowControl/>
        <w:jc w:val="left"/>
        <w:rPr>
          <w:rFonts w:ascii="Calibri" w:hAnsi="Calibri" w:eastAsia="宋体" w:cs="Times New Roman"/>
          <w:kern w:val="0"/>
          <w:sz w:val="20"/>
          <w:szCs w:val="20"/>
          <w:lang w:eastAsia="zh-Hans"/>
        </w:rPr>
      </w:pPr>
      <w:r>
        <w:rPr>
          <w:rFonts w:hint="eastAsia" w:ascii="Calibri" w:hAnsi="Calibri" w:eastAsia="宋体" w:cs="Times New Roman"/>
          <w:kern w:val="0"/>
          <w:szCs w:val="21"/>
          <w:lang w:eastAsia="zh-Hans"/>
        </w:rPr>
        <w:t>二十四</w:t>
      </w:r>
      <w:r>
        <w:rPr>
          <w:rFonts w:ascii="Calibri" w:hAnsi="Calibri" w:eastAsia="宋体" w:cs="Times New Roman"/>
          <w:kern w:val="0"/>
          <w:szCs w:val="21"/>
          <w:lang w:eastAsia="zh-Hans"/>
        </w:rPr>
        <w:t>、项目实施方案、质量保证及售后服务承诺等</w:t>
      </w:r>
    </w:p>
    <w:p w14:paraId="027687D0">
      <w:pPr>
        <w:widowControl/>
        <w:jc w:val="left"/>
        <w:rPr>
          <w:rFonts w:ascii="Calibri" w:hAnsi="Calibri" w:eastAsia="宋体" w:cs="Times New Roman"/>
          <w:kern w:val="0"/>
          <w:sz w:val="20"/>
          <w:szCs w:val="20"/>
        </w:rPr>
      </w:pPr>
    </w:p>
    <w:p w14:paraId="1844F7FA">
      <w:pPr>
        <w:widowControl/>
        <w:jc w:val="left"/>
        <w:rPr>
          <w:rFonts w:ascii="Calibri" w:hAnsi="Calibri" w:eastAsia="宋体" w:cs="Times New Roman"/>
          <w:kern w:val="0"/>
          <w:sz w:val="20"/>
          <w:szCs w:val="20"/>
          <w:lang w:eastAsia="zh-Hans"/>
        </w:rPr>
      </w:pPr>
    </w:p>
    <w:p w14:paraId="768B12D4">
      <w:pPr>
        <w:pageBreakBefore/>
        <w:rPr>
          <w:rFonts w:ascii="宋体" w:hAnsi="宋体" w:eastAsia="宋体"/>
          <w:b/>
          <w:bCs/>
        </w:rPr>
      </w:pPr>
      <w:r>
        <w:rPr>
          <w:rFonts w:hint="eastAsia" w:ascii="宋体" w:hAnsi="宋体" w:eastAsia="宋体"/>
          <w:b/>
          <w:bCs/>
          <w:sz w:val="24"/>
          <w:szCs w:val="28"/>
        </w:rPr>
        <w:t>资格、符合性审查索引表格式</w:t>
      </w:r>
    </w:p>
    <w:p w14:paraId="311DF899">
      <w:pPr>
        <w:keepLines/>
        <w:tabs>
          <w:tab w:val="left" w:pos="284"/>
          <w:tab w:val="left" w:pos="426"/>
          <w:tab w:val="left" w:pos="709"/>
        </w:tabs>
        <w:spacing w:before="217" w:beforeLines="50" w:after="217" w:afterLines="50"/>
        <w:jc w:val="center"/>
        <w:rPr>
          <w:rFonts w:ascii="宋体" w:hAnsi="宋体" w:eastAsia="宋体"/>
          <w:b/>
          <w:bCs/>
          <w:szCs w:val="21"/>
        </w:rPr>
      </w:pPr>
      <w:r>
        <w:rPr>
          <w:rFonts w:hint="eastAsia" w:ascii="宋体" w:hAnsi="宋体" w:eastAsia="宋体"/>
          <w:b/>
          <w:bCs/>
          <w:sz w:val="28"/>
          <w:szCs w:val="28"/>
        </w:rPr>
        <w:t>资格、符合性审查索引表</w:t>
      </w: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5802"/>
        <w:gridCol w:w="2730"/>
      </w:tblGrid>
      <w:tr w14:paraId="14E39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vAlign w:val="center"/>
          </w:tcPr>
          <w:p w14:paraId="1A2B9443">
            <w:pPr>
              <w:spacing w:line="360" w:lineRule="auto"/>
              <w:jc w:val="left"/>
              <w:rPr>
                <w:rFonts w:ascii="宋体" w:hAnsi="宋体" w:eastAsia="宋体"/>
                <w:b/>
                <w:bCs/>
                <w:color w:val="000000" w:themeColor="text1"/>
                <w:spacing w:val="-10"/>
                <w:szCs w:val="21"/>
                <w14:textFill>
                  <w14:solidFill>
                    <w14:schemeClr w14:val="tx1"/>
                  </w14:solidFill>
                </w14:textFill>
              </w:rPr>
            </w:pPr>
            <w:r>
              <w:rPr>
                <w:rFonts w:hint="eastAsia" w:ascii="宋体" w:hAnsi="宋体" w:eastAsia="宋体" w:cs="Times New Roman"/>
                <w:b/>
                <w:color w:val="000000" w:themeColor="text1"/>
                <w:spacing w:val="20"/>
                <w:sz w:val="24"/>
                <w:szCs w:val="24"/>
                <w14:textFill>
                  <w14:solidFill>
                    <w14:schemeClr w14:val="tx1"/>
                  </w14:solidFill>
                </w14:textFill>
              </w:rPr>
              <w:t>资格性审查</w:t>
            </w:r>
          </w:p>
        </w:tc>
      </w:tr>
      <w:tr w14:paraId="7CBBE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6" w:type="pct"/>
            <w:vAlign w:val="center"/>
          </w:tcPr>
          <w:p w14:paraId="18586716">
            <w:pPr>
              <w:spacing w:line="360" w:lineRule="auto"/>
              <w:jc w:val="center"/>
              <w:rPr>
                <w:rFonts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序号</w:t>
            </w:r>
          </w:p>
        </w:tc>
        <w:tc>
          <w:tcPr>
            <w:tcW w:w="3124" w:type="pct"/>
            <w:tcBorders>
              <w:bottom w:val="single" w:color="auto" w:sz="4" w:space="0"/>
              <w:tl2br w:val="nil"/>
            </w:tcBorders>
            <w:vAlign w:val="center"/>
          </w:tcPr>
          <w:p w14:paraId="0CF3EFF9">
            <w:pPr>
              <w:spacing w:line="360" w:lineRule="auto"/>
              <w:ind w:left="211" w:hanging="211" w:hangingChars="100"/>
              <w:jc w:val="center"/>
              <w:rPr>
                <w:rFonts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审查内容</w:t>
            </w:r>
          </w:p>
        </w:tc>
        <w:tc>
          <w:tcPr>
            <w:tcW w:w="1470" w:type="pct"/>
            <w:vAlign w:val="center"/>
          </w:tcPr>
          <w:p w14:paraId="0549D6A3">
            <w:pPr>
              <w:spacing w:line="360" w:lineRule="auto"/>
              <w:jc w:val="center"/>
              <w:rPr>
                <w:rFonts w:ascii="宋体" w:hAnsi="宋体" w:eastAsia="宋体"/>
                <w:b/>
                <w:bCs/>
                <w:color w:val="000000" w:themeColor="text1"/>
                <w:spacing w:val="-10"/>
                <w:szCs w:val="21"/>
                <w14:textFill>
                  <w14:solidFill>
                    <w14:schemeClr w14:val="tx1"/>
                  </w14:solidFill>
                </w14:textFill>
              </w:rPr>
            </w:pPr>
            <w:r>
              <w:rPr>
                <w:rFonts w:ascii="宋体" w:hAnsi="宋体" w:eastAsia="宋体"/>
                <w:b/>
                <w:bCs/>
                <w:color w:val="000000" w:themeColor="text1"/>
                <w:spacing w:val="-10"/>
                <w:szCs w:val="21"/>
                <w14:textFill>
                  <w14:solidFill>
                    <w14:schemeClr w14:val="tx1"/>
                  </w14:solidFill>
                </w14:textFill>
              </w:rPr>
              <w:t>投标文件</w:t>
            </w:r>
            <w:r>
              <w:rPr>
                <w:rFonts w:hint="eastAsia" w:ascii="宋体" w:hAnsi="宋体" w:eastAsia="宋体"/>
                <w:b/>
                <w:bCs/>
              </w:rPr>
              <w:t>对应页码范围</w:t>
            </w:r>
          </w:p>
        </w:tc>
      </w:tr>
      <w:tr w14:paraId="37813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6" w:type="pct"/>
            <w:vAlign w:val="center"/>
          </w:tcPr>
          <w:p w14:paraId="7B6D2D40">
            <w:pPr>
              <w:spacing w:line="360" w:lineRule="auto"/>
              <w:jc w:val="center"/>
              <w:rPr>
                <w:rFonts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1</w:t>
            </w:r>
          </w:p>
        </w:tc>
        <w:tc>
          <w:tcPr>
            <w:tcW w:w="3124" w:type="pct"/>
            <w:tcBorders>
              <w:tl2br w:val="nil"/>
            </w:tcBorders>
            <w:vAlign w:val="center"/>
          </w:tcPr>
          <w:p w14:paraId="64A56D54">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39601E8F">
            <w:pPr>
              <w:spacing w:line="360" w:lineRule="auto"/>
              <w:jc w:val="center"/>
              <w:rPr>
                <w:rFonts w:ascii="宋体" w:hAnsi="宋体" w:eastAsia="宋体"/>
                <w:b/>
                <w:bCs/>
                <w:color w:val="000000" w:themeColor="text1"/>
                <w:szCs w:val="21"/>
                <w14:textFill>
                  <w14:solidFill>
                    <w14:schemeClr w14:val="tx1"/>
                  </w14:solidFill>
                </w14:textFill>
              </w:rPr>
            </w:pPr>
          </w:p>
        </w:tc>
      </w:tr>
      <w:tr w14:paraId="2C4BB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2E02361">
            <w:pPr>
              <w:spacing w:line="360" w:lineRule="auto"/>
              <w:jc w:val="center"/>
              <w:rPr>
                <w:rFonts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2</w:t>
            </w:r>
          </w:p>
        </w:tc>
        <w:tc>
          <w:tcPr>
            <w:tcW w:w="3124" w:type="pct"/>
            <w:vAlign w:val="center"/>
          </w:tcPr>
          <w:p w14:paraId="502DA47E">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020C48A6">
            <w:pPr>
              <w:spacing w:line="360" w:lineRule="auto"/>
              <w:jc w:val="center"/>
              <w:rPr>
                <w:rFonts w:ascii="宋体" w:hAnsi="宋体" w:eastAsia="宋体"/>
                <w:b/>
                <w:bCs/>
                <w:color w:val="000000" w:themeColor="text1"/>
                <w:szCs w:val="21"/>
                <w14:textFill>
                  <w14:solidFill>
                    <w14:schemeClr w14:val="tx1"/>
                  </w14:solidFill>
                </w14:textFill>
              </w:rPr>
            </w:pPr>
          </w:p>
        </w:tc>
      </w:tr>
      <w:tr w14:paraId="72CE9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FD48050">
            <w:pPr>
              <w:spacing w:line="360" w:lineRule="auto"/>
              <w:jc w:val="center"/>
              <w:rPr>
                <w:rFonts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3</w:t>
            </w:r>
          </w:p>
        </w:tc>
        <w:tc>
          <w:tcPr>
            <w:tcW w:w="3124" w:type="pct"/>
            <w:vAlign w:val="center"/>
          </w:tcPr>
          <w:p w14:paraId="558DB401">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383F633B">
            <w:pPr>
              <w:spacing w:line="360" w:lineRule="auto"/>
              <w:jc w:val="center"/>
              <w:rPr>
                <w:rFonts w:ascii="宋体" w:hAnsi="宋体" w:eastAsia="宋体"/>
                <w:b/>
                <w:bCs/>
                <w:color w:val="000000" w:themeColor="text1"/>
                <w:szCs w:val="21"/>
                <w14:textFill>
                  <w14:solidFill>
                    <w14:schemeClr w14:val="tx1"/>
                  </w14:solidFill>
                </w14:textFill>
              </w:rPr>
            </w:pPr>
          </w:p>
        </w:tc>
      </w:tr>
      <w:tr w14:paraId="4750E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E05A085">
            <w:pPr>
              <w:spacing w:line="360" w:lineRule="auto"/>
              <w:jc w:val="center"/>
              <w:rPr>
                <w:rFonts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w:t>
            </w:r>
          </w:p>
        </w:tc>
        <w:tc>
          <w:tcPr>
            <w:tcW w:w="3124" w:type="pct"/>
            <w:vAlign w:val="center"/>
          </w:tcPr>
          <w:p w14:paraId="516647F7">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5BE3A57F">
            <w:pPr>
              <w:spacing w:line="360" w:lineRule="auto"/>
              <w:jc w:val="center"/>
              <w:rPr>
                <w:rFonts w:ascii="宋体" w:hAnsi="宋体" w:eastAsia="宋体"/>
                <w:b/>
                <w:bCs/>
                <w:color w:val="000000" w:themeColor="text1"/>
                <w:szCs w:val="21"/>
                <w14:textFill>
                  <w14:solidFill>
                    <w14:schemeClr w14:val="tx1"/>
                  </w14:solidFill>
                </w14:textFill>
              </w:rPr>
            </w:pPr>
          </w:p>
        </w:tc>
      </w:tr>
      <w:tr w14:paraId="257AF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000" w:type="pct"/>
            <w:gridSpan w:val="3"/>
            <w:vAlign w:val="center"/>
          </w:tcPr>
          <w:p w14:paraId="3EA6F111">
            <w:pPr>
              <w:spacing w:line="360" w:lineRule="auto"/>
              <w:jc w:val="left"/>
              <w:rPr>
                <w:rFonts w:ascii="宋体" w:hAnsi="宋体" w:eastAsia="宋体"/>
                <w:b/>
                <w:bCs/>
                <w:color w:val="000000" w:themeColor="text1"/>
                <w:szCs w:val="21"/>
                <w14:textFill>
                  <w14:solidFill>
                    <w14:schemeClr w14:val="tx1"/>
                  </w14:solidFill>
                </w14:textFill>
              </w:rPr>
            </w:pPr>
            <w:r>
              <w:rPr>
                <w:rFonts w:hint="eastAsia" w:ascii="宋体" w:hAnsi="宋体" w:eastAsia="宋体"/>
                <w:b/>
                <w:bCs/>
                <w:sz w:val="24"/>
                <w:szCs w:val="24"/>
              </w:rPr>
              <w:t>符合性审查</w:t>
            </w:r>
          </w:p>
        </w:tc>
      </w:tr>
      <w:tr w14:paraId="1F0F3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3F36668C">
            <w:pPr>
              <w:spacing w:line="360" w:lineRule="auto"/>
              <w:jc w:val="center"/>
              <w:rPr>
                <w:rFonts w:ascii="宋体" w:hAnsi="宋体" w:eastAsia="宋体"/>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序号</w:t>
            </w:r>
          </w:p>
        </w:tc>
        <w:tc>
          <w:tcPr>
            <w:tcW w:w="3124" w:type="pct"/>
            <w:vAlign w:val="center"/>
          </w:tcPr>
          <w:p w14:paraId="5FF3A9F3">
            <w:pPr>
              <w:spacing w:line="360" w:lineRule="auto"/>
              <w:jc w:val="center"/>
              <w:rPr>
                <w:rFonts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审查内容</w:t>
            </w:r>
          </w:p>
        </w:tc>
        <w:tc>
          <w:tcPr>
            <w:tcW w:w="1470" w:type="pct"/>
            <w:vAlign w:val="center"/>
          </w:tcPr>
          <w:p w14:paraId="21CBB5EE">
            <w:pPr>
              <w:spacing w:line="360" w:lineRule="auto"/>
              <w:jc w:val="center"/>
              <w:rPr>
                <w:rFonts w:ascii="宋体" w:hAnsi="宋体" w:eastAsia="宋体"/>
                <w:b/>
                <w:bCs/>
                <w:color w:val="000000" w:themeColor="text1"/>
                <w:szCs w:val="21"/>
                <w14:textFill>
                  <w14:solidFill>
                    <w14:schemeClr w14:val="tx1"/>
                  </w14:solidFill>
                </w14:textFill>
              </w:rPr>
            </w:pPr>
            <w:r>
              <w:rPr>
                <w:rFonts w:ascii="宋体" w:hAnsi="宋体" w:eastAsia="宋体"/>
                <w:b/>
                <w:bCs/>
                <w:color w:val="000000" w:themeColor="text1"/>
                <w:spacing w:val="-10"/>
                <w:szCs w:val="21"/>
                <w14:textFill>
                  <w14:solidFill>
                    <w14:schemeClr w14:val="tx1"/>
                  </w14:solidFill>
                </w14:textFill>
              </w:rPr>
              <w:t>投标文件</w:t>
            </w:r>
            <w:r>
              <w:rPr>
                <w:rFonts w:hint="eastAsia" w:ascii="宋体" w:hAnsi="宋体" w:eastAsia="宋体"/>
                <w:b/>
                <w:bCs/>
              </w:rPr>
              <w:t>对应页码范围</w:t>
            </w:r>
          </w:p>
        </w:tc>
      </w:tr>
      <w:tr w14:paraId="1E403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5DA55133">
            <w:pPr>
              <w:spacing w:line="360" w:lineRule="auto"/>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1</w:t>
            </w:r>
          </w:p>
        </w:tc>
        <w:tc>
          <w:tcPr>
            <w:tcW w:w="3124" w:type="pct"/>
            <w:vAlign w:val="center"/>
          </w:tcPr>
          <w:p w14:paraId="011C0CD4">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2C24E3B4">
            <w:pPr>
              <w:spacing w:line="360" w:lineRule="auto"/>
              <w:jc w:val="center"/>
              <w:rPr>
                <w:rFonts w:ascii="宋体" w:hAnsi="宋体" w:eastAsia="宋体"/>
                <w:b/>
                <w:bCs/>
                <w:color w:val="000000" w:themeColor="text1"/>
                <w:spacing w:val="-10"/>
                <w:szCs w:val="21"/>
                <w14:textFill>
                  <w14:solidFill>
                    <w14:schemeClr w14:val="tx1"/>
                  </w14:solidFill>
                </w14:textFill>
              </w:rPr>
            </w:pPr>
          </w:p>
        </w:tc>
      </w:tr>
      <w:tr w14:paraId="659EA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486DAB28">
            <w:pPr>
              <w:spacing w:line="360" w:lineRule="auto"/>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2</w:t>
            </w:r>
          </w:p>
        </w:tc>
        <w:tc>
          <w:tcPr>
            <w:tcW w:w="3124" w:type="pct"/>
            <w:vAlign w:val="center"/>
          </w:tcPr>
          <w:p w14:paraId="2A51C72C">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1E52B2B6">
            <w:pPr>
              <w:spacing w:line="360" w:lineRule="auto"/>
              <w:jc w:val="center"/>
              <w:rPr>
                <w:rFonts w:ascii="宋体" w:hAnsi="宋体" w:eastAsia="宋体"/>
                <w:b/>
                <w:bCs/>
                <w:color w:val="000000" w:themeColor="text1"/>
                <w:spacing w:val="-10"/>
                <w:szCs w:val="21"/>
                <w14:textFill>
                  <w14:solidFill>
                    <w14:schemeClr w14:val="tx1"/>
                  </w14:solidFill>
                </w14:textFill>
              </w:rPr>
            </w:pPr>
          </w:p>
        </w:tc>
      </w:tr>
      <w:tr w14:paraId="25F5F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31009413">
            <w:pPr>
              <w:spacing w:line="360" w:lineRule="auto"/>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3</w:t>
            </w:r>
          </w:p>
        </w:tc>
        <w:tc>
          <w:tcPr>
            <w:tcW w:w="3124" w:type="pct"/>
            <w:vAlign w:val="center"/>
          </w:tcPr>
          <w:p w14:paraId="170CA82E">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5B9CB5C4">
            <w:pPr>
              <w:spacing w:line="360" w:lineRule="auto"/>
              <w:jc w:val="center"/>
              <w:rPr>
                <w:rFonts w:ascii="宋体" w:hAnsi="宋体" w:eastAsia="宋体"/>
                <w:b/>
                <w:bCs/>
                <w:color w:val="000000" w:themeColor="text1"/>
                <w:spacing w:val="-10"/>
                <w:szCs w:val="21"/>
                <w14:textFill>
                  <w14:solidFill>
                    <w14:schemeClr w14:val="tx1"/>
                  </w14:solidFill>
                </w14:textFill>
              </w:rPr>
            </w:pPr>
          </w:p>
        </w:tc>
      </w:tr>
      <w:tr w14:paraId="633D9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E6918FC">
            <w:pPr>
              <w:spacing w:line="360" w:lineRule="auto"/>
              <w:jc w:val="center"/>
              <w:rPr>
                <w:rFonts w:ascii="宋体" w:hAnsi="宋体" w:eastAsia="宋体"/>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w:t>
            </w:r>
          </w:p>
        </w:tc>
        <w:tc>
          <w:tcPr>
            <w:tcW w:w="3124" w:type="pct"/>
            <w:vAlign w:val="center"/>
          </w:tcPr>
          <w:p w14:paraId="44A8BEEC">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18B141FF">
            <w:pPr>
              <w:spacing w:line="360" w:lineRule="auto"/>
              <w:jc w:val="center"/>
              <w:rPr>
                <w:rFonts w:ascii="宋体" w:hAnsi="宋体" w:eastAsia="宋体"/>
                <w:b/>
                <w:bCs/>
                <w:color w:val="000000" w:themeColor="text1"/>
                <w:spacing w:val="-10"/>
                <w:szCs w:val="21"/>
                <w14:textFill>
                  <w14:solidFill>
                    <w14:schemeClr w14:val="tx1"/>
                  </w14:solidFill>
                </w14:textFill>
              </w:rPr>
            </w:pPr>
          </w:p>
        </w:tc>
      </w:tr>
    </w:tbl>
    <w:p w14:paraId="4319FB3D">
      <w:pPr>
        <w:spacing w:before="217" w:beforeLines="50" w:line="360" w:lineRule="auto"/>
        <w:rPr>
          <w:rFonts w:ascii="宋体" w:hAnsi="宋体" w:eastAsia="宋体"/>
          <w:color w:val="000000" w:themeColor="text1"/>
          <w:spacing w:val="-6"/>
          <w:szCs w:val="21"/>
          <w14:textFill>
            <w14:solidFill>
              <w14:schemeClr w14:val="tx1"/>
            </w14:solidFill>
          </w14:textFill>
        </w:rPr>
      </w:pPr>
      <w:r>
        <w:rPr>
          <w:rFonts w:hint="eastAsia" w:ascii="宋体" w:hAnsi="宋体" w:eastAsia="宋体"/>
          <w:color w:val="000000" w:themeColor="text1"/>
          <w:spacing w:val="-6"/>
          <w:szCs w:val="21"/>
          <w14:textFill>
            <w14:solidFill>
              <w14:schemeClr w14:val="tx1"/>
            </w14:solidFill>
          </w14:textFill>
        </w:rPr>
        <w:t>注：</w:t>
      </w:r>
      <w:r>
        <w:rPr>
          <w:rFonts w:ascii="宋体" w:hAnsi="宋体" w:eastAsia="宋体" w:cs="Times New Roman"/>
          <w:spacing w:val="-6"/>
          <w:kern w:val="0"/>
          <w:szCs w:val="21"/>
          <w:lang w:eastAsia="zh-Hans"/>
        </w:rPr>
        <w:t>“</w:t>
      </w:r>
      <w:r>
        <w:rPr>
          <w:rFonts w:hint="eastAsia" w:ascii="宋体" w:hAnsi="宋体" w:eastAsia="宋体"/>
          <w:color w:val="000000" w:themeColor="text1"/>
          <w:spacing w:val="-6"/>
          <w:szCs w:val="21"/>
          <w14:textFill>
            <w14:solidFill>
              <w14:schemeClr w14:val="tx1"/>
            </w14:solidFill>
          </w14:textFill>
        </w:rPr>
        <w:t>审查内容</w:t>
      </w:r>
      <w:r>
        <w:rPr>
          <w:rFonts w:ascii="宋体" w:hAnsi="宋体" w:eastAsia="宋体" w:cs="Times New Roman"/>
          <w:spacing w:val="-6"/>
          <w:kern w:val="0"/>
          <w:szCs w:val="21"/>
          <w:lang w:eastAsia="zh-Hans"/>
        </w:rPr>
        <w:t>”</w:t>
      </w:r>
      <w:r>
        <w:rPr>
          <w:rFonts w:hint="eastAsia" w:ascii="宋体" w:hAnsi="宋体" w:eastAsia="宋体"/>
          <w:color w:val="000000" w:themeColor="text1"/>
          <w:spacing w:val="-6"/>
          <w:szCs w:val="21"/>
          <w14:textFill>
            <w14:solidFill>
              <w14:schemeClr w14:val="tx1"/>
            </w14:solidFill>
          </w14:textFill>
        </w:rPr>
        <w:t xml:space="preserve">按招标文件《第四章 </w:t>
      </w:r>
      <w:r>
        <w:rPr>
          <w:rFonts w:ascii="宋体" w:hAnsi="宋体" w:eastAsia="宋体"/>
          <w:color w:val="000000" w:themeColor="text1"/>
          <w:spacing w:val="-6"/>
          <w:szCs w:val="21"/>
          <w14:textFill>
            <w14:solidFill>
              <w14:schemeClr w14:val="tx1"/>
            </w14:solidFill>
          </w14:textFill>
        </w:rPr>
        <w:t>评标</w:t>
      </w:r>
      <w:r>
        <w:rPr>
          <w:rFonts w:hint="eastAsia" w:ascii="宋体" w:hAnsi="宋体" w:eastAsia="宋体"/>
          <w:color w:val="000000" w:themeColor="text1"/>
          <w:spacing w:val="-6"/>
          <w:szCs w:val="21"/>
          <w14:textFill>
            <w14:solidFill>
              <w14:schemeClr w14:val="tx1"/>
            </w14:solidFill>
          </w14:textFill>
        </w:rPr>
        <w:t>》之</w:t>
      </w:r>
      <w:r>
        <w:rPr>
          <w:rFonts w:ascii="宋体" w:hAnsi="宋体" w:eastAsia="宋体" w:cs="Times New Roman"/>
          <w:b/>
          <w:bCs/>
          <w:spacing w:val="-6"/>
          <w:kern w:val="0"/>
          <w:szCs w:val="21"/>
          <w:u w:val="single"/>
          <w:lang w:eastAsia="zh-Hans"/>
        </w:rPr>
        <w:t>表一资格性审查表</w:t>
      </w:r>
      <w:r>
        <w:rPr>
          <w:rFonts w:hint="eastAsia" w:ascii="宋体" w:hAnsi="宋体" w:eastAsia="宋体" w:cs="Times New Roman"/>
          <w:b/>
          <w:bCs/>
          <w:spacing w:val="-6"/>
          <w:kern w:val="0"/>
          <w:szCs w:val="21"/>
          <w:u w:val="single"/>
          <w:lang w:eastAsia="zh-Hans"/>
        </w:rPr>
        <w:t>、</w:t>
      </w:r>
      <w:r>
        <w:rPr>
          <w:rFonts w:hint="eastAsia" w:ascii="宋体" w:hAnsi="宋体" w:eastAsia="宋体"/>
          <w:b/>
          <w:bCs/>
          <w:color w:val="000000" w:themeColor="text1"/>
          <w:spacing w:val="-6"/>
          <w:szCs w:val="21"/>
          <w:u w:val="single"/>
          <w14:textFill>
            <w14:solidFill>
              <w14:schemeClr w14:val="tx1"/>
            </w14:solidFill>
          </w14:textFill>
        </w:rPr>
        <w:t>表二符合性审查表</w:t>
      </w:r>
      <w:r>
        <w:rPr>
          <w:rFonts w:hint="eastAsia" w:ascii="宋体" w:hAnsi="宋体" w:eastAsia="宋体"/>
          <w:color w:val="000000" w:themeColor="text1"/>
          <w:spacing w:val="-6"/>
          <w:szCs w:val="21"/>
          <w14:textFill>
            <w14:solidFill>
              <w14:schemeClr w14:val="tx1"/>
            </w14:solidFill>
          </w14:textFill>
        </w:rPr>
        <w:t>相对应条款填写。</w:t>
      </w:r>
    </w:p>
    <w:p w14:paraId="52A2C841">
      <w:pPr>
        <w:pageBreakBefore/>
        <w:tabs>
          <w:tab w:val="left" w:pos="284"/>
          <w:tab w:val="left" w:pos="426"/>
          <w:tab w:val="left" w:pos="709"/>
        </w:tabs>
        <w:jc w:val="left"/>
        <w:rPr>
          <w:rFonts w:ascii="宋体" w:hAnsi="宋体" w:eastAsia="宋体"/>
          <w:b/>
          <w:bCs/>
          <w:szCs w:val="21"/>
        </w:rPr>
      </w:pPr>
      <w:bookmarkStart w:id="51" w:name="_Hlk169787866"/>
      <w:r>
        <w:rPr>
          <w:rFonts w:ascii="宋体" w:hAnsi="宋体" w:eastAsia="宋体"/>
          <w:b/>
          <w:bCs/>
          <w:sz w:val="24"/>
          <w:szCs w:val="24"/>
        </w:rPr>
        <w:t>详细评审</w:t>
      </w:r>
      <w:r>
        <w:rPr>
          <w:rFonts w:hint="eastAsia" w:ascii="宋体" w:hAnsi="宋体" w:eastAsia="宋体"/>
          <w:b/>
          <w:bCs/>
          <w:sz w:val="24"/>
          <w:szCs w:val="24"/>
        </w:rPr>
        <w:t>索引表</w:t>
      </w:r>
      <w:bookmarkEnd w:id="51"/>
      <w:r>
        <w:rPr>
          <w:rFonts w:hint="eastAsia" w:ascii="宋体" w:hAnsi="宋体" w:eastAsia="宋体"/>
          <w:b/>
          <w:bCs/>
          <w:sz w:val="24"/>
          <w:szCs w:val="24"/>
        </w:rPr>
        <w:t>格式</w:t>
      </w:r>
    </w:p>
    <w:p w14:paraId="49E95316">
      <w:pPr>
        <w:spacing w:before="435" w:beforeLines="100" w:after="435" w:afterLines="100"/>
        <w:jc w:val="center"/>
        <w:rPr>
          <w:rFonts w:ascii="宋体" w:hAnsi="宋体" w:eastAsia="宋体"/>
          <w:b/>
          <w:color w:val="000000" w:themeColor="text1"/>
          <w:spacing w:val="20"/>
          <w:szCs w:val="21"/>
          <w14:textFill>
            <w14:solidFill>
              <w14:schemeClr w14:val="tx1"/>
            </w14:solidFill>
          </w14:textFill>
        </w:rPr>
      </w:pPr>
      <w:r>
        <w:rPr>
          <w:rFonts w:ascii="宋体" w:hAnsi="宋体" w:eastAsia="宋体"/>
          <w:b/>
          <w:color w:val="000000" w:themeColor="text1"/>
          <w:spacing w:val="20"/>
          <w:sz w:val="28"/>
          <w:szCs w:val="28"/>
          <w14:textFill>
            <w14:solidFill>
              <w14:schemeClr w14:val="tx1"/>
            </w14:solidFill>
          </w14:textFill>
        </w:rPr>
        <w:t>详细评审</w:t>
      </w:r>
      <w:r>
        <w:rPr>
          <w:rFonts w:hint="eastAsia" w:ascii="宋体" w:hAnsi="宋体" w:eastAsia="宋体"/>
          <w:b/>
          <w:color w:val="000000" w:themeColor="text1"/>
          <w:spacing w:val="20"/>
          <w:sz w:val="28"/>
          <w:szCs w:val="28"/>
          <w14:textFill>
            <w14:solidFill>
              <w14:schemeClr w14:val="tx1"/>
            </w14:solidFill>
          </w14:textFill>
        </w:rPr>
        <w:t>索引表</w:t>
      </w: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697"/>
        <w:gridCol w:w="3703"/>
        <w:gridCol w:w="2684"/>
      </w:tblGrid>
      <w:tr w14:paraId="0B944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17254351">
            <w:pPr>
              <w:spacing w:line="360" w:lineRule="auto"/>
              <w:jc w:val="center"/>
              <w:rPr>
                <w:rFonts w:ascii="宋体" w:hAnsi="宋体" w:eastAsia="宋体"/>
                <w:b/>
                <w:color w:val="000000" w:themeColor="text1"/>
                <w:sz w:val="24"/>
                <w:szCs w:val="24"/>
                <w14:textFill>
                  <w14:solidFill>
                    <w14:schemeClr w14:val="tx1"/>
                  </w14:solidFill>
                </w14:textFill>
              </w:rPr>
            </w:pPr>
            <w:r>
              <w:rPr>
                <w:rFonts w:hint="eastAsia" w:ascii="宋体" w:eastAsia="宋体"/>
                <w:b/>
                <w:color w:val="000000" w:themeColor="text1"/>
                <w:szCs w:val="21"/>
                <w14:textFill>
                  <w14:solidFill>
                    <w14:schemeClr w14:val="tx1"/>
                  </w14:solidFill>
                </w14:textFill>
              </w:rPr>
              <w:t>商务评审细则</w:t>
            </w:r>
          </w:p>
        </w:tc>
      </w:tr>
      <w:tr w14:paraId="54424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2D398FF">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序号</w:t>
            </w:r>
          </w:p>
        </w:tc>
        <w:tc>
          <w:tcPr>
            <w:tcW w:w="914" w:type="pct"/>
            <w:vAlign w:val="center"/>
          </w:tcPr>
          <w:p w14:paraId="1AA15A03">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评分内容</w:t>
            </w:r>
          </w:p>
        </w:tc>
        <w:tc>
          <w:tcPr>
            <w:tcW w:w="1994" w:type="pct"/>
            <w:vAlign w:val="center"/>
          </w:tcPr>
          <w:p w14:paraId="3B06E3BB">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评分标准</w:t>
            </w:r>
          </w:p>
        </w:tc>
        <w:tc>
          <w:tcPr>
            <w:tcW w:w="1445" w:type="pct"/>
            <w:vAlign w:val="center"/>
          </w:tcPr>
          <w:p w14:paraId="125B5115">
            <w:pPr>
              <w:spacing w:line="360" w:lineRule="auto"/>
              <w:jc w:val="center"/>
              <w:rPr>
                <w:rFonts w:ascii="宋体" w:hAnsi="宋体" w:eastAsia="宋体"/>
                <w:b/>
                <w:color w:val="000000" w:themeColor="text1"/>
                <w:szCs w:val="21"/>
                <w14:textFill>
                  <w14:solidFill>
                    <w14:schemeClr w14:val="tx1"/>
                  </w14:solidFill>
                </w14:textFill>
              </w:rPr>
            </w:pPr>
            <w:r>
              <w:rPr>
                <w:rFonts w:ascii="宋体" w:hAnsi="宋体" w:eastAsia="宋体"/>
                <w:b/>
                <w:bCs/>
                <w:color w:val="000000" w:themeColor="text1"/>
                <w:spacing w:val="-10"/>
                <w:szCs w:val="21"/>
                <w14:textFill>
                  <w14:solidFill>
                    <w14:schemeClr w14:val="tx1"/>
                  </w14:solidFill>
                </w14:textFill>
              </w:rPr>
              <w:t>投标文件</w:t>
            </w:r>
            <w:r>
              <w:rPr>
                <w:rFonts w:hint="eastAsia" w:ascii="宋体" w:hAnsi="宋体" w:eastAsia="宋体"/>
                <w:b/>
                <w:bCs/>
              </w:rPr>
              <w:t>对应页码范围</w:t>
            </w:r>
          </w:p>
        </w:tc>
      </w:tr>
      <w:tr w14:paraId="7FF45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D6E6CA6">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604ACE0E">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30CFE04E">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31DCD56C">
            <w:pPr>
              <w:spacing w:line="360" w:lineRule="auto"/>
              <w:jc w:val="center"/>
              <w:rPr>
                <w:rFonts w:ascii="宋体" w:hAnsi="宋体" w:eastAsia="宋体"/>
                <w:b/>
                <w:color w:val="000000" w:themeColor="text1"/>
                <w:szCs w:val="21"/>
                <w14:textFill>
                  <w14:solidFill>
                    <w14:schemeClr w14:val="tx1"/>
                  </w14:solidFill>
                </w14:textFill>
              </w:rPr>
            </w:pPr>
          </w:p>
        </w:tc>
      </w:tr>
      <w:tr w14:paraId="609D4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B8E0F7E">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73F52E4F">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1FFE8F3A">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03C967BC">
            <w:pPr>
              <w:spacing w:line="360" w:lineRule="auto"/>
              <w:jc w:val="center"/>
              <w:rPr>
                <w:rFonts w:ascii="宋体" w:hAnsi="宋体" w:eastAsia="宋体"/>
                <w:b/>
                <w:color w:val="000000" w:themeColor="text1"/>
                <w:szCs w:val="21"/>
                <w14:textFill>
                  <w14:solidFill>
                    <w14:schemeClr w14:val="tx1"/>
                  </w14:solidFill>
                </w14:textFill>
              </w:rPr>
            </w:pPr>
          </w:p>
        </w:tc>
      </w:tr>
      <w:tr w14:paraId="06DC7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D69FE2F">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3648FD22">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2923D3B3">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5E7D4567">
            <w:pPr>
              <w:spacing w:line="360" w:lineRule="auto"/>
              <w:jc w:val="center"/>
              <w:rPr>
                <w:rFonts w:ascii="宋体" w:hAnsi="宋体" w:eastAsia="宋体"/>
                <w:b/>
                <w:color w:val="000000" w:themeColor="text1"/>
                <w:szCs w:val="21"/>
                <w14:textFill>
                  <w14:solidFill>
                    <w14:schemeClr w14:val="tx1"/>
                  </w14:solidFill>
                </w14:textFill>
              </w:rPr>
            </w:pPr>
          </w:p>
        </w:tc>
      </w:tr>
      <w:tr w14:paraId="69E5B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2B27748">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2396D7CE">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6CE1BAB9">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2AC53096">
            <w:pPr>
              <w:spacing w:line="360" w:lineRule="auto"/>
              <w:jc w:val="center"/>
              <w:rPr>
                <w:rFonts w:ascii="宋体" w:hAnsi="宋体" w:eastAsia="宋体"/>
                <w:b/>
                <w:color w:val="000000" w:themeColor="text1"/>
                <w:szCs w:val="21"/>
                <w14:textFill>
                  <w14:solidFill>
                    <w14:schemeClr w14:val="tx1"/>
                  </w14:solidFill>
                </w14:textFill>
              </w:rPr>
            </w:pPr>
          </w:p>
        </w:tc>
      </w:tr>
      <w:tr w14:paraId="340AF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2D4B1254">
            <w:pPr>
              <w:spacing w:line="360" w:lineRule="auto"/>
              <w:jc w:val="center"/>
              <w:rPr>
                <w:rFonts w:ascii="宋体" w:hAnsi="宋体" w:eastAsia="宋体"/>
                <w:b/>
                <w:color w:val="000000" w:themeColor="text1"/>
                <w:sz w:val="24"/>
                <w:szCs w:val="24"/>
                <w14:textFill>
                  <w14:solidFill>
                    <w14:schemeClr w14:val="tx1"/>
                  </w14:solidFill>
                </w14:textFill>
              </w:rPr>
            </w:pPr>
            <w:r>
              <w:rPr>
                <w:rFonts w:hint="eastAsia" w:ascii="宋体" w:eastAsia="宋体"/>
                <w:b/>
                <w:color w:val="000000" w:themeColor="text1"/>
                <w:szCs w:val="21"/>
                <w14:textFill>
                  <w14:solidFill>
                    <w14:schemeClr w14:val="tx1"/>
                  </w14:solidFill>
                </w14:textFill>
              </w:rPr>
              <w:t>技术评审细则</w:t>
            </w:r>
          </w:p>
        </w:tc>
      </w:tr>
      <w:tr w14:paraId="73671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4BD4086">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序号</w:t>
            </w:r>
          </w:p>
        </w:tc>
        <w:tc>
          <w:tcPr>
            <w:tcW w:w="914" w:type="pct"/>
            <w:vAlign w:val="center"/>
          </w:tcPr>
          <w:p w14:paraId="0B612814">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评分内容</w:t>
            </w:r>
          </w:p>
        </w:tc>
        <w:tc>
          <w:tcPr>
            <w:tcW w:w="1994" w:type="pct"/>
            <w:vAlign w:val="center"/>
          </w:tcPr>
          <w:p w14:paraId="294B411D">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评分标准</w:t>
            </w:r>
          </w:p>
        </w:tc>
        <w:tc>
          <w:tcPr>
            <w:tcW w:w="1445" w:type="pct"/>
            <w:vAlign w:val="center"/>
          </w:tcPr>
          <w:p w14:paraId="470DB1B4">
            <w:pPr>
              <w:spacing w:line="360" w:lineRule="auto"/>
              <w:jc w:val="center"/>
              <w:rPr>
                <w:rFonts w:ascii="宋体" w:hAnsi="宋体" w:eastAsia="宋体"/>
                <w:b/>
                <w:color w:val="000000" w:themeColor="text1"/>
                <w:szCs w:val="21"/>
                <w14:textFill>
                  <w14:solidFill>
                    <w14:schemeClr w14:val="tx1"/>
                  </w14:solidFill>
                </w14:textFill>
              </w:rPr>
            </w:pPr>
            <w:r>
              <w:rPr>
                <w:rFonts w:ascii="宋体" w:hAnsi="宋体" w:eastAsia="宋体"/>
                <w:b/>
                <w:bCs/>
                <w:color w:val="000000" w:themeColor="text1"/>
                <w:spacing w:val="-10"/>
                <w:szCs w:val="21"/>
                <w14:textFill>
                  <w14:solidFill>
                    <w14:schemeClr w14:val="tx1"/>
                  </w14:solidFill>
                </w14:textFill>
              </w:rPr>
              <w:t>投标文件</w:t>
            </w:r>
            <w:r>
              <w:rPr>
                <w:rFonts w:hint="eastAsia" w:ascii="宋体" w:hAnsi="宋体" w:eastAsia="宋体"/>
                <w:b/>
                <w:bCs/>
              </w:rPr>
              <w:t>对应页码范围</w:t>
            </w:r>
          </w:p>
        </w:tc>
      </w:tr>
      <w:tr w14:paraId="30BD5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57A728C">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55893841">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0C3FF5D3">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0CC65BD3">
            <w:pPr>
              <w:spacing w:line="360" w:lineRule="auto"/>
              <w:jc w:val="center"/>
              <w:rPr>
                <w:rFonts w:ascii="宋体" w:hAnsi="宋体" w:eastAsia="宋体"/>
                <w:b/>
                <w:color w:val="000000" w:themeColor="text1"/>
                <w:szCs w:val="21"/>
                <w14:textFill>
                  <w14:solidFill>
                    <w14:schemeClr w14:val="tx1"/>
                  </w14:solidFill>
                </w14:textFill>
              </w:rPr>
            </w:pPr>
          </w:p>
        </w:tc>
      </w:tr>
      <w:tr w14:paraId="50480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B722A19">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15C5FAC5">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67320A71">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05C777B5">
            <w:pPr>
              <w:spacing w:line="360" w:lineRule="auto"/>
              <w:jc w:val="center"/>
              <w:rPr>
                <w:rFonts w:ascii="宋体" w:hAnsi="宋体" w:eastAsia="宋体"/>
                <w:b/>
                <w:color w:val="000000" w:themeColor="text1"/>
                <w:szCs w:val="21"/>
                <w14:textFill>
                  <w14:solidFill>
                    <w14:schemeClr w14:val="tx1"/>
                  </w14:solidFill>
                </w14:textFill>
              </w:rPr>
            </w:pPr>
          </w:p>
        </w:tc>
      </w:tr>
      <w:tr w14:paraId="20BC7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6768931">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3C7A04BA">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30142B03">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10C2EAF5">
            <w:pPr>
              <w:spacing w:line="360" w:lineRule="auto"/>
              <w:jc w:val="center"/>
              <w:rPr>
                <w:rFonts w:ascii="宋体" w:hAnsi="宋体" w:eastAsia="宋体"/>
                <w:b/>
                <w:color w:val="000000" w:themeColor="text1"/>
                <w:szCs w:val="21"/>
                <w14:textFill>
                  <w14:solidFill>
                    <w14:schemeClr w14:val="tx1"/>
                  </w14:solidFill>
                </w14:textFill>
              </w:rPr>
            </w:pPr>
          </w:p>
        </w:tc>
      </w:tr>
      <w:tr w14:paraId="176C1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A0D2029">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6497B49C">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2AF8BE48">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23A8A26E">
            <w:pPr>
              <w:spacing w:line="360" w:lineRule="auto"/>
              <w:jc w:val="center"/>
              <w:rPr>
                <w:rFonts w:ascii="宋体" w:hAnsi="宋体" w:eastAsia="宋体"/>
                <w:b/>
                <w:color w:val="000000" w:themeColor="text1"/>
                <w:szCs w:val="21"/>
                <w14:textFill>
                  <w14:solidFill>
                    <w14:schemeClr w14:val="tx1"/>
                  </w14:solidFill>
                </w14:textFill>
              </w:rPr>
            </w:pPr>
          </w:p>
        </w:tc>
      </w:tr>
      <w:tr w14:paraId="27B60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93C8222">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1159211B">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2357B89D">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77523486">
            <w:pPr>
              <w:spacing w:line="360" w:lineRule="auto"/>
              <w:jc w:val="center"/>
              <w:rPr>
                <w:rFonts w:ascii="宋体" w:hAnsi="宋体" w:eastAsia="宋体"/>
                <w:b/>
                <w:color w:val="000000" w:themeColor="text1"/>
                <w:szCs w:val="21"/>
                <w14:textFill>
                  <w14:solidFill>
                    <w14:schemeClr w14:val="tx1"/>
                  </w14:solidFill>
                </w14:textFill>
              </w:rPr>
            </w:pPr>
          </w:p>
        </w:tc>
      </w:tr>
      <w:tr w14:paraId="4ABD0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C8C9718">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088D2C38">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2AE6122C">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5753F3CE">
            <w:pPr>
              <w:spacing w:line="360" w:lineRule="auto"/>
              <w:jc w:val="center"/>
              <w:rPr>
                <w:rFonts w:ascii="宋体" w:hAnsi="宋体" w:eastAsia="宋体"/>
                <w:b/>
                <w:color w:val="000000" w:themeColor="text1"/>
                <w:szCs w:val="21"/>
                <w14:textFill>
                  <w14:solidFill>
                    <w14:schemeClr w14:val="tx1"/>
                  </w14:solidFill>
                </w14:textFill>
              </w:rPr>
            </w:pPr>
          </w:p>
        </w:tc>
      </w:tr>
    </w:tbl>
    <w:p w14:paraId="51AECA3D">
      <w:pPr>
        <w:spacing w:before="217" w:beforeLines="50" w:line="360" w:lineRule="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注：按招标文件</w:t>
      </w:r>
      <w:r>
        <w:rPr>
          <w:rFonts w:ascii="宋体" w:hAnsi="宋体" w:eastAsia="宋体"/>
          <w:color w:val="000000" w:themeColor="text1"/>
          <w:szCs w:val="21"/>
          <w14:textFill>
            <w14:solidFill>
              <w14:schemeClr w14:val="tx1"/>
            </w14:solidFill>
          </w14:textFill>
        </w:rPr>
        <w:t>《第四章 评标》之</w:t>
      </w:r>
      <w:r>
        <w:rPr>
          <w:rFonts w:ascii="宋体" w:hAnsi="宋体" w:eastAsia="宋体"/>
          <w:b/>
          <w:bCs/>
          <w:color w:val="000000" w:themeColor="text1"/>
          <w:szCs w:val="21"/>
          <w:u w:val="single"/>
          <w14:textFill>
            <w14:solidFill>
              <w14:schemeClr w14:val="tx1"/>
            </w14:solidFill>
          </w14:textFill>
        </w:rPr>
        <w:t>详细评审</w:t>
      </w:r>
      <w:r>
        <w:rPr>
          <w:rFonts w:hint="eastAsia" w:ascii="宋体" w:hAnsi="宋体" w:eastAsia="宋体"/>
          <w:b/>
          <w:bCs/>
          <w:color w:val="000000" w:themeColor="text1"/>
          <w:szCs w:val="21"/>
          <w:u w:val="single"/>
          <w14:textFill>
            <w14:solidFill>
              <w14:schemeClr w14:val="tx1"/>
            </w14:solidFill>
          </w14:textFill>
        </w:rPr>
        <w:t>表</w:t>
      </w:r>
      <w:r>
        <w:rPr>
          <w:rFonts w:hint="eastAsia" w:ascii="宋体" w:hAnsi="宋体" w:eastAsia="宋体"/>
          <w:color w:val="000000" w:themeColor="text1"/>
          <w:szCs w:val="21"/>
          <w14:textFill>
            <w14:solidFill>
              <w14:schemeClr w14:val="tx1"/>
            </w14:solidFill>
          </w14:textFill>
        </w:rPr>
        <w:t>相对应条款填写。</w:t>
      </w:r>
    </w:p>
    <w:p w14:paraId="28E9FB41">
      <w:pPr>
        <w:pageBreakBefore/>
        <w:rPr>
          <w:rFonts w:ascii="宋体" w:hAnsi="宋体" w:eastAsia="宋体"/>
          <w:b/>
          <w:bCs/>
        </w:rPr>
      </w:pPr>
      <w:bookmarkStart w:id="52" w:name="_Toc169799787"/>
      <w:r>
        <w:rPr>
          <w:rFonts w:ascii="宋体" w:hAnsi="宋体" w:eastAsia="宋体"/>
          <w:b/>
          <w:bCs/>
          <w:sz w:val="24"/>
          <w:szCs w:val="28"/>
        </w:rPr>
        <w:t>格式一：</w:t>
      </w:r>
      <w:bookmarkEnd w:id="52"/>
    </w:p>
    <w:p w14:paraId="3358B765">
      <w:pPr>
        <w:widowControl/>
        <w:spacing w:after="435" w:afterLines="10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投标函</w:t>
      </w:r>
    </w:p>
    <w:p w14:paraId="6D805BCE">
      <w:pPr>
        <w:widowControl/>
        <w:spacing w:after="217" w:afterLines="50"/>
        <w:jc w:val="left"/>
        <w:rPr>
          <w:rFonts w:ascii="Calibri" w:hAnsi="Calibri" w:eastAsia="宋体" w:cs="Times New Roman"/>
          <w:b/>
          <w:bCs/>
          <w:color w:val="auto"/>
          <w:kern w:val="0"/>
          <w:sz w:val="20"/>
          <w:szCs w:val="20"/>
          <w:lang w:eastAsia="zh-Hans"/>
        </w:rPr>
      </w:pPr>
      <w:r>
        <w:rPr>
          <w:rFonts w:ascii="Calibri" w:hAnsi="Calibri" w:eastAsia="宋体" w:cs="Times New Roman"/>
          <w:b/>
          <w:bCs/>
          <w:kern w:val="0"/>
          <w:sz w:val="20"/>
          <w:szCs w:val="20"/>
          <w:lang w:eastAsia="zh-Hans"/>
        </w:rPr>
        <w:t>致</w:t>
      </w:r>
      <w:r>
        <w:rPr>
          <w:rFonts w:hint="eastAsia" w:ascii="Calibri" w:hAnsi="Calibri" w:eastAsia="宋体" w:cs="Times New Roman"/>
          <w:b/>
          <w:bCs/>
          <w:kern w:val="0"/>
          <w:sz w:val="20"/>
          <w:szCs w:val="20"/>
          <w:lang w:eastAsia="zh-Hans"/>
        </w:rPr>
        <w:t>：</w:t>
      </w:r>
      <w:r>
        <w:rPr>
          <w:rFonts w:ascii="Calibri" w:hAnsi="Calibri" w:eastAsia="宋体" w:cs="Times New Roman"/>
          <w:b/>
          <w:bCs/>
          <w:kern w:val="0"/>
          <w:sz w:val="20"/>
          <w:szCs w:val="20"/>
          <w:lang w:eastAsia="zh-Hans"/>
        </w:rPr>
        <w:t>广东智汇城市招标采购有限公司</w:t>
      </w:r>
    </w:p>
    <w:p w14:paraId="704EDDED">
      <w:pPr>
        <w:widowControl/>
        <w:ind w:firstLine="200"/>
        <w:jc w:val="left"/>
        <w:rPr>
          <w:rFonts w:ascii="Calibri" w:hAnsi="Calibri" w:eastAsia="宋体" w:cs="Times New Roman"/>
          <w:color w:val="auto"/>
          <w:kern w:val="0"/>
          <w:szCs w:val="21"/>
          <w:lang w:eastAsia="zh-Hans"/>
        </w:rPr>
      </w:pPr>
      <w:r>
        <w:rPr>
          <w:rFonts w:ascii="Calibri" w:hAnsi="Calibri" w:eastAsia="宋体" w:cs="Times New Roman"/>
          <w:color w:val="auto"/>
          <w:kern w:val="0"/>
          <w:szCs w:val="21"/>
          <w:lang w:eastAsia="zh-Hans"/>
        </w:rPr>
        <w:t>你方组织的</w:t>
      </w:r>
      <w:r>
        <w:rPr>
          <w:rFonts w:hint="eastAsia" w:ascii="Calibri" w:hAnsi="Calibri" w:eastAsia="宋体" w:cs="Times New Roman"/>
          <w:color w:val="auto"/>
          <w:kern w:val="0"/>
          <w:szCs w:val="21"/>
          <w:u w:val="single"/>
        </w:rPr>
        <w:t xml:space="preserve">    （项目名称）          </w:t>
      </w:r>
      <w:r>
        <w:rPr>
          <w:rFonts w:ascii="Calibri" w:hAnsi="Calibri" w:eastAsia="宋体" w:cs="Times New Roman"/>
          <w:color w:val="auto"/>
          <w:kern w:val="0"/>
          <w:szCs w:val="21"/>
          <w:lang w:eastAsia="zh-Hans"/>
        </w:rPr>
        <w:t>项目的招标</w:t>
      </w:r>
      <w:r>
        <w:rPr>
          <w:rFonts w:hint="eastAsia" w:ascii="Calibri" w:hAnsi="Calibri" w:eastAsia="宋体" w:cs="Times New Roman"/>
          <w:color w:val="auto"/>
          <w:kern w:val="0"/>
          <w:szCs w:val="21"/>
          <w:lang w:eastAsia="zh-Hans"/>
        </w:rPr>
        <w:t>（</w:t>
      </w:r>
      <w:r>
        <w:rPr>
          <w:rFonts w:ascii="Calibri" w:hAnsi="Calibri" w:eastAsia="宋体" w:cs="Times New Roman"/>
          <w:color w:val="auto"/>
          <w:kern w:val="0"/>
          <w:szCs w:val="21"/>
          <w:lang w:eastAsia="zh-Hans"/>
        </w:rPr>
        <w:t>项目编号为：</w:t>
      </w:r>
      <w:r>
        <w:rPr>
          <w:rFonts w:hint="eastAsia" w:ascii="Calibri" w:hAnsi="Calibri" w:eastAsia="宋体" w:cs="Times New Roman"/>
          <w:color w:val="auto"/>
          <w:kern w:val="0"/>
          <w:szCs w:val="21"/>
          <w:u w:val="single"/>
        </w:rPr>
        <w:t xml:space="preserve">               </w:t>
      </w:r>
      <w:r>
        <w:rPr>
          <w:rFonts w:hint="eastAsia" w:ascii="Calibri" w:hAnsi="Calibri" w:eastAsia="宋体" w:cs="Times New Roman"/>
          <w:color w:val="auto"/>
          <w:kern w:val="0"/>
          <w:szCs w:val="21"/>
        </w:rPr>
        <w:t>）</w:t>
      </w:r>
      <w:r>
        <w:rPr>
          <w:rFonts w:ascii="Calibri" w:hAnsi="Calibri" w:eastAsia="宋体" w:cs="Times New Roman"/>
          <w:color w:val="auto"/>
          <w:kern w:val="0"/>
          <w:szCs w:val="21"/>
          <w:lang w:eastAsia="zh-Hans"/>
        </w:rPr>
        <w:t>，我方愿参与投标。</w:t>
      </w:r>
    </w:p>
    <w:p w14:paraId="1CA4C31D">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我方确认收到贵方提供的</w:t>
      </w:r>
      <w:r>
        <w:rPr>
          <w:rFonts w:hint="eastAsia" w:ascii="宋体" w:hAnsi="宋体" w:eastAsia="宋体" w:cs="Times New Roman"/>
          <w:color w:val="auto"/>
          <w:kern w:val="0"/>
          <w:szCs w:val="21"/>
          <w:u w:val="single"/>
        </w:rPr>
        <w:t xml:space="preserve">      （项目名称）        </w:t>
      </w:r>
      <w:r>
        <w:rPr>
          <w:rFonts w:ascii="宋体" w:hAnsi="宋体" w:eastAsia="宋体" w:cs="Times New Roman"/>
          <w:color w:val="auto"/>
          <w:kern w:val="0"/>
          <w:szCs w:val="21"/>
          <w:lang w:eastAsia="zh-Hans"/>
        </w:rPr>
        <w:t>项目的招标文件的全部内容。</w:t>
      </w:r>
    </w:p>
    <w:p w14:paraId="77DDE64E">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14:paraId="16D93613">
      <w:pPr>
        <w:widowControl/>
        <w:jc w:val="left"/>
        <w:rPr>
          <w:rFonts w:ascii="Calibri" w:hAnsi="Calibri" w:eastAsia="宋体" w:cs="Times New Roman"/>
          <w:color w:val="auto"/>
          <w:kern w:val="0"/>
          <w:sz w:val="20"/>
          <w:szCs w:val="20"/>
          <w:lang w:eastAsia="zh-Hans"/>
        </w:rPr>
      </w:pPr>
      <w:r>
        <w:rPr>
          <w:rFonts w:hint="eastAsia" w:ascii="宋体" w:hAnsi="宋体" w:eastAsia="宋体" w:cs="Times New Roman"/>
          <w:color w:val="auto"/>
          <w:kern w:val="0"/>
          <w:szCs w:val="21"/>
          <w:u w:val="single"/>
        </w:rPr>
        <w:t xml:space="preserve">     </w:t>
      </w:r>
      <w:r>
        <w:rPr>
          <w:rFonts w:ascii="宋体" w:hAnsi="宋体" w:eastAsia="宋体" w:cs="Times New Roman"/>
          <w:color w:val="auto"/>
          <w:kern w:val="0"/>
          <w:szCs w:val="21"/>
          <w:u w:val="single"/>
          <w:lang w:eastAsia="zh-Hans"/>
        </w:rPr>
        <w:t>(投标人名称)</w:t>
      </w:r>
      <w:r>
        <w:rPr>
          <w:rFonts w:hint="eastAsia" w:ascii="宋体" w:hAnsi="宋体" w:eastAsia="宋体" w:cs="Times New Roman"/>
          <w:color w:val="auto"/>
          <w:kern w:val="0"/>
          <w:szCs w:val="21"/>
          <w:u w:val="single"/>
        </w:rPr>
        <w:t xml:space="preserve">           </w:t>
      </w:r>
      <w:r>
        <w:rPr>
          <w:rFonts w:ascii="宋体" w:hAnsi="宋体" w:eastAsia="宋体" w:cs="Times New Roman"/>
          <w:color w:val="auto"/>
          <w:kern w:val="0"/>
          <w:szCs w:val="21"/>
          <w:lang w:eastAsia="zh-Hans"/>
        </w:rPr>
        <w:t>作为投标人正式授权</w:t>
      </w:r>
      <w:r>
        <w:rPr>
          <w:rFonts w:hint="eastAsia" w:ascii="宋体" w:hAnsi="宋体" w:eastAsia="宋体" w:cs="Times New Roman"/>
          <w:color w:val="auto"/>
          <w:kern w:val="0"/>
          <w:szCs w:val="21"/>
          <w:u w:val="single"/>
        </w:rPr>
        <w:t xml:space="preserve">     </w:t>
      </w:r>
      <w:r>
        <w:rPr>
          <w:rFonts w:ascii="宋体" w:hAnsi="宋体" w:eastAsia="宋体" w:cs="Times New Roman"/>
          <w:color w:val="auto"/>
          <w:kern w:val="0"/>
          <w:szCs w:val="21"/>
          <w:u w:val="single"/>
          <w:lang w:eastAsia="zh-Hans"/>
        </w:rPr>
        <w:t>(授权代表全名,职务)</w:t>
      </w:r>
      <w:r>
        <w:rPr>
          <w:rFonts w:hint="eastAsia" w:ascii="宋体" w:hAnsi="宋体" w:eastAsia="宋体" w:cs="Times New Roman"/>
          <w:color w:val="auto"/>
          <w:kern w:val="0"/>
          <w:szCs w:val="21"/>
          <w:u w:val="single"/>
        </w:rPr>
        <w:t xml:space="preserve">      </w:t>
      </w:r>
      <w:r>
        <w:rPr>
          <w:rFonts w:ascii="宋体" w:hAnsi="宋体" w:eastAsia="宋体" w:cs="Times New Roman"/>
          <w:color w:val="auto"/>
          <w:kern w:val="0"/>
          <w:szCs w:val="21"/>
          <w:lang w:eastAsia="zh-Hans"/>
        </w:rPr>
        <w:t>代表我方全权处理有关本投标的一切事宜。</w:t>
      </w:r>
    </w:p>
    <w:p w14:paraId="25FC3492">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我方已完全明白招标文件的所有条款要求，并申明如下：</w:t>
      </w:r>
    </w:p>
    <w:p w14:paraId="57798B52">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（一）按招标文件提供的全部货物与相关服务的投标总价详见《开标一览表》。</w:t>
      </w:r>
    </w:p>
    <w:p w14:paraId="6CE2B129">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二）本投标文件的有效期为从提交投标（响应）文件的截止之日起90日历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14:paraId="4FB37312">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（三）我方明白并同意，在规定的开标日之后，投标有效期之内撤回投标或中标后不按规定与采购人签订合同或不提交履约保证金,则贵方将不予退还投标保证金。</w:t>
      </w:r>
    </w:p>
    <w:p w14:paraId="32525913">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（四）我方愿意向贵方提供任何与本项报价有关的数据、情况和技术资料。若贵方需要，我方愿意提供我方作出的一切承诺的证明材料。</w:t>
      </w:r>
    </w:p>
    <w:p w14:paraId="1C2FF815">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（五）我方理解贵方不一定接受最低投标价或任何贵方可能收到的投标。</w:t>
      </w:r>
    </w:p>
    <w:p w14:paraId="774D10B9">
      <w:pPr>
        <w:widowControl/>
        <w:ind w:firstLine="200"/>
        <w:jc w:val="left"/>
        <w:rPr>
          <w:rFonts w:ascii="宋体" w:hAnsi="宋体" w:eastAsia="宋体" w:cs="Times New Roman"/>
          <w:color w:val="auto"/>
          <w:kern w:val="0"/>
          <w:szCs w:val="21"/>
        </w:rPr>
      </w:pPr>
      <w:r>
        <w:rPr>
          <w:rFonts w:ascii="宋体" w:hAnsi="宋体" w:eastAsia="宋体" w:cs="Times New Roman"/>
          <w:color w:val="auto"/>
          <w:kern w:val="0"/>
          <w:szCs w:val="21"/>
          <w:lang w:eastAsia="zh-Hans"/>
        </w:rPr>
        <w:t>（六）我方如果中标，</w:t>
      </w:r>
      <w:r>
        <w:rPr>
          <w:rFonts w:hint="eastAsia" w:ascii="宋体" w:hAnsi="宋体" w:eastAsia="宋体" w:cs="Times New Roman"/>
          <w:color w:val="auto"/>
          <w:kern w:val="0"/>
          <w:szCs w:val="21"/>
          <w:lang w:eastAsia="zh-Hans"/>
        </w:rPr>
        <w:t>将严格履行合同规定的责任和义务，保证于合同签字生效后按照约定时间完成项目，并交付采购人验收。</w:t>
      </w:r>
    </w:p>
    <w:p w14:paraId="628773E7">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（七）我方作为法律、财务和运作上独立于采购人、采购代理机构的投标人，在此保证所提交的所有文件和全部说明是真实的和正确的。</w:t>
      </w:r>
    </w:p>
    <w:p w14:paraId="017657F0">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（八）我方投标报价已包含应向知识产权所有权人支付的所有相关税费，并保证采购人在中国使用我方提供的货物时，如有第三方提出侵犯其知识产权主张的，责任由我方承担。</w:t>
      </w:r>
    </w:p>
    <w:p w14:paraId="72E77FDE">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w:t>
      </w:r>
      <w:r>
        <w:rPr>
          <w:rFonts w:hint="eastAsia" w:ascii="宋体" w:hAnsi="宋体" w:eastAsia="宋体" w:cs="Times New Roman"/>
          <w:color w:val="auto"/>
          <w:kern w:val="0"/>
          <w:szCs w:val="21"/>
          <w:lang w:eastAsia="zh-Hans"/>
        </w:rPr>
        <w:t>九</w:t>
      </w:r>
      <w:r>
        <w:rPr>
          <w:rFonts w:ascii="宋体" w:hAnsi="宋体" w:eastAsia="宋体" w:cs="Times New Roman"/>
          <w:color w:val="auto"/>
          <w:kern w:val="0"/>
          <w:szCs w:val="21"/>
          <w:lang w:eastAsia="zh-Hans"/>
        </w:rPr>
        <w:t>）我方对在本函及投标文件中所作的所有承诺承担法律责任。</w:t>
      </w:r>
    </w:p>
    <w:p w14:paraId="55FBA7B6">
      <w:pPr>
        <w:widowControl/>
        <w:ind w:firstLine="200"/>
        <w:jc w:val="left"/>
        <w:rPr>
          <w:rFonts w:ascii="宋体" w:hAnsi="宋体" w:eastAsia="宋体" w:cs="Times New Roman"/>
          <w:color w:val="auto"/>
          <w:kern w:val="0"/>
          <w:szCs w:val="21"/>
        </w:rPr>
      </w:pPr>
      <w:r>
        <w:rPr>
          <w:rFonts w:ascii="宋体" w:hAnsi="宋体" w:eastAsia="宋体" w:cs="Times New Roman"/>
          <w:color w:val="auto"/>
          <w:kern w:val="0"/>
          <w:szCs w:val="21"/>
          <w:lang w:eastAsia="zh-Hans"/>
        </w:rPr>
        <w:t>（</w:t>
      </w:r>
      <w:r>
        <w:rPr>
          <w:rFonts w:hint="eastAsia" w:ascii="宋体" w:hAnsi="宋体" w:eastAsia="宋体" w:cs="Times New Roman"/>
          <w:color w:val="auto"/>
          <w:kern w:val="0"/>
          <w:szCs w:val="21"/>
          <w:lang w:eastAsia="zh-Hans"/>
        </w:rPr>
        <w:t>十</w:t>
      </w:r>
      <w:r>
        <w:rPr>
          <w:rFonts w:ascii="宋体" w:hAnsi="宋体" w:eastAsia="宋体" w:cs="Times New Roman"/>
          <w:color w:val="auto"/>
          <w:kern w:val="0"/>
          <w:szCs w:val="21"/>
          <w:lang w:eastAsia="zh-Hans"/>
        </w:rPr>
        <w:t>）</w:t>
      </w:r>
      <w:r>
        <w:rPr>
          <w:rFonts w:hint="eastAsia" w:ascii="宋体" w:hAnsi="宋体" w:eastAsia="宋体" w:cs="Times New Roman"/>
          <w:color w:val="auto"/>
          <w:kern w:val="0"/>
          <w:szCs w:val="21"/>
          <w:lang w:eastAsia="zh-Hans"/>
        </w:rPr>
        <w:t>我方如果中标，</w:t>
      </w:r>
      <w:r>
        <w:rPr>
          <w:rFonts w:ascii="宋体" w:hAnsi="宋体" w:eastAsia="宋体" w:cs="Times New Roman"/>
          <w:color w:val="auto"/>
          <w:kern w:val="0"/>
          <w:szCs w:val="21"/>
          <w:lang w:eastAsia="zh-Hans"/>
        </w:rPr>
        <w:t>同意按招标文件规定向采购代理机构缴纳</w:t>
      </w:r>
      <w:r>
        <w:rPr>
          <w:rFonts w:hint="eastAsia" w:ascii="宋体" w:hAnsi="宋体" w:eastAsia="宋体" w:cs="Times New Roman"/>
          <w:color w:val="auto"/>
          <w:kern w:val="0"/>
          <w:szCs w:val="21"/>
          <w:lang w:eastAsia="zh-Hans"/>
        </w:rPr>
        <w:t>招标代理</w:t>
      </w:r>
      <w:r>
        <w:rPr>
          <w:rFonts w:ascii="宋体" w:hAnsi="宋体" w:eastAsia="宋体" w:cs="Times New Roman"/>
          <w:color w:val="auto"/>
          <w:kern w:val="0"/>
          <w:szCs w:val="21"/>
          <w:lang w:eastAsia="zh-Hans"/>
        </w:rPr>
        <w:t>服务费。</w:t>
      </w:r>
    </w:p>
    <w:p w14:paraId="36215652">
      <w:pPr>
        <w:widowControl/>
        <w:spacing w:after="870" w:afterLines="200"/>
        <w:ind w:firstLine="198"/>
        <w:jc w:val="left"/>
        <w:rPr>
          <w:rFonts w:ascii="宋体" w:hAnsi="宋体" w:eastAsia="宋体" w:cs="Times New Roman"/>
          <w:kern w:val="0"/>
          <w:szCs w:val="21"/>
          <w:lang w:eastAsia="zh-Hans"/>
        </w:rPr>
      </w:pPr>
      <w:r>
        <w:rPr>
          <w:rFonts w:hint="eastAsia" w:ascii="宋体" w:hAnsi="宋体" w:eastAsia="宋体" w:cs="Times New Roman"/>
          <w:kern w:val="0"/>
          <w:szCs w:val="21"/>
          <w:lang w:eastAsia="zh-Hans"/>
        </w:rPr>
        <w:t>（十一）</w:t>
      </w:r>
      <w:r>
        <w:rPr>
          <w:rFonts w:ascii="宋体" w:hAnsi="宋体" w:eastAsia="宋体" w:cs="Times New Roman"/>
          <w:kern w:val="0"/>
          <w:szCs w:val="21"/>
          <w:lang w:eastAsia="zh-Hans"/>
        </w:rPr>
        <w:t>所有与本招标有关的函件请发往下列地址：</w:t>
      </w:r>
    </w:p>
    <w:p w14:paraId="37F94635">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地 址：</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邮政编码：</w:t>
      </w:r>
      <w:r>
        <w:rPr>
          <w:rFonts w:hint="eastAsia" w:ascii="宋体" w:hAnsi="宋体" w:eastAsia="宋体" w:cs="Times New Roman"/>
          <w:kern w:val="0"/>
          <w:szCs w:val="21"/>
          <w:u w:val="single"/>
        </w:rPr>
        <w:t xml:space="preserve">                               </w:t>
      </w:r>
    </w:p>
    <w:p w14:paraId="71071E7E">
      <w:pPr>
        <w:widowControl/>
        <w:jc w:val="left"/>
        <w:rPr>
          <w:rFonts w:ascii="宋体" w:hAnsi="宋体" w:eastAsia="宋体" w:cs="Times New Roman"/>
          <w:kern w:val="0"/>
          <w:szCs w:val="21"/>
        </w:rPr>
      </w:pPr>
      <w:r>
        <w:rPr>
          <w:rFonts w:ascii="宋体" w:hAnsi="宋体" w:eastAsia="宋体" w:cs="Times New Roman"/>
          <w:kern w:val="0"/>
          <w:szCs w:val="21"/>
          <w:lang w:eastAsia="zh-Hans"/>
        </w:rPr>
        <w:t>电 话：</w:t>
      </w:r>
      <w:r>
        <w:rPr>
          <w:rFonts w:hint="eastAsia" w:ascii="宋体" w:hAnsi="宋体" w:eastAsia="宋体" w:cs="Times New Roman"/>
          <w:kern w:val="0"/>
          <w:szCs w:val="21"/>
          <w:u w:val="single"/>
        </w:rPr>
        <w:t xml:space="preserve">                                </w:t>
      </w:r>
    </w:p>
    <w:p w14:paraId="3929AD4D">
      <w:pPr>
        <w:widowControl/>
        <w:jc w:val="left"/>
        <w:rPr>
          <w:rFonts w:ascii="宋体" w:hAnsi="宋体" w:eastAsia="宋体" w:cs="Times New Roman"/>
          <w:kern w:val="0"/>
          <w:szCs w:val="21"/>
        </w:rPr>
      </w:pPr>
      <w:r>
        <w:rPr>
          <w:rFonts w:ascii="宋体" w:hAnsi="宋体" w:eastAsia="宋体" w:cs="Times New Roman"/>
          <w:kern w:val="0"/>
          <w:szCs w:val="21"/>
          <w:lang w:eastAsia="zh-Hans"/>
        </w:rPr>
        <w:t>传 真：</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电子邮箱：</w:t>
      </w:r>
      <w:r>
        <w:rPr>
          <w:rFonts w:hint="eastAsia" w:ascii="宋体" w:hAnsi="宋体" w:eastAsia="宋体" w:cs="Times New Roman"/>
          <w:kern w:val="0"/>
          <w:szCs w:val="21"/>
          <w:u w:val="single"/>
        </w:rPr>
        <w:t xml:space="preserve">                               </w:t>
      </w:r>
    </w:p>
    <w:p w14:paraId="0EEA419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代表姓名</w:t>
      </w:r>
      <w:r>
        <w:rPr>
          <w:rFonts w:hint="eastAsia" w:ascii="宋体" w:hAnsi="宋体" w:eastAsia="宋体" w:cs="Times New Roman"/>
          <w:kern w:val="0"/>
          <w:szCs w:val="21"/>
          <w:lang w:eastAsia="zh-Hans"/>
        </w:rPr>
        <w:t>：</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职 务：</w:t>
      </w:r>
      <w:r>
        <w:rPr>
          <w:rFonts w:hint="eastAsia" w:ascii="宋体" w:hAnsi="宋体" w:eastAsia="宋体" w:cs="Times New Roman"/>
          <w:kern w:val="0"/>
          <w:szCs w:val="21"/>
          <w:u w:val="single"/>
        </w:rPr>
        <w:t xml:space="preserve">                                  </w:t>
      </w:r>
    </w:p>
    <w:p w14:paraId="6B230246">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投标人法定代表人（或法定代表人授权代表）签字或盖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hint="eastAsia" w:ascii="宋体" w:hAnsi="宋体" w:eastAsia="宋体" w:cs="Times New Roman"/>
          <w:kern w:val="0"/>
          <w:szCs w:val="21"/>
          <w:u w:val="single"/>
        </w:rPr>
        <w:t xml:space="preserve">                              </w:t>
      </w:r>
    </w:p>
    <w:p w14:paraId="49FDFCA6">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投标人名称（盖章）：</w:t>
      </w:r>
      <w:r>
        <w:rPr>
          <w:rFonts w:hint="eastAsia" w:ascii="宋体" w:hAnsi="宋体" w:eastAsia="宋体" w:cs="Times New Roman"/>
          <w:kern w:val="0"/>
          <w:szCs w:val="21"/>
          <w:u w:val="single"/>
        </w:rPr>
        <w:t xml:space="preserve">                                  </w:t>
      </w:r>
    </w:p>
    <w:p w14:paraId="52C6F8A4">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日期：</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年</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月</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363D7C21">
      <w:pPr>
        <w:widowControl/>
        <w:jc w:val="left"/>
        <w:rPr>
          <w:rFonts w:ascii="Calibri" w:hAnsi="Calibri" w:eastAsia="宋体" w:cs="Times New Roman"/>
          <w:kern w:val="0"/>
          <w:sz w:val="20"/>
          <w:szCs w:val="20"/>
          <w:lang w:eastAsia="zh-Hans"/>
        </w:rPr>
      </w:pPr>
    </w:p>
    <w:p w14:paraId="6FCFBB94">
      <w:pPr>
        <w:pageBreakBefore/>
        <w:rPr>
          <w:rFonts w:ascii="Calibri" w:hAnsi="Calibri" w:eastAsia="宋体" w:cs="Times New Roman"/>
          <w:kern w:val="0"/>
          <w:sz w:val="20"/>
          <w:szCs w:val="20"/>
          <w:lang w:eastAsia="zh-Hans"/>
        </w:rPr>
      </w:pPr>
      <w:bookmarkStart w:id="53" w:name="_Toc169799788"/>
      <w:r>
        <w:rPr>
          <w:rFonts w:ascii="宋体" w:hAnsi="宋体" w:eastAsia="宋体"/>
          <w:b/>
          <w:bCs/>
          <w:sz w:val="24"/>
          <w:szCs w:val="28"/>
        </w:rPr>
        <w:t>格式二：</w:t>
      </w:r>
      <w:bookmarkEnd w:id="53"/>
    </w:p>
    <w:p w14:paraId="57D6959F">
      <w:pPr>
        <w:widowControl/>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开标一览表</w:t>
      </w:r>
      <w:r>
        <w:rPr>
          <w:rFonts w:ascii="Calibri" w:hAnsi="Calibri" w:eastAsia="宋体" w:cs="Times New Roman"/>
          <w:kern w:val="0"/>
          <w:sz w:val="20"/>
          <w:szCs w:val="20"/>
          <w:lang w:eastAsia="zh-Hans"/>
        </w:rPr>
        <w:br w:type="textWrapping"/>
      </w:r>
    </w:p>
    <w:p w14:paraId="5E36D62B">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项目编号：</w:t>
      </w:r>
    </w:p>
    <w:p w14:paraId="78C30E8D">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项目名称：</w:t>
      </w:r>
    </w:p>
    <w:p w14:paraId="6E123CBE">
      <w:pPr>
        <w:widowControl/>
        <w:jc w:val="left"/>
        <w:rPr>
          <w:rFonts w:ascii="Calibri" w:hAnsi="Calibri" w:eastAsia="宋体" w:cs="Times New Roman"/>
          <w:kern w:val="0"/>
          <w:szCs w:val="21"/>
        </w:rPr>
      </w:pPr>
      <w:r>
        <w:rPr>
          <w:rFonts w:ascii="Calibri" w:hAnsi="Calibri" w:eastAsia="宋体" w:cs="Times New Roman"/>
          <w:kern w:val="0"/>
          <w:szCs w:val="21"/>
          <w:lang w:eastAsia="zh-Hans"/>
        </w:rPr>
        <w:t>投标人名称：</w:t>
      </w:r>
    </w:p>
    <w:p w14:paraId="64856E37">
      <w:pPr>
        <w:widowControl/>
        <w:jc w:val="left"/>
        <w:rPr>
          <w:rFonts w:ascii="Calibri" w:hAnsi="Calibri" w:eastAsia="宋体" w:cs="Times New Roman"/>
          <w:kern w:val="0"/>
          <w:szCs w:val="21"/>
        </w:rPr>
      </w:pPr>
    </w:p>
    <w:tbl>
      <w:tblPr>
        <w:tblStyle w:val="14"/>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35"/>
        <w:gridCol w:w="4168"/>
        <w:gridCol w:w="3241"/>
        <w:gridCol w:w="1142"/>
      </w:tblGrid>
      <w:tr w14:paraId="1D68E4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5" w:hRule="atLeast"/>
          <w:jc w:val="center"/>
        </w:trPr>
        <w:tc>
          <w:tcPr>
            <w:tcW w:w="396" w:type="pct"/>
            <w:tcBorders>
              <w:top w:val="single" w:color="auto" w:sz="4" w:space="0"/>
              <w:left w:val="single" w:color="auto" w:sz="4" w:space="0"/>
              <w:right w:val="single" w:color="auto" w:sz="4" w:space="0"/>
            </w:tcBorders>
            <w:vAlign w:val="center"/>
          </w:tcPr>
          <w:p w14:paraId="516D45EB">
            <w:pPr>
              <w:overflowPunct w:val="0"/>
              <w:adjustRightInd w:val="0"/>
              <w:spacing w:line="460" w:lineRule="exact"/>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序号</w:t>
            </w:r>
          </w:p>
        </w:tc>
        <w:tc>
          <w:tcPr>
            <w:tcW w:w="2244" w:type="pct"/>
            <w:tcBorders>
              <w:top w:val="single" w:color="auto" w:sz="4" w:space="0"/>
              <w:left w:val="single" w:color="auto" w:sz="4" w:space="0"/>
              <w:right w:val="single" w:color="auto" w:sz="4" w:space="0"/>
            </w:tcBorders>
            <w:vAlign w:val="center"/>
          </w:tcPr>
          <w:p w14:paraId="68203324">
            <w:pPr>
              <w:overflowPunct w:val="0"/>
              <w:adjustRightInd w:val="0"/>
              <w:spacing w:line="460" w:lineRule="exact"/>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项目名称及项目编号</w:t>
            </w:r>
          </w:p>
        </w:tc>
        <w:tc>
          <w:tcPr>
            <w:tcW w:w="1745" w:type="pct"/>
            <w:tcBorders>
              <w:top w:val="single" w:color="auto" w:sz="4" w:space="0"/>
              <w:left w:val="single" w:color="auto" w:sz="4" w:space="0"/>
              <w:bottom w:val="single" w:color="auto" w:sz="4" w:space="0"/>
              <w:right w:val="single" w:color="auto" w:sz="4" w:space="0"/>
            </w:tcBorders>
            <w:vAlign w:val="center"/>
          </w:tcPr>
          <w:p w14:paraId="3656E610">
            <w:pPr>
              <w:overflowPunct w:val="0"/>
              <w:adjustRightInd w:val="0"/>
              <w:spacing w:line="460" w:lineRule="exact"/>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总报价（单位：元）</w:t>
            </w:r>
          </w:p>
        </w:tc>
        <w:tc>
          <w:tcPr>
            <w:tcW w:w="615" w:type="pct"/>
            <w:tcBorders>
              <w:top w:val="single" w:color="auto" w:sz="4" w:space="0"/>
              <w:left w:val="single" w:color="auto" w:sz="4" w:space="0"/>
              <w:right w:val="single" w:color="auto" w:sz="4" w:space="0"/>
            </w:tcBorders>
            <w:vAlign w:val="center"/>
          </w:tcPr>
          <w:p w14:paraId="3EC4C290">
            <w:pPr>
              <w:overflowPunct w:val="0"/>
              <w:adjustRightInd w:val="0"/>
              <w:spacing w:line="460" w:lineRule="exact"/>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备注</w:t>
            </w:r>
          </w:p>
        </w:tc>
      </w:tr>
      <w:tr w14:paraId="68FB9C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83" w:hRule="atLeast"/>
          <w:jc w:val="center"/>
        </w:trPr>
        <w:tc>
          <w:tcPr>
            <w:tcW w:w="396" w:type="pct"/>
            <w:tcBorders>
              <w:top w:val="single" w:color="auto" w:sz="4" w:space="0"/>
              <w:left w:val="single" w:color="auto" w:sz="4" w:space="0"/>
              <w:bottom w:val="single" w:color="auto" w:sz="4" w:space="0"/>
              <w:right w:val="single" w:color="auto" w:sz="4" w:space="0"/>
            </w:tcBorders>
            <w:vAlign w:val="center"/>
          </w:tcPr>
          <w:p w14:paraId="5C12182D">
            <w:pPr>
              <w:overflowPunct w:val="0"/>
              <w:adjustRightInd w:val="0"/>
              <w:spacing w:line="460" w:lineRule="exact"/>
              <w:jc w:val="center"/>
              <w:rPr>
                <w:rFonts w:ascii="宋体" w:hAnsi="宋体" w:eastAsia="宋体"/>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1</w:t>
            </w:r>
          </w:p>
        </w:tc>
        <w:tc>
          <w:tcPr>
            <w:tcW w:w="2244" w:type="pct"/>
            <w:tcBorders>
              <w:top w:val="single" w:color="auto" w:sz="4" w:space="0"/>
              <w:left w:val="single" w:color="auto" w:sz="4" w:space="0"/>
              <w:bottom w:val="single" w:color="auto" w:sz="4" w:space="0"/>
              <w:right w:val="single" w:color="auto" w:sz="4" w:space="0"/>
            </w:tcBorders>
            <w:vAlign w:val="center"/>
          </w:tcPr>
          <w:p w14:paraId="3D3659DA">
            <w:pPr>
              <w:overflowPunct w:val="0"/>
              <w:adjustRightInd w:val="0"/>
              <w:spacing w:line="460" w:lineRule="exact"/>
              <w:jc w:val="center"/>
              <w:rPr>
                <w:rFonts w:ascii="宋体" w:hAnsi="宋体" w:eastAsia="宋体"/>
                <w:color w:val="000000" w:themeColor="text1"/>
                <w:szCs w:val="21"/>
                <w14:textFill>
                  <w14:solidFill>
                    <w14:schemeClr w14:val="tx1"/>
                  </w14:solidFill>
                </w14:textFill>
              </w:rPr>
            </w:pPr>
          </w:p>
        </w:tc>
        <w:tc>
          <w:tcPr>
            <w:tcW w:w="1745" w:type="pct"/>
            <w:tcBorders>
              <w:top w:val="single" w:color="auto" w:sz="4" w:space="0"/>
              <w:left w:val="single" w:color="auto" w:sz="4" w:space="0"/>
              <w:bottom w:val="single" w:color="auto" w:sz="4" w:space="0"/>
              <w:right w:val="single" w:color="auto" w:sz="4" w:space="0"/>
            </w:tcBorders>
            <w:vAlign w:val="center"/>
          </w:tcPr>
          <w:p w14:paraId="6921E26D">
            <w:pPr>
              <w:overflowPunct w:val="0"/>
              <w:adjustRightInd w:val="0"/>
              <w:spacing w:line="460" w:lineRule="exact"/>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大写：</w:t>
            </w:r>
            <w:r>
              <w:rPr>
                <w:rFonts w:ascii="宋体" w:hAnsi="宋体" w:eastAsia="宋体"/>
                <w:color w:val="000000" w:themeColor="text1"/>
                <w:szCs w:val="21"/>
                <w:u w:val="single"/>
                <w14:textFill>
                  <w14:solidFill>
                    <w14:schemeClr w14:val="tx1"/>
                  </w14:solidFill>
                </w14:textFill>
              </w:rPr>
              <w:t xml:space="preserve">                    </w:t>
            </w:r>
          </w:p>
          <w:p w14:paraId="53F84E75">
            <w:pPr>
              <w:overflowPunct w:val="0"/>
              <w:adjustRightInd w:val="0"/>
              <w:spacing w:line="460" w:lineRule="exact"/>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小写：</w:t>
            </w:r>
            <w:r>
              <w:rPr>
                <w:rFonts w:ascii="宋体" w:hAnsi="宋体" w:eastAsia="宋体"/>
                <w:color w:val="000000" w:themeColor="text1"/>
                <w:szCs w:val="21"/>
                <w:u w:val="single"/>
                <w14:textFill>
                  <w14:solidFill>
                    <w14:schemeClr w14:val="tx1"/>
                  </w14:solidFill>
                </w14:textFill>
              </w:rPr>
              <w:t xml:space="preserve">                    </w:t>
            </w:r>
          </w:p>
        </w:tc>
        <w:tc>
          <w:tcPr>
            <w:tcW w:w="615" w:type="pct"/>
            <w:tcBorders>
              <w:top w:val="single" w:color="auto" w:sz="4" w:space="0"/>
              <w:left w:val="single" w:color="auto" w:sz="4" w:space="0"/>
              <w:bottom w:val="single" w:color="auto" w:sz="4" w:space="0"/>
              <w:right w:val="single" w:color="auto" w:sz="4" w:space="0"/>
            </w:tcBorders>
            <w:vAlign w:val="center"/>
          </w:tcPr>
          <w:p w14:paraId="77E6B6B1">
            <w:pPr>
              <w:overflowPunct w:val="0"/>
              <w:adjustRightInd w:val="0"/>
              <w:spacing w:line="460" w:lineRule="exact"/>
              <w:jc w:val="center"/>
              <w:rPr>
                <w:rFonts w:ascii="宋体" w:hAnsi="宋体" w:eastAsia="宋体"/>
                <w:color w:val="000000" w:themeColor="text1"/>
                <w:szCs w:val="21"/>
                <w14:textFill>
                  <w14:solidFill>
                    <w14:schemeClr w14:val="tx1"/>
                  </w14:solidFill>
                </w14:textFill>
              </w:rPr>
            </w:pPr>
          </w:p>
        </w:tc>
      </w:tr>
    </w:tbl>
    <w:p w14:paraId="1BF83365">
      <w:pPr>
        <w:widowControl/>
        <w:jc w:val="left"/>
        <w:rPr>
          <w:rFonts w:ascii="Calibri" w:hAnsi="Calibri" w:eastAsia="宋体" w:cs="Times New Roman"/>
          <w:kern w:val="0"/>
          <w:szCs w:val="21"/>
        </w:rPr>
      </w:pP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364"/>
      </w:tblGrid>
      <w:tr w14:paraId="09D553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63DBFF12">
            <w:pPr>
              <w:overflowPunct w:val="0"/>
              <w:adjustRightInd w:val="0"/>
              <w:spacing w:line="300" w:lineRule="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投标人名称（加盖公章）：</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 xml:space="preserve">                        </w:t>
            </w:r>
          </w:p>
        </w:tc>
      </w:tr>
      <w:tr w14:paraId="7496E8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57EB2FD5">
            <w:pPr>
              <w:spacing w:line="300" w:lineRule="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投标人法定代表人（或被授权人）签字或盖私章：</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 xml:space="preserve">                       </w:t>
            </w:r>
          </w:p>
        </w:tc>
      </w:tr>
      <w:tr w14:paraId="0FA3D5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5C6451D2">
            <w:pPr>
              <w:spacing w:line="300" w:lineRule="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日期：</w:t>
            </w:r>
            <w:r>
              <w:rPr>
                <w:rFonts w:ascii="宋体" w:hAnsi="宋体" w:eastAsia="宋体"/>
                <w:color w:val="000000" w:themeColor="text1"/>
                <w:szCs w:val="21"/>
                <w14:textFill>
                  <w14:solidFill>
                    <w14:schemeClr w14:val="tx1"/>
                  </w14:solidFill>
                </w14:textFill>
              </w:rPr>
              <w:t xml:space="preserve">    年   月   日</w:t>
            </w:r>
          </w:p>
        </w:tc>
      </w:tr>
    </w:tbl>
    <w:p w14:paraId="05B4D6B6">
      <w:pPr>
        <w:widowControl/>
        <w:jc w:val="left"/>
        <w:rPr>
          <w:rFonts w:ascii="Calibri" w:hAnsi="Calibri" w:eastAsia="宋体" w:cs="Times New Roman"/>
          <w:kern w:val="0"/>
          <w:sz w:val="20"/>
          <w:szCs w:val="20"/>
          <w:lang w:eastAsia="zh-Hans"/>
        </w:rPr>
      </w:pPr>
    </w:p>
    <w:p w14:paraId="1DEF22EB">
      <w:pPr>
        <w:widowControl/>
        <w:jc w:val="left"/>
        <w:rPr>
          <w:rFonts w:ascii="Calibri" w:hAnsi="Calibri" w:eastAsia="宋体" w:cs="Times New Roman"/>
          <w:kern w:val="0"/>
          <w:sz w:val="20"/>
          <w:szCs w:val="20"/>
          <w:lang w:eastAsia="zh-Hans"/>
        </w:rPr>
      </w:pPr>
    </w:p>
    <w:p w14:paraId="059DB25A">
      <w:pPr>
        <w:pageBreakBefore/>
        <w:rPr>
          <w:rFonts w:ascii="Calibri" w:hAnsi="Calibri" w:eastAsia="宋体" w:cs="Times New Roman"/>
          <w:kern w:val="0"/>
          <w:sz w:val="20"/>
          <w:szCs w:val="20"/>
          <w:lang w:eastAsia="zh-Hans"/>
        </w:rPr>
      </w:pPr>
      <w:bookmarkStart w:id="54" w:name="_Toc169799789"/>
      <w:r>
        <w:rPr>
          <w:rFonts w:ascii="宋体" w:hAnsi="宋体" w:eastAsia="宋体"/>
          <w:b/>
          <w:bCs/>
          <w:sz w:val="24"/>
          <w:szCs w:val="28"/>
        </w:rPr>
        <w:t>格式三：</w:t>
      </w:r>
      <w:bookmarkEnd w:id="54"/>
    </w:p>
    <w:p w14:paraId="0DCFDCF2">
      <w:pPr>
        <w:widowControl/>
        <w:jc w:val="center"/>
        <w:outlineLvl w:val="3"/>
        <w:rPr>
          <w:rFonts w:ascii="宋体" w:hAnsi="宋体" w:eastAsia="宋体" w:cs="Times New Roman"/>
          <w:kern w:val="0"/>
          <w:sz w:val="20"/>
          <w:szCs w:val="20"/>
          <w:lang w:eastAsia="zh-Hans"/>
        </w:rPr>
      </w:pPr>
      <w:r>
        <w:rPr>
          <w:rFonts w:ascii="宋体" w:hAnsi="宋体" w:eastAsia="宋体" w:cs="Times New Roman"/>
          <w:b/>
          <w:kern w:val="0"/>
          <w:sz w:val="32"/>
          <w:lang w:eastAsia="zh-Hans"/>
        </w:rPr>
        <w:t>分项报价表</w:t>
      </w:r>
    </w:p>
    <w:p w14:paraId="351AA360">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项目编号：</w:t>
      </w:r>
    </w:p>
    <w:p w14:paraId="59FA761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项目名称：</w:t>
      </w:r>
    </w:p>
    <w:p w14:paraId="143DBF10">
      <w:pPr>
        <w:widowControl/>
        <w:jc w:val="left"/>
        <w:rPr>
          <w:rFonts w:ascii="宋体" w:hAnsi="宋体" w:eastAsia="宋体" w:cs="Times New Roman"/>
          <w:kern w:val="0"/>
          <w:szCs w:val="21"/>
        </w:rPr>
      </w:pPr>
      <w:r>
        <w:rPr>
          <w:rFonts w:ascii="宋体" w:hAnsi="宋体" w:eastAsia="宋体" w:cs="Times New Roman"/>
          <w:kern w:val="0"/>
          <w:szCs w:val="21"/>
          <w:lang w:eastAsia="zh-Hans"/>
        </w:rPr>
        <w:t>投标人名称：</w:t>
      </w:r>
    </w:p>
    <w:p w14:paraId="1FD77CBD">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货币及单位：人民币/元</w:t>
      </w:r>
    </w:p>
    <w:p w14:paraId="7DBFA6F4">
      <w:pPr>
        <w:widowControl/>
        <w:jc w:val="left"/>
        <w:rPr>
          <w:rFonts w:ascii="宋体" w:hAnsi="宋体" w:eastAsia="宋体" w:cs="Times New Roman"/>
          <w:kern w:val="0"/>
          <w:szCs w:val="21"/>
          <w:lang w:eastAsia="zh-Hans"/>
        </w:rPr>
      </w:pPr>
    </w:p>
    <w:tbl>
      <w:tblPr>
        <w:tblStyle w:val="14"/>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341"/>
        <w:gridCol w:w="2141"/>
        <w:gridCol w:w="1941"/>
        <w:gridCol w:w="1941"/>
        <w:gridCol w:w="1922"/>
      </w:tblGrid>
      <w:tr w14:paraId="0DB2C4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2" w:type="pct"/>
          </w:tcPr>
          <w:p w14:paraId="686DEF0B">
            <w:pPr>
              <w:widowControl/>
              <w:spacing w:line="300" w:lineRule="auto"/>
              <w:jc w:val="center"/>
              <w:rPr>
                <w:rFonts w:ascii="宋体" w:hAnsi="宋体" w:eastAsia="宋体" w:cs="Times New Roman"/>
                <w:kern w:val="0"/>
                <w:szCs w:val="21"/>
                <w:lang w:eastAsia="zh-Hans"/>
              </w:rPr>
            </w:pPr>
            <w:r>
              <w:rPr>
                <w:rFonts w:ascii="宋体" w:hAnsi="宋体" w:eastAsia="宋体" w:cs="Times New Roman"/>
                <w:kern w:val="0"/>
                <w:szCs w:val="21"/>
                <w:lang w:eastAsia="zh-Hans"/>
              </w:rPr>
              <w:t>序号</w:t>
            </w:r>
          </w:p>
        </w:tc>
        <w:tc>
          <w:tcPr>
            <w:tcW w:w="1153" w:type="pct"/>
          </w:tcPr>
          <w:p w14:paraId="5C787154">
            <w:pPr>
              <w:widowControl/>
              <w:spacing w:line="300" w:lineRule="auto"/>
              <w:jc w:val="center"/>
              <w:rPr>
                <w:rFonts w:ascii="宋体" w:hAnsi="宋体" w:eastAsia="宋体" w:cs="Times New Roman"/>
                <w:kern w:val="0"/>
                <w:szCs w:val="21"/>
                <w:lang w:eastAsia="zh-Hans"/>
              </w:rPr>
            </w:pPr>
            <w:r>
              <w:rPr>
                <w:rFonts w:ascii="宋体" w:hAnsi="宋体" w:eastAsia="宋体" w:cs="Times New Roman"/>
                <w:kern w:val="0"/>
                <w:szCs w:val="21"/>
                <w:lang w:eastAsia="zh-Hans"/>
              </w:rPr>
              <w:t>服务名称</w:t>
            </w:r>
          </w:p>
        </w:tc>
        <w:tc>
          <w:tcPr>
            <w:tcW w:w="1045" w:type="pct"/>
          </w:tcPr>
          <w:p w14:paraId="139E2C0C">
            <w:pPr>
              <w:widowControl/>
              <w:spacing w:line="300" w:lineRule="auto"/>
              <w:jc w:val="center"/>
              <w:rPr>
                <w:rFonts w:ascii="宋体" w:hAnsi="宋体" w:eastAsia="宋体" w:cs="Times New Roman"/>
                <w:kern w:val="0"/>
                <w:szCs w:val="21"/>
                <w:lang w:eastAsia="zh-Hans"/>
              </w:rPr>
            </w:pPr>
            <w:r>
              <w:rPr>
                <w:rFonts w:ascii="宋体" w:hAnsi="宋体" w:eastAsia="宋体" w:cs="Times New Roman"/>
                <w:kern w:val="0"/>
                <w:szCs w:val="21"/>
                <w:lang w:eastAsia="zh-Hans"/>
              </w:rPr>
              <w:t>单价</w:t>
            </w:r>
          </w:p>
        </w:tc>
        <w:tc>
          <w:tcPr>
            <w:tcW w:w="1045" w:type="pct"/>
          </w:tcPr>
          <w:p w14:paraId="360C7E02">
            <w:pPr>
              <w:widowControl/>
              <w:spacing w:line="300" w:lineRule="auto"/>
              <w:jc w:val="center"/>
              <w:rPr>
                <w:rFonts w:ascii="宋体" w:hAnsi="宋体" w:eastAsia="宋体" w:cs="Times New Roman"/>
                <w:kern w:val="0"/>
                <w:szCs w:val="21"/>
                <w:lang w:eastAsia="zh-Hans"/>
              </w:rPr>
            </w:pPr>
            <w:r>
              <w:rPr>
                <w:rFonts w:ascii="宋体" w:hAnsi="宋体" w:eastAsia="宋体" w:cs="Times New Roman"/>
                <w:kern w:val="0"/>
                <w:szCs w:val="21"/>
                <w:lang w:eastAsia="zh-Hans"/>
              </w:rPr>
              <w:t>数量</w:t>
            </w:r>
          </w:p>
        </w:tc>
        <w:tc>
          <w:tcPr>
            <w:tcW w:w="1035" w:type="pct"/>
          </w:tcPr>
          <w:p w14:paraId="184AEEAB">
            <w:pPr>
              <w:widowControl/>
              <w:spacing w:line="300" w:lineRule="auto"/>
              <w:jc w:val="center"/>
              <w:rPr>
                <w:rFonts w:ascii="宋体" w:hAnsi="宋体" w:eastAsia="宋体" w:cs="Times New Roman"/>
                <w:kern w:val="0"/>
                <w:szCs w:val="21"/>
                <w:lang w:eastAsia="zh-Hans"/>
              </w:rPr>
            </w:pPr>
            <w:r>
              <w:rPr>
                <w:rFonts w:hint="eastAsia" w:ascii="宋体" w:hAnsi="宋体" w:eastAsia="宋体" w:cs="Times New Roman"/>
                <w:kern w:val="0"/>
                <w:szCs w:val="21"/>
                <w:lang w:eastAsia="zh-Hans"/>
              </w:rPr>
              <w:t>合计</w:t>
            </w:r>
          </w:p>
        </w:tc>
      </w:tr>
      <w:tr w14:paraId="6BDE88C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2" w:type="pct"/>
          </w:tcPr>
          <w:p w14:paraId="7C50E81B">
            <w:pPr>
              <w:spacing w:line="300" w:lineRule="auto"/>
              <w:jc w:val="center"/>
              <w:rPr>
                <w:rFonts w:ascii="宋体" w:hAnsi="宋体" w:eastAsia="宋体" w:cs="Times New Roman"/>
                <w:szCs w:val="21"/>
              </w:rPr>
            </w:pPr>
          </w:p>
        </w:tc>
        <w:tc>
          <w:tcPr>
            <w:tcW w:w="1153" w:type="pct"/>
          </w:tcPr>
          <w:p w14:paraId="46E55669">
            <w:pPr>
              <w:spacing w:line="300" w:lineRule="auto"/>
              <w:jc w:val="center"/>
              <w:rPr>
                <w:rFonts w:ascii="宋体" w:hAnsi="宋体" w:eastAsia="宋体" w:cs="Times New Roman"/>
                <w:szCs w:val="21"/>
              </w:rPr>
            </w:pPr>
          </w:p>
        </w:tc>
        <w:tc>
          <w:tcPr>
            <w:tcW w:w="1045" w:type="pct"/>
          </w:tcPr>
          <w:p w14:paraId="59D02428">
            <w:pPr>
              <w:spacing w:line="300" w:lineRule="auto"/>
              <w:jc w:val="center"/>
              <w:rPr>
                <w:rFonts w:ascii="宋体" w:hAnsi="宋体" w:eastAsia="宋体" w:cs="Times New Roman"/>
                <w:szCs w:val="21"/>
              </w:rPr>
            </w:pPr>
          </w:p>
        </w:tc>
        <w:tc>
          <w:tcPr>
            <w:tcW w:w="1045" w:type="pct"/>
          </w:tcPr>
          <w:p w14:paraId="2107F464">
            <w:pPr>
              <w:spacing w:line="300" w:lineRule="auto"/>
              <w:jc w:val="center"/>
              <w:rPr>
                <w:rFonts w:ascii="宋体" w:hAnsi="宋体" w:eastAsia="宋体" w:cs="Times New Roman"/>
                <w:szCs w:val="21"/>
              </w:rPr>
            </w:pPr>
          </w:p>
        </w:tc>
        <w:tc>
          <w:tcPr>
            <w:tcW w:w="1035" w:type="pct"/>
          </w:tcPr>
          <w:p w14:paraId="49375C58">
            <w:pPr>
              <w:spacing w:line="300" w:lineRule="auto"/>
              <w:jc w:val="center"/>
              <w:rPr>
                <w:rFonts w:ascii="宋体" w:hAnsi="宋体" w:eastAsia="宋体" w:cs="Times New Roman"/>
                <w:szCs w:val="21"/>
              </w:rPr>
            </w:pPr>
          </w:p>
        </w:tc>
      </w:tr>
      <w:tr w14:paraId="277EE5E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2" w:type="pct"/>
          </w:tcPr>
          <w:p w14:paraId="06B7E92D">
            <w:pPr>
              <w:spacing w:line="300" w:lineRule="auto"/>
              <w:jc w:val="center"/>
              <w:rPr>
                <w:rFonts w:ascii="宋体" w:hAnsi="宋体" w:eastAsia="宋体" w:cs="Times New Roman"/>
                <w:szCs w:val="21"/>
              </w:rPr>
            </w:pPr>
          </w:p>
        </w:tc>
        <w:tc>
          <w:tcPr>
            <w:tcW w:w="1153" w:type="pct"/>
          </w:tcPr>
          <w:p w14:paraId="58791121">
            <w:pPr>
              <w:spacing w:line="300" w:lineRule="auto"/>
              <w:jc w:val="center"/>
              <w:rPr>
                <w:rFonts w:ascii="宋体" w:hAnsi="宋体" w:eastAsia="宋体" w:cs="Times New Roman"/>
                <w:szCs w:val="21"/>
              </w:rPr>
            </w:pPr>
          </w:p>
        </w:tc>
        <w:tc>
          <w:tcPr>
            <w:tcW w:w="1045" w:type="pct"/>
          </w:tcPr>
          <w:p w14:paraId="3792F827">
            <w:pPr>
              <w:spacing w:line="300" w:lineRule="auto"/>
              <w:jc w:val="center"/>
              <w:rPr>
                <w:rFonts w:ascii="宋体" w:hAnsi="宋体" w:eastAsia="宋体" w:cs="Times New Roman"/>
                <w:szCs w:val="21"/>
              </w:rPr>
            </w:pPr>
          </w:p>
        </w:tc>
        <w:tc>
          <w:tcPr>
            <w:tcW w:w="1045" w:type="pct"/>
          </w:tcPr>
          <w:p w14:paraId="1C46CFDB">
            <w:pPr>
              <w:spacing w:line="300" w:lineRule="auto"/>
              <w:jc w:val="center"/>
              <w:rPr>
                <w:rFonts w:ascii="宋体" w:hAnsi="宋体" w:eastAsia="宋体" w:cs="Times New Roman"/>
                <w:szCs w:val="21"/>
              </w:rPr>
            </w:pPr>
          </w:p>
        </w:tc>
        <w:tc>
          <w:tcPr>
            <w:tcW w:w="1035" w:type="pct"/>
          </w:tcPr>
          <w:p w14:paraId="63A0B64F">
            <w:pPr>
              <w:spacing w:line="300" w:lineRule="auto"/>
              <w:jc w:val="center"/>
              <w:rPr>
                <w:rFonts w:ascii="宋体" w:hAnsi="宋体" w:eastAsia="宋体" w:cs="Times New Roman"/>
                <w:szCs w:val="21"/>
              </w:rPr>
            </w:pPr>
          </w:p>
        </w:tc>
      </w:tr>
      <w:tr w14:paraId="0803EC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2" w:type="pct"/>
          </w:tcPr>
          <w:p w14:paraId="56018410">
            <w:pPr>
              <w:spacing w:line="300" w:lineRule="auto"/>
              <w:jc w:val="center"/>
              <w:rPr>
                <w:rFonts w:ascii="宋体" w:hAnsi="宋体" w:eastAsia="宋体" w:cs="Times New Roman"/>
                <w:szCs w:val="21"/>
              </w:rPr>
            </w:pPr>
            <w:r>
              <w:rPr>
                <w:rFonts w:ascii="宋体" w:hAnsi="宋体" w:eastAsia="宋体" w:cs="Times New Roman"/>
                <w:kern w:val="0"/>
                <w:szCs w:val="21"/>
                <w:lang w:eastAsia="zh-Hans"/>
              </w:rPr>
              <w:t>...</w:t>
            </w:r>
          </w:p>
        </w:tc>
        <w:tc>
          <w:tcPr>
            <w:tcW w:w="1153" w:type="pct"/>
          </w:tcPr>
          <w:p w14:paraId="1334347B">
            <w:pPr>
              <w:spacing w:line="300" w:lineRule="auto"/>
              <w:jc w:val="center"/>
              <w:rPr>
                <w:rFonts w:ascii="宋体" w:hAnsi="宋体" w:eastAsia="宋体" w:cs="Times New Roman"/>
                <w:szCs w:val="21"/>
              </w:rPr>
            </w:pPr>
          </w:p>
        </w:tc>
        <w:tc>
          <w:tcPr>
            <w:tcW w:w="1045" w:type="pct"/>
          </w:tcPr>
          <w:p w14:paraId="54CDFDEB">
            <w:pPr>
              <w:spacing w:line="300" w:lineRule="auto"/>
              <w:jc w:val="center"/>
              <w:rPr>
                <w:rFonts w:ascii="宋体" w:hAnsi="宋体" w:eastAsia="宋体" w:cs="Times New Roman"/>
                <w:szCs w:val="21"/>
              </w:rPr>
            </w:pPr>
          </w:p>
        </w:tc>
        <w:tc>
          <w:tcPr>
            <w:tcW w:w="1045" w:type="pct"/>
          </w:tcPr>
          <w:p w14:paraId="7D92F2CA">
            <w:pPr>
              <w:spacing w:line="300" w:lineRule="auto"/>
              <w:jc w:val="center"/>
              <w:rPr>
                <w:rFonts w:ascii="宋体" w:hAnsi="宋体" w:eastAsia="宋体" w:cs="Times New Roman"/>
                <w:szCs w:val="21"/>
              </w:rPr>
            </w:pPr>
          </w:p>
        </w:tc>
        <w:tc>
          <w:tcPr>
            <w:tcW w:w="1035" w:type="pct"/>
          </w:tcPr>
          <w:p w14:paraId="09792819">
            <w:pPr>
              <w:spacing w:line="300" w:lineRule="auto"/>
              <w:jc w:val="center"/>
              <w:rPr>
                <w:rFonts w:ascii="宋体" w:hAnsi="宋体" w:eastAsia="宋体" w:cs="Times New Roman"/>
                <w:szCs w:val="21"/>
              </w:rPr>
            </w:pPr>
          </w:p>
        </w:tc>
      </w:tr>
      <w:tr w14:paraId="2169DC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000" w:type="pct"/>
            <w:gridSpan w:val="5"/>
          </w:tcPr>
          <w:p w14:paraId="4B4E99AA">
            <w:pPr>
              <w:spacing w:line="300" w:lineRule="auto"/>
              <w:rPr>
                <w:rFonts w:ascii="宋体" w:hAnsi="宋体" w:eastAsia="宋体" w:cs="Times New Roman"/>
                <w:szCs w:val="21"/>
              </w:rPr>
            </w:pPr>
            <w:r>
              <w:rPr>
                <w:rFonts w:hint="eastAsia" w:ascii="宋体" w:hAnsi="宋体" w:eastAsia="宋体" w:cs="Times New Roman"/>
                <w:kern w:val="0"/>
                <w:szCs w:val="21"/>
              </w:rPr>
              <w:t>总价：</w:t>
            </w:r>
            <w:r>
              <w:rPr>
                <w:rFonts w:hint="eastAsia" w:ascii="宋体" w:hAnsi="宋体" w:eastAsia="宋体"/>
                <w:szCs w:val="21"/>
              </w:rPr>
              <w:t>大写：</w:t>
            </w:r>
            <w:r>
              <w:rPr>
                <w:rFonts w:ascii="宋体" w:hAnsi="宋体" w:eastAsia="宋体"/>
                <w:szCs w:val="21"/>
                <w:u w:val="single"/>
              </w:rPr>
              <w:t xml:space="preserve">       </w:t>
            </w:r>
            <w:r>
              <w:rPr>
                <w:rFonts w:hint="eastAsia" w:ascii="宋体" w:hAnsi="宋体" w:eastAsia="宋体"/>
                <w:szCs w:val="21"/>
                <w:u w:val="single"/>
              </w:rPr>
              <w:t xml:space="preserve">   </w:t>
            </w:r>
            <w:r>
              <w:rPr>
                <w:rFonts w:ascii="宋体" w:hAnsi="宋体" w:eastAsia="宋体"/>
                <w:szCs w:val="21"/>
                <w:u w:val="single"/>
              </w:rPr>
              <w:t xml:space="preserve">          </w:t>
            </w:r>
            <w:r>
              <w:rPr>
                <w:rFonts w:hint="eastAsia" w:ascii="宋体" w:hAnsi="宋体" w:eastAsia="宋体"/>
                <w:szCs w:val="21"/>
                <w:u w:val="single"/>
              </w:rPr>
              <w:t xml:space="preserve"> </w:t>
            </w:r>
            <w:r>
              <w:rPr>
                <w:rFonts w:ascii="宋体" w:hAnsi="宋体" w:eastAsia="宋体"/>
                <w:szCs w:val="21"/>
                <w:u w:val="single"/>
              </w:rPr>
              <w:t xml:space="preserve">  </w:t>
            </w:r>
            <w:r>
              <w:rPr>
                <w:rFonts w:hint="eastAsia" w:ascii="宋体" w:hAnsi="宋体" w:eastAsia="宋体"/>
                <w:szCs w:val="21"/>
                <w:u w:val="single"/>
              </w:rPr>
              <w:t>元</w:t>
            </w:r>
            <w:r>
              <w:rPr>
                <w:rFonts w:hint="eastAsia" w:ascii="宋体" w:hAnsi="宋体" w:eastAsia="宋体"/>
                <w:szCs w:val="21"/>
              </w:rPr>
              <w:t>（小写：</w:t>
            </w:r>
            <w:r>
              <w:rPr>
                <w:rFonts w:ascii="宋体" w:hAnsi="宋体" w:eastAsia="宋体"/>
                <w:szCs w:val="21"/>
                <w:u w:val="single"/>
              </w:rPr>
              <w:t xml:space="preserve">     </w:t>
            </w:r>
            <w:r>
              <w:rPr>
                <w:rFonts w:hint="eastAsia" w:ascii="宋体" w:hAnsi="宋体" w:eastAsia="宋体"/>
                <w:szCs w:val="21"/>
                <w:u w:val="single"/>
              </w:rPr>
              <w:t xml:space="preserve"> </w:t>
            </w:r>
            <w:r>
              <w:rPr>
                <w:rFonts w:ascii="宋体" w:hAnsi="宋体" w:eastAsia="宋体"/>
                <w:szCs w:val="21"/>
                <w:u w:val="single"/>
              </w:rPr>
              <w:t xml:space="preserve">     </w:t>
            </w:r>
            <w:r>
              <w:rPr>
                <w:rFonts w:hint="eastAsia" w:ascii="宋体" w:hAnsi="宋体" w:eastAsia="宋体"/>
                <w:szCs w:val="21"/>
                <w:u w:val="single"/>
              </w:rPr>
              <w:t xml:space="preserve">  </w:t>
            </w:r>
            <w:r>
              <w:rPr>
                <w:rFonts w:ascii="宋体" w:hAnsi="宋体" w:eastAsia="宋体"/>
                <w:szCs w:val="21"/>
                <w:u w:val="single"/>
              </w:rPr>
              <w:t xml:space="preserve">          </w:t>
            </w:r>
            <w:r>
              <w:rPr>
                <w:rFonts w:hint="eastAsia" w:ascii="宋体" w:hAnsi="宋体" w:eastAsia="宋体"/>
                <w:szCs w:val="21"/>
                <w:u w:val="single"/>
              </w:rPr>
              <w:t>元）</w:t>
            </w:r>
          </w:p>
        </w:tc>
      </w:tr>
    </w:tbl>
    <w:p w14:paraId="308085D1">
      <w:pPr>
        <w:widowControl/>
        <w:jc w:val="left"/>
        <w:rPr>
          <w:rFonts w:ascii="Calibri" w:hAnsi="Calibri" w:eastAsia="宋体" w:cs="Times New Roman"/>
          <w:kern w:val="0"/>
          <w:sz w:val="20"/>
          <w:szCs w:val="20"/>
          <w:lang w:eastAsia="zh-Hans"/>
        </w:rPr>
      </w:pPr>
    </w:p>
    <w:p w14:paraId="4D9A63D0">
      <w:pPr>
        <w:widowControl/>
        <w:jc w:val="left"/>
        <w:rPr>
          <w:rFonts w:ascii="Calibri" w:hAnsi="Calibri" w:eastAsia="宋体" w:cs="Times New Roman"/>
          <w:kern w:val="0"/>
          <w:sz w:val="20"/>
          <w:szCs w:val="20"/>
          <w:lang w:eastAsia="zh-Hans"/>
        </w:rPr>
      </w:pPr>
    </w:p>
    <w:p w14:paraId="4CEDCB9F">
      <w:pPr>
        <w:widowControl/>
        <w:jc w:val="left"/>
        <w:outlineLvl w:val="2"/>
        <w:rPr>
          <w:rFonts w:ascii="Calibri" w:hAnsi="Calibri" w:eastAsia="宋体" w:cs="Times New Roman"/>
          <w:b/>
          <w:kern w:val="0"/>
          <w:sz w:val="28"/>
          <w:szCs w:val="20"/>
        </w:rPr>
      </w:pPr>
    </w:p>
    <w:p w14:paraId="76EEE6F7">
      <w:pPr>
        <w:widowControl/>
        <w:spacing w:line="300" w:lineRule="auto"/>
        <w:jc w:val="left"/>
        <w:rPr>
          <w:rFonts w:ascii="宋体" w:hAnsi="宋体" w:eastAsia="宋体" w:cs="Times New Roman"/>
          <w:kern w:val="0"/>
          <w:szCs w:val="21"/>
          <w:lang w:eastAsia="zh-Hans"/>
        </w:rPr>
      </w:pPr>
    </w:p>
    <w:p w14:paraId="2DB9C27D">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1C1CB97E">
      <w:pPr>
        <w:rPr>
          <w:rFonts w:ascii="宋体" w:hAnsi="宋体" w:eastAsia="宋体" w:cs="Times New Roman"/>
          <w:szCs w:val="21"/>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71FE5E8F">
      <w:pPr>
        <w:pageBreakBefore/>
        <w:rPr>
          <w:rFonts w:ascii="宋体" w:hAnsi="宋体" w:eastAsia="宋体" w:cs="Times New Roman"/>
          <w:kern w:val="0"/>
          <w:szCs w:val="21"/>
          <w:lang w:eastAsia="zh-Hans"/>
        </w:rPr>
      </w:pPr>
      <w:bookmarkStart w:id="55" w:name="_Toc169799790"/>
      <w:r>
        <w:rPr>
          <w:rFonts w:ascii="宋体" w:hAnsi="宋体" w:eastAsia="宋体"/>
          <w:b/>
          <w:bCs/>
          <w:sz w:val="24"/>
          <w:szCs w:val="28"/>
        </w:rPr>
        <w:t>格式</w:t>
      </w:r>
      <w:r>
        <w:rPr>
          <w:rFonts w:hint="eastAsia" w:ascii="宋体" w:hAnsi="宋体" w:eastAsia="宋体"/>
          <w:b/>
          <w:bCs/>
          <w:sz w:val="24"/>
          <w:szCs w:val="28"/>
        </w:rPr>
        <w:t>四</w:t>
      </w:r>
      <w:r>
        <w:rPr>
          <w:rFonts w:ascii="宋体" w:hAnsi="宋体" w:eastAsia="宋体"/>
          <w:b/>
          <w:bCs/>
          <w:sz w:val="24"/>
          <w:szCs w:val="28"/>
        </w:rPr>
        <w:t>：</w:t>
      </w:r>
      <w:bookmarkEnd w:id="55"/>
    </w:p>
    <w:p w14:paraId="4D4997B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（以下格式文件由供应商根据需要选用）</w:t>
      </w:r>
    </w:p>
    <w:p w14:paraId="4E9FCFE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中小企业声明函（所投产品制造商为中小企业时提交本函，所属行业应符合采购文件中明确的本项目所属行业）中小企业声明函（承建本项目工程为中小企业或者承接本项目服务为中小企业时提交本函，所属行业应符合采购文件中明确的本项目所属行业）</w:t>
      </w:r>
    </w:p>
    <w:p w14:paraId="63F7C069">
      <w:pPr>
        <w:widowControl/>
        <w:spacing w:before="217" w:beforeLines="50" w:after="217" w:afterLines="50"/>
        <w:jc w:val="center"/>
        <w:outlineLvl w:val="3"/>
        <w:rPr>
          <w:rFonts w:ascii="宋体" w:hAnsi="宋体" w:eastAsia="宋体" w:cs="Times New Roman"/>
          <w:kern w:val="0"/>
          <w:szCs w:val="21"/>
          <w:lang w:eastAsia="zh-Hans"/>
        </w:rPr>
      </w:pPr>
      <w:r>
        <w:rPr>
          <w:rFonts w:ascii="宋体" w:hAnsi="宋体" w:eastAsia="宋体" w:cs="Times New Roman"/>
          <w:b/>
          <w:kern w:val="0"/>
          <w:sz w:val="32"/>
          <w:szCs w:val="32"/>
          <w:lang w:eastAsia="zh-Hans"/>
        </w:rPr>
        <w:t>中小企业声明函（工程、服务）</w:t>
      </w:r>
    </w:p>
    <w:p w14:paraId="329D60C6">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本公司（联合体）郑重声明，根据《政府采购促进中小企业发展管理办法》（财库﹝2020﹞46号）的规定，本公司（联合体）参加</w:t>
      </w:r>
      <w:r>
        <w:rPr>
          <w:rFonts w:ascii="宋体" w:hAnsi="宋体" w:eastAsia="宋体" w:cs="Times New Roman"/>
          <w:kern w:val="0"/>
          <w:szCs w:val="21"/>
          <w:u w:val="single"/>
          <w:lang w:eastAsia="zh-Hans"/>
        </w:rPr>
        <w:t>（单位名称）</w:t>
      </w:r>
      <w:r>
        <w:rPr>
          <w:rFonts w:ascii="宋体" w:hAnsi="宋体" w:eastAsia="宋体" w:cs="Times New Roman"/>
          <w:kern w:val="0"/>
          <w:szCs w:val="21"/>
          <w:lang w:eastAsia="zh-Hans"/>
        </w:rPr>
        <w:t>的</w:t>
      </w:r>
      <w:r>
        <w:rPr>
          <w:rFonts w:ascii="宋体" w:hAnsi="宋体" w:eastAsia="宋体" w:cs="Times New Roman"/>
          <w:kern w:val="0"/>
          <w:szCs w:val="21"/>
          <w:u w:val="single"/>
          <w:lang w:eastAsia="zh-Hans"/>
        </w:rPr>
        <w:t>（项目名称）</w:t>
      </w:r>
      <w:r>
        <w:rPr>
          <w:rFonts w:ascii="宋体" w:hAnsi="宋体" w:eastAsia="宋体" w:cs="Times New Roman"/>
          <w:kern w:val="0"/>
          <w:szCs w:val="21"/>
          <w:lang w:eastAsia="zh-Hans"/>
        </w:rPr>
        <w:t>采购活动，工程的施工单位全部为符合政策要求的中小企业（或者：服务全部由符合政策要求的中小企业承接）。相关企业（含联合体中的中小企业、签订分包意向协议的中小企业）的具体情况如下：</w:t>
      </w:r>
    </w:p>
    <w:p w14:paraId="5A966398">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1.</w:t>
      </w:r>
      <w:r>
        <w:rPr>
          <w:rFonts w:ascii="宋体" w:hAnsi="宋体" w:eastAsia="宋体" w:cs="Times New Roman"/>
          <w:kern w:val="0"/>
          <w:szCs w:val="21"/>
          <w:u w:val="single"/>
          <w:lang w:eastAsia="zh-Hans"/>
        </w:rPr>
        <w:t>（标的名称）</w:t>
      </w:r>
      <w:r>
        <w:rPr>
          <w:rFonts w:ascii="宋体" w:hAnsi="宋体" w:eastAsia="宋体" w:cs="Times New Roman"/>
          <w:kern w:val="0"/>
          <w:szCs w:val="21"/>
          <w:lang w:eastAsia="zh-Hans"/>
        </w:rPr>
        <w:t>，属于</w:t>
      </w:r>
      <w:r>
        <w:rPr>
          <w:rFonts w:ascii="宋体" w:hAnsi="宋体" w:eastAsia="宋体" w:cs="Times New Roman"/>
          <w:kern w:val="0"/>
          <w:szCs w:val="21"/>
          <w:u w:val="single"/>
          <w:lang w:eastAsia="zh-Hans"/>
        </w:rPr>
        <w:t>（采购文件中明确的所属行业）</w:t>
      </w:r>
      <w:r>
        <w:rPr>
          <w:rFonts w:ascii="宋体" w:hAnsi="宋体" w:eastAsia="宋体" w:cs="Times New Roman"/>
          <w:kern w:val="0"/>
          <w:szCs w:val="21"/>
          <w:lang w:eastAsia="zh-Hans"/>
        </w:rPr>
        <w:t>行业；承建（承接）企业为</w:t>
      </w:r>
      <w:r>
        <w:rPr>
          <w:rFonts w:ascii="宋体" w:hAnsi="宋体" w:eastAsia="宋体" w:cs="Times New Roman"/>
          <w:kern w:val="0"/>
          <w:szCs w:val="21"/>
          <w:u w:val="single"/>
          <w:lang w:eastAsia="zh-Hans"/>
        </w:rPr>
        <w:t>（企业名称）</w:t>
      </w:r>
      <w:r>
        <w:rPr>
          <w:rFonts w:ascii="宋体" w:hAnsi="宋体" w:eastAsia="宋体" w:cs="Times New Roman"/>
          <w:kern w:val="0"/>
          <w:szCs w:val="21"/>
          <w:lang w:eastAsia="zh-Hans"/>
        </w:rPr>
        <w:t>，从业人员___________人，营业收入为______________万元，资产总额为_____________万元1，属于</w:t>
      </w:r>
      <w:r>
        <w:rPr>
          <w:rFonts w:ascii="宋体" w:hAnsi="宋体" w:eastAsia="宋体" w:cs="Times New Roman"/>
          <w:kern w:val="0"/>
          <w:szCs w:val="21"/>
          <w:u w:val="single"/>
          <w:lang w:eastAsia="zh-Hans"/>
        </w:rPr>
        <w:t>（中型企业、小型企业、微型企业）</w:t>
      </w:r>
      <w:r>
        <w:rPr>
          <w:rFonts w:ascii="宋体" w:hAnsi="宋体" w:eastAsia="宋体" w:cs="Times New Roman"/>
          <w:kern w:val="0"/>
          <w:szCs w:val="21"/>
          <w:lang w:eastAsia="zh-Hans"/>
        </w:rPr>
        <w:t>；</w:t>
      </w:r>
    </w:p>
    <w:p w14:paraId="5677ABFD">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2.</w:t>
      </w:r>
      <w:r>
        <w:rPr>
          <w:rFonts w:ascii="宋体" w:hAnsi="宋体" w:eastAsia="宋体" w:cs="Times New Roman"/>
          <w:kern w:val="0"/>
          <w:szCs w:val="21"/>
          <w:u w:val="single"/>
          <w:lang w:eastAsia="zh-Hans"/>
        </w:rPr>
        <w:t>（标的名称）</w:t>
      </w:r>
      <w:r>
        <w:rPr>
          <w:rFonts w:ascii="宋体" w:hAnsi="宋体" w:eastAsia="宋体" w:cs="Times New Roman"/>
          <w:kern w:val="0"/>
          <w:szCs w:val="21"/>
          <w:lang w:eastAsia="zh-Hans"/>
        </w:rPr>
        <w:t>，属于</w:t>
      </w:r>
      <w:r>
        <w:rPr>
          <w:rFonts w:ascii="宋体" w:hAnsi="宋体" w:eastAsia="宋体" w:cs="Times New Roman"/>
          <w:kern w:val="0"/>
          <w:szCs w:val="21"/>
          <w:u w:val="single"/>
          <w:lang w:eastAsia="zh-Hans"/>
        </w:rPr>
        <w:t>（采购文件中明确的所属行业）</w:t>
      </w:r>
      <w:r>
        <w:rPr>
          <w:rFonts w:ascii="宋体" w:hAnsi="宋体" w:eastAsia="宋体" w:cs="Times New Roman"/>
          <w:kern w:val="0"/>
          <w:szCs w:val="21"/>
          <w:lang w:eastAsia="zh-Hans"/>
        </w:rPr>
        <w:t>行业；承建（承接）企业为</w:t>
      </w:r>
      <w:r>
        <w:rPr>
          <w:rFonts w:ascii="宋体" w:hAnsi="宋体" w:eastAsia="宋体" w:cs="Times New Roman"/>
          <w:kern w:val="0"/>
          <w:szCs w:val="21"/>
          <w:u w:val="single"/>
          <w:lang w:eastAsia="zh-Hans"/>
        </w:rPr>
        <w:t>（企业名称）</w:t>
      </w:r>
      <w:r>
        <w:rPr>
          <w:rFonts w:ascii="宋体" w:hAnsi="宋体" w:eastAsia="宋体" w:cs="Times New Roman"/>
          <w:kern w:val="0"/>
          <w:szCs w:val="21"/>
          <w:lang w:eastAsia="zh-Hans"/>
        </w:rPr>
        <w:t>，从业人员__________________人，营业收入为__________________万元，资产总额为__________________万元</w:t>
      </w:r>
      <w:r>
        <w:rPr>
          <w:rFonts w:ascii="宋体" w:hAnsi="宋体" w:eastAsia="宋体" w:cs="Times New Roman"/>
          <w:kern w:val="0"/>
          <w:szCs w:val="21"/>
          <w:vertAlign w:val="superscript"/>
          <w:lang w:eastAsia="zh-Hans"/>
        </w:rPr>
        <w:t>1</w:t>
      </w:r>
      <w:r>
        <w:rPr>
          <w:rFonts w:ascii="宋体" w:hAnsi="宋体" w:eastAsia="宋体" w:cs="Times New Roman"/>
          <w:kern w:val="0"/>
          <w:szCs w:val="21"/>
          <w:lang w:eastAsia="zh-Hans"/>
        </w:rPr>
        <w:t>，属于</w:t>
      </w:r>
      <w:r>
        <w:rPr>
          <w:rFonts w:ascii="宋体" w:hAnsi="宋体" w:eastAsia="宋体" w:cs="Times New Roman"/>
          <w:kern w:val="0"/>
          <w:szCs w:val="21"/>
          <w:u w:val="single"/>
          <w:lang w:eastAsia="zh-Hans"/>
        </w:rPr>
        <w:t>（中型企业、小型企业、微型企业）</w:t>
      </w:r>
      <w:r>
        <w:rPr>
          <w:rFonts w:ascii="宋体" w:hAnsi="宋体" w:eastAsia="宋体" w:cs="Times New Roman"/>
          <w:kern w:val="0"/>
          <w:szCs w:val="21"/>
          <w:lang w:eastAsia="zh-Hans"/>
        </w:rPr>
        <w:t>；</w:t>
      </w:r>
    </w:p>
    <w:p w14:paraId="480DE6B8">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w:t>
      </w:r>
    </w:p>
    <w:p w14:paraId="58590A91">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以上企业，不属于大企业的分支机构，不存在控股股东为大企业的情形，也不存在与大企业的负责人为同一人的情形。</w:t>
      </w:r>
    </w:p>
    <w:p w14:paraId="6AF741D4">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本企业对上述声明内容的真实性负责。如有虚假，将依法承担相应责任。</w:t>
      </w:r>
    </w:p>
    <w:p w14:paraId="2AA54419">
      <w:pPr>
        <w:widowControl/>
        <w:spacing w:before="1087" w:beforeLines="250"/>
        <w:ind w:right="840" w:firstLine="4536" w:firstLineChars="2160"/>
        <w:rPr>
          <w:rFonts w:ascii="宋体" w:hAnsi="宋体" w:eastAsia="宋体" w:cs="Times New Roman"/>
          <w:kern w:val="0"/>
          <w:szCs w:val="21"/>
          <w:lang w:eastAsia="zh-Hans"/>
        </w:rPr>
      </w:pPr>
      <w:r>
        <w:rPr>
          <w:rFonts w:ascii="宋体" w:hAnsi="宋体" w:eastAsia="宋体" w:cs="Times New Roman"/>
          <w:kern w:val="0"/>
          <w:szCs w:val="21"/>
          <w:lang w:eastAsia="zh-Hans"/>
        </w:rPr>
        <w:t>企业名称（盖章）：__________________</w:t>
      </w:r>
    </w:p>
    <w:p w14:paraId="2AA477E0">
      <w:pPr>
        <w:widowControl/>
        <w:ind w:right="840" w:firstLine="4536" w:firstLineChars="2160"/>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566CDCE6">
      <w:pPr>
        <w:widowControl/>
        <w:ind w:right="840"/>
        <w:rPr>
          <w:rFonts w:ascii="宋体" w:hAnsi="宋体" w:eastAsia="宋体" w:cs="Times New Roman"/>
          <w:kern w:val="0"/>
          <w:szCs w:val="21"/>
          <w:lang w:eastAsia="zh-Hans"/>
        </w:rPr>
      </w:pPr>
    </w:p>
    <w:p w14:paraId="01CB4089">
      <w:pPr>
        <w:widowControl/>
        <w:ind w:right="840"/>
        <w:rPr>
          <w:rFonts w:ascii="宋体" w:hAnsi="宋体" w:eastAsia="宋体" w:cs="Times New Roman"/>
          <w:kern w:val="0"/>
          <w:szCs w:val="21"/>
          <w:lang w:eastAsia="zh-Hans"/>
        </w:rPr>
      </w:pPr>
    </w:p>
    <w:p w14:paraId="2626021C">
      <w:pPr>
        <w:widowControl/>
        <w:ind w:right="840"/>
        <w:rPr>
          <w:rFonts w:ascii="宋体" w:hAnsi="宋体" w:eastAsia="宋体" w:cs="Times New Roman"/>
          <w:kern w:val="0"/>
          <w:szCs w:val="21"/>
          <w:lang w:eastAsia="zh-Hans"/>
        </w:rPr>
      </w:pPr>
    </w:p>
    <w:p w14:paraId="206A9AAB">
      <w:pPr>
        <w:widowControl/>
        <w:ind w:right="840"/>
        <w:rPr>
          <w:rFonts w:ascii="宋体" w:hAnsi="宋体" w:eastAsia="宋体" w:cs="Times New Roman"/>
          <w:kern w:val="0"/>
          <w:szCs w:val="21"/>
          <w:lang w:eastAsia="zh-Hans"/>
        </w:rPr>
      </w:pPr>
      <w:r>
        <w:rPr>
          <w:rFonts w:ascii="宋体" w:hAnsi="宋体" w:eastAsia="宋体" w:cs="Times New Roman"/>
          <w:kern w:val="0"/>
          <w:szCs w:val="21"/>
          <w:lang w:eastAsia="zh-Hans"/>
        </w:rPr>
        <w:t>从业人员、营业收入、资产总额填报上一年度数据，无上一年度数据的新成立企业可不填报。</w:t>
      </w:r>
    </w:p>
    <w:p w14:paraId="34BC5F13">
      <w:pPr>
        <w:widowControl/>
        <w:jc w:val="left"/>
        <w:rPr>
          <w:rFonts w:ascii="宋体" w:hAnsi="宋体" w:eastAsia="宋体" w:cs="Times New Roman"/>
          <w:kern w:val="0"/>
          <w:szCs w:val="21"/>
          <w:lang w:eastAsia="zh-Hans"/>
        </w:rPr>
      </w:pPr>
    </w:p>
    <w:p w14:paraId="1CB4C9D5">
      <w:pPr>
        <w:pageBreakBefore/>
        <w:rPr>
          <w:rFonts w:ascii="宋体" w:hAnsi="宋体" w:eastAsia="宋体" w:cs="Times New Roman"/>
          <w:kern w:val="0"/>
          <w:szCs w:val="21"/>
          <w:lang w:eastAsia="zh-Hans"/>
        </w:rPr>
      </w:pPr>
      <w:bookmarkStart w:id="56" w:name="_Toc169799791"/>
      <w:r>
        <w:rPr>
          <w:rFonts w:ascii="宋体" w:hAnsi="宋体" w:eastAsia="宋体"/>
          <w:b/>
          <w:bCs/>
          <w:sz w:val="24"/>
          <w:szCs w:val="28"/>
        </w:rPr>
        <w:t>格式</w:t>
      </w:r>
      <w:r>
        <w:rPr>
          <w:rFonts w:hint="eastAsia" w:ascii="宋体" w:hAnsi="宋体" w:eastAsia="宋体"/>
          <w:b/>
          <w:bCs/>
          <w:sz w:val="24"/>
          <w:szCs w:val="28"/>
        </w:rPr>
        <w:t>五</w:t>
      </w:r>
      <w:r>
        <w:rPr>
          <w:rFonts w:ascii="宋体" w:hAnsi="宋体" w:eastAsia="宋体"/>
          <w:b/>
          <w:bCs/>
          <w:sz w:val="24"/>
          <w:szCs w:val="28"/>
        </w:rPr>
        <w:t>：</w:t>
      </w:r>
      <w:bookmarkEnd w:id="56"/>
    </w:p>
    <w:p w14:paraId="5EAFA48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（以下格式文件由供应商根据需要选用）</w:t>
      </w:r>
    </w:p>
    <w:p w14:paraId="1347B912">
      <w:pPr>
        <w:widowControl/>
        <w:jc w:val="center"/>
        <w:outlineLvl w:val="3"/>
        <w:rPr>
          <w:rFonts w:ascii="宋体" w:hAnsi="宋体" w:eastAsia="宋体" w:cs="Times New Roman"/>
          <w:kern w:val="0"/>
          <w:szCs w:val="21"/>
          <w:lang w:eastAsia="zh-Hans"/>
        </w:rPr>
      </w:pPr>
      <w:r>
        <w:rPr>
          <w:rFonts w:ascii="宋体" w:hAnsi="宋体" w:eastAsia="宋体" w:cs="Times New Roman"/>
          <w:b/>
          <w:kern w:val="0"/>
          <w:sz w:val="32"/>
          <w:szCs w:val="32"/>
          <w:lang w:eastAsia="zh-Hans"/>
        </w:rPr>
        <w:t>监狱企业</w:t>
      </w:r>
    </w:p>
    <w:p w14:paraId="41939BD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提供由监狱管理局、戒毒管理局（含新疆生产建设兵团）出具的属于监狱企业的证明文件。</w:t>
      </w:r>
    </w:p>
    <w:p w14:paraId="56CE58B4">
      <w:pPr>
        <w:widowControl/>
        <w:jc w:val="left"/>
        <w:rPr>
          <w:rFonts w:ascii="宋体" w:hAnsi="宋体" w:eastAsia="宋体" w:cs="Times New Roman"/>
          <w:kern w:val="0"/>
          <w:szCs w:val="21"/>
          <w:lang w:eastAsia="zh-Hans"/>
        </w:rPr>
      </w:pPr>
    </w:p>
    <w:p w14:paraId="452DC3D0">
      <w:pPr>
        <w:keepLines/>
        <w:spacing w:before="652" w:beforeLines="150"/>
        <w:rPr>
          <w:rFonts w:ascii="宋体" w:hAnsi="宋体" w:eastAsia="宋体" w:cs="Times New Roman"/>
          <w:kern w:val="0"/>
          <w:szCs w:val="21"/>
          <w:lang w:eastAsia="zh-Hans"/>
        </w:rPr>
      </w:pPr>
      <w:bookmarkStart w:id="57" w:name="_Toc169799792"/>
      <w:r>
        <w:rPr>
          <w:rFonts w:ascii="宋体" w:hAnsi="宋体" w:eastAsia="宋体"/>
          <w:b/>
          <w:bCs/>
          <w:sz w:val="24"/>
          <w:szCs w:val="28"/>
        </w:rPr>
        <w:t>格式</w:t>
      </w:r>
      <w:r>
        <w:rPr>
          <w:rFonts w:hint="eastAsia" w:ascii="宋体" w:hAnsi="宋体" w:eastAsia="宋体"/>
          <w:b/>
          <w:bCs/>
          <w:sz w:val="24"/>
          <w:szCs w:val="28"/>
        </w:rPr>
        <w:t>六</w:t>
      </w:r>
      <w:r>
        <w:rPr>
          <w:rFonts w:ascii="宋体" w:hAnsi="宋体" w:eastAsia="宋体"/>
          <w:b/>
          <w:bCs/>
          <w:sz w:val="24"/>
          <w:szCs w:val="28"/>
        </w:rPr>
        <w:t>：</w:t>
      </w:r>
      <w:bookmarkEnd w:id="57"/>
    </w:p>
    <w:p w14:paraId="07BDD4EA">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（以下格式文件由供应商根据需要选用）</w:t>
      </w:r>
    </w:p>
    <w:p w14:paraId="189DBA06">
      <w:pPr>
        <w:widowControl/>
        <w:spacing w:before="652" w:beforeLines="150" w:after="217" w:afterLines="50"/>
        <w:jc w:val="center"/>
        <w:outlineLvl w:val="3"/>
        <w:rPr>
          <w:rFonts w:ascii="宋体" w:hAnsi="宋体" w:eastAsia="宋体" w:cs="Times New Roman"/>
          <w:kern w:val="0"/>
          <w:szCs w:val="21"/>
          <w:lang w:eastAsia="zh-Hans"/>
        </w:rPr>
      </w:pPr>
      <w:r>
        <w:rPr>
          <w:rFonts w:ascii="宋体" w:hAnsi="宋体" w:eastAsia="宋体" w:cs="Times New Roman"/>
          <w:b/>
          <w:kern w:val="0"/>
          <w:sz w:val="32"/>
          <w:szCs w:val="32"/>
          <w:lang w:eastAsia="zh-Hans"/>
        </w:rPr>
        <w:t>残疾人福利性单位声明函</w:t>
      </w:r>
    </w:p>
    <w:p w14:paraId="75F647AD">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0428AD57">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本单位对上述声明的真实性负责。如有虚假，将依法承担相应责任。</w:t>
      </w:r>
    </w:p>
    <w:p w14:paraId="278E8EE4">
      <w:pPr>
        <w:widowControl/>
        <w:spacing w:before="870" w:beforeLines="200"/>
        <w:ind w:right="840" w:firstLine="4536" w:firstLineChars="2160"/>
        <w:rPr>
          <w:rFonts w:ascii="宋体" w:hAnsi="宋体" w:eastAsia="宋体" w:cs="Times New Roman"/>
          <w:kern w:val="0"/>
          <w:szCs w:val="21"/>
          <w:lang w:eastAsia="zh-Hans"/>
        </w:rPr>
      </w:pPr>
      <w:r>
        <w:rPr>
          <w:rFonts w:ascii="宋体" w:hAnsi="宋体" w:eastAsia="宋体" w:cs="Times New Roman"/>
          <w:kern w:val="0"/>
          <w:szCs w:val="21"/>
          <w:lang w:eastAsia="zh-Hans"/>
        </w:rPr>
        <w:t>单位名称（盖章）：__________________</w:t>
      </w:r>
    </w:p>
    <w:p w14:paraId="230C81B8">
      <w:pPr>
        <w:widowControl/>
        <w:ind w:right="840" w:firstLine="4536" w:firstLineChars="2160"/>
        <w:rPr>
          <w:rFonts w:ascii="宋体" w:hAnsi="宋体" w:eastAsia="宋体" w:cs="Times New Roman"/>
          <w:kern w:val="0"/>
          <w:szCs w:val="21"/>
          <w:lang w:eastAsia="zh-Hans"/>
        </w:rPr>
      </w:pPr>
      <w:r>
        <w:rPr>
          <w:rFonts w:ascii="宋体" w:hAnsi="宋体" w:eastAsia="宋体" w:cs="Times New Roman"/>
          <w:kern w:val="0"/>
          <w:szCs w:val="21"/>
          <w:lang w:eastAsia="zh-Hans"/>
        </w:rPr>
        <w:t>日期： 年 月 日</w:t>
      </w:r>
    </w:p>
    <w:p w14:paraId="36F407F1">
      <w:pPr>
        <w:pageBreakBefore/>
        <w:rPr>
          <w:rFonts w:ascii="Calibri" w:hAnsi="Calibri" w:eastAsia="宋体" w:cs="Times New Roman"/>
          <w:kern w:val="0"/>
          <w:szCs w:val="21"/>
          <w:lang w:eastAsia="zh-Hans"/>
        </w:rPr>
      </w:pPr>
      <w:bookmarkStart w:id="58" w:name="_Toc169799793"/>
      <w:r>
        <w:rPr>
          <w:rFonts w:ascii="宋体" w:hAnsi="宋体" w:eastAsia="宋体"/>
          <w:b/>
          <w:bCs/>
          <w:sz w:val="24"/>
          <w:szCs w:val="28"/>
        </w:rPr>
        <w:t>格式</w:t>
      </w:r>
      <w:r>
        <w:rPr>
          <w:rFonts w:hint="eastAsia" w:ascii="宋体" w:hAnsi="宋体" w:eastAsia="宋体"/>
          <w:b/>
          <w:bCs/>
          <w:sz w:val="24"/>
          <w:szCs w:val="28"/>
        </w:rPr>
        <w:t>七</w:t>
      </w:r>
      <w:r>
        <w:rPr>
          <w:rFonts w:ascii="宋体" w:hAnsi="宋体" w:eastAsia="宋体"/>
          <w:b/>
          <w:bCs/>
          <w:sz w:val="24"/>
          <w:szCs w:val="28"/>
        </w:rPr>
        <w:t>：</w:t>
      </w:r>
      <w:bookmarkEnd w:id="58"/>
    </w:p>
    <w:p w14:paraId="4AE1792C">
      <w:pPr>
        <w:widowControl/>
        <w:spacing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政策适用性说明</w:t>
      </w:r>
    </w:p>
    <w:p w14:paraId="46F277E8">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按照政府采购有关政策的要求，在本次的技术方案中，采用符合政策的小型或微型企业产品、节能产品、环境标志产品，主要产品与核心技术介绍说明如下：</w:t>
      </w: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772"/>
        <w:gridCol w:w="1140"/>
        <w:gridCol w:w="1140"/>
        <w:gridCol w:w="1138"/>
        <w:gridCol w:w="1140"/>
        <w:gridCol w:w="1003"/>
        <w:gridCol w:w="1160"/>
      </w:tblGrid>
      <w:tr w14:paraId="3552B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EEEE0D6">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序号</w:t>
            </w:r>
          </w:p>
        </w:tc>
        <w:tc>
          <w:tcPr>
            <w:tcW w:w="954" w:type="pct"/>
            <w:vAlign w:val="center"/>
          </w:tcPr>
          <w:p w14:paraId="0D345E9E">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主要产品/技术名称（规格型号、注册商标）</w:t>
            </w:r>
          </w:p>
        </w:tc>
        <w:tc>
          <w:tcPr>
            <w:tcW w:w="614" w:type="pct"/>
            <w:vAlign w:val="center"/>
          </w:tcPr>
          <w:p w14:paraId="2D1E83F4">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制造商(开发商)</w:t>
            </w:r>
          </w:p>
        </w:tc>
        <w:tc>
          <w:tcPr>
            <w:tcW w:w="614" w:type="pct"/>
            <w:vAlign w:val="center"/>
          </w:tcPr>
          <w:p w14:paraId="06B8F618">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制造商企业类型</w:t>
            </w:r>
          </w:p>
        </w:tc>
        <w:tc>
          <w:tcPr>
            <w:tcW w:w="613" w:type="pct"/>
            <w:vAlign w:val="center"/>
          </w:tcPr>
          <w:p w14:paraId="00C5B104">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节能产品</w:t>
            </w:r>
          </w:p>
        </w:tc>
        <w:tc>
          <w:tcPr>
            <w:tcW w:w="614" w:type="pct"/>
            <w:vAlign w:val="center"/>
          </w:tcPr>
          <w:p w14:paraId="3B24A611">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环境标志产品</w:t>
            </w:r>
          </w:p>
        </w:tc>
        <w:tc>
          <w:tcPr>
            <w:tcW w:w="540" w:type="pct"/>
            <w:vAlign w:val="center"/>
          </w:tcPr>
          <w:p w14:paraId="0803BC30">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认证证书编号</w:t>
            </w:r>
          </w:p>
        </w:tc>
        <w:tc>
          <w:tcPr>
            <w:tcW w:w="624" w:type="pct"/>
            <w:vAlign w:val="center"/>
          </w:tcPr>
          <w:p w14:paraId="12572C7F">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该产品报价在总报价中占比（%）</w:t>
            </w:r>
          </w:p>
        </w:tc>
      </w:tr>
      <w:tr w14:paraId="6DEEF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41C24F0D">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954" w:type="pct"/>
            <w:vAlign w:val="center"/>
          </w:tcPr>
          <w:p w14:paraId="565F8435">
            <w:pPr>
              <w:jc w:val="center"/>
              <w:rPr>
                <w:rFonts w:ascii="宋体" w:hAnsi="宋体" w:eastAsia="宋体" w:cs="Times New Roman"/>
                <w:szCs w:val="21"/>
              </w:rPr>
            </w:pPr>
          </w:p>
        </w:tc>
        <w:tc>
          <w:tcPr>
            <w:tcW w:w="614" w:type="pct"/>
            <w:vAlign w:val="center"/>
          </w:tcPr>
          <w:p w14:paraId="295FC0F8">
            <w:pPr>
              <w:jc w:val="center"/>
              <w:rPr>
                <w:rFonts w:ascii="宋体" w:hAnsi="宋体" w:eastAsia="宋体" w:cs="Times New Roman"/>
                <w:szCs w:val="21"/>
              </w:rPr>
            </w:pPr>
          </w:p>
        </w:tc>
        <w:tc>
          <w:tcPr>
            <w:tcW w:w="614" w:type="pct"/>
            <w:vAlign w:val="center"/>
          </w:tcPr>
          <w:p w14:paraId="597AAA28">
            <w:pPr>
              <w:jc w:val="center"/>
              <w:rPr>
                <w:rFonts w:ascii="宋体" w:hAnsi="宋体" w:eastAsia="宋体" w:cs="Times New Roman"/>
                <w:szCs w:val="21"/>
              </w:rPr>
            </w:pPr>
          </w:p>
        </w:tc>
        <w:tc>
          <w:tcPr>
            <w:tcW w:w="613" w:type="pct"/>
            <w:vAlign w:val="center"/>
          </w:tcPr>
          <w:p w14:paraId="51DEA5FC">
            <w:pPr>
              <w:jc w:val="center"/>
              <w:rPr>
                <w:rFonts w:ascii="宋体" w:hAnsi="宋体" w:eastAsia="宋体" w:cs="Times New Roman"/>
                <w:szCs w:val="21"/>
              </w:rPr>
            </w:pPr>
          </w:p>
        </w:tc>
        <w:tc>
          <w:tcPr>
            <w:tcW w:w="614" w:type="pct"/>
            <w:vAlign w:val="center"/>
          </w:tcPr>
          <w:p w14:paraId="65928C23">
            <w:pPr>
              <w:jc w:val="center"/>
              <w:rPr>
                <w:rFonts w:ascii="宋体" w:hAnsi="宋体" w:eastAsia="宋体" w:cs="Times New Roman"/>
                <w:szCs w:val="21"/>
              </w:rPr>
            </w:pPr>
          </w:p>
        </w:tc>
        <w:tc>
          <w:tcPr>
            <w:tcW w:w="540" w:type="pct"/>
            <w:vAlign w:val="center"/>
          </w:tcPr>
          <w:p w14:paraId="42170184">
            <w:pPr>
              <w:jc w:val="center"/>
              <w:rPr>
                <w:rFonts w:ascii="宋体" w:hAnsi="宋体" w:eastAsia="宋体" w:cs="Times New Roman"/>
                <w:szCs w:val="21"/>
              </w:rPr>
            </w:pPr>
          </w:p>
        </w:tc>
        <w:tc>
          <w:tcPr>
            <w:tcW w:w="624" w:type="pct"/>
            <w:vAlign w:val="center"/>
          </w:tcPr>
          <w:p w14:paraId="07A206E3">
            <w:pPr>
              <w:jc w:val="center"/>
              <w:rPr>
                <w:rFonts w:ascii="宋体" w:hAnsi="宋体" w:eastAsia="宋体" w:cs="Times New Roman"/>
                <w:szCs w:val="21"/>
              </w:rPr>
            </w:pPr>
          </w:p>
        </w:tc>
      </w:tr>
      <w:tr w14:paraId="18393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34B2575">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954" w:type="pct"/>
            <w:vAlign w:val="center"/>
          </w:tcPr>
          <w:p w14:paraId="74E8A389">
            <w:pPr>
              <w:jc w:val="center"/>
              <w:rPr>
                <w:rFonts w:ascii="宋体" w:hAnsi="宋体" w:eastAsia="宋体" w:cs="Times New Roman"/>
                <w:szCs w:val="21"/>
              </w:rPr>
            </w:pPr>
          </w:p>
        </w:tc>
        <w:tc>
          <w:tcPr>
            <w:tcW w:w="614" w:type="pct"/>
            <w:vAlign w:val="center"/>
          </w:tcPr>
          <w:p w14:paraId="1BD6BB28">
            <w:pPr>
              <w:jc w:val="center"/>
              <w:rPr>
                <w:rFonts w:ascii="宋体" w:hAnsi="宋体" w:eastAsia="宋体" w:cs="Times New Roman"/>
                <w:szCs w:val="21"/>
              </w:rPr>
            </w:pPr>
          </w:p>
        </w:tc>
        <w:tc>
          <w:tcPr>
            <w:tcW w:w="614" w:type="pct"/>
            <w:vAlign w:val="center"/>
          </w:tcPr>
          <w:p w14:paraId="17D6A5CE">
            <w:pPr>
              <w:jc w:val="center"/>
              <w:rPr>
                <w:rFonts w:ascii="宋体" w:hAnsi="宋体" w:eastAsia="宋体" w:cs="Times New Roman"/>
                <w:szCs w:val="21"/>
              </w:rPr>
            </w:pPr>
          </w:p>
        </w:tc>
        <w:tc>
          <w:tcPr>
            <w:tcW w:w="613" w:type="pct"/>
            <w:vAlign w:val="center"/>
          </w:tcPr>
          <w:p w14:paraId="20A39320">
            <w:pPr>
              <w:jc w:val="center"/>
              <w:rPr>
                <w:rFonts w:ascii="宋体" w:hAnsi="宋体" w:eastAsia="宋体" w:cs="Times New Roman"/>
                <w:szCs w:val="21"/>
              </w:rPr>
            </w:pPr>
          </w:p>
        </w:tc>
        <w:tc>
          <w:tcPr>
            <w:tcW w:w="614" w:type="pct"/>
            <w:vAlign w:val="center"/>
          </w:tcPr>
          <w:p w14:paraId="3E4FEA72">
            <w:pPr>
              <w:jc w:val="center"/>
              <w:rPr>
                <w:rFonts w:ascii="宋体" w:hAnsi="宋体" w:eastAsia="宋体" w:cs="Times New Roman"/>
                <w:szCs w:val="21"/>
              </w:rPr>
            </w:pPr>
          </w:p>
        </w:tc>
        <w:tc>
          <w:tcPr>
            <w:tcW w:w="540" w:type="pct"/>
            <w:vAlign w:val="center"/>
          </w:tcPr>
          <w:p w14:paraId="1AE1FD9E">
            <w:pPr>
              <w:jc w:val="center"/>
              <w:rPr>
                <w:rFonts w:ascii="宋体" w:hAnsi="宋体" w:eastAsia="宋体" w:cs="Times New Roman"/>
                <w:szCs w:val="21"/>
              </w:rPr>
            </w:pPr>
          </w:p>
        </w:tc>
        <w:tc>
          <w:tcPr>
            <w:tcW w:w="624" w:type="pct"/>
            <w:vAlign w:val="center"/>
          </w:tcPr>
          <w:p w14:paraId="6ACB66F2">
            <w:pPr>
              <w:jc w:val="center"/>
              <w:rPr>
                <w:rFonts w:ascii="宋体" w:hAnsi="宋体" w:eastAsia="宋体" w:cs="Times New Roman"/>
                <w:szCs w:val="21"/>
              </w:rPr>
            </w:pPr>
          </w:p>
        </w:tc>
      </w:tr>
      <w:tr w14:paraId="38B3C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5D46B79">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954" w:type="pct"/>
            <w:vAlign w:val="center"/>
          </w:tcPr>
          <w:p w14:paraId="212BFB64">
            <w:pPr>
              <w:jc w:val="center"/>
              <w:rPr>
                <w:rFonts w:ascii="宋体" w:hAnsi="宋体" w:eastAsia="宋体" w:cs="Times New Roman"/>
                <w:szCs w:val="21"/>
              </w:rPr>
            </w:pPr>
          </w:p>
        </w:tc>
        <w:tc>
          <w:tcPr>
            <w:tcW w:w="614" w:type="pct"/>
            <w:vAlign w:val="center"/>
          </w:tcPr>
          <w:p w14:paraId="2F57FD87">
            <w:pPr>
              <w:jc w:val="center"/>
              <w:rPr>
                <w:rFonts w:ascii="宋体" w:hAnsi="宋体" w:eastAsia="宋体" w:cs="Times New Roman"/>
                <w:szCs w:val="21"/>
              </w:rPr>
            </w:pPr>
          </w:p>
        </w:tc>
        <w:tc>
          <w:tcPr>
            <w:tcW w:w="614" w:type="pct"/>
            <w:vAlign w:val="center"/>
          </w:tcPr>
          <w:p w14:paraId="5DA5E17C">
            <w:pPr>
              <w:jc w:val="center"/>
              <w:rPr>
                <w:rFonts w:ascii="宋体" w:hAnsi="宋体" w:eastAsia="宋体" w:cs="Times New Roman"/>
                <w:szCs w:val="21"/>
              </w:rPr>
            </w:pPr>
          </w:p>
        </w:tc>
        <w:tc>
          <w:tcPr>
            <w:tcW w:w="613" w:type="pct"/>
            <w:vAlign w:val="center"/>
          </w:tcPr>
          <w:p w14:paraId="3FC829CA">
            <w:pPr>
              <w:jc w:val="center"/>
              <w:rPr>
                <w:rFonts w:ascii="宋体" w:hAnsi="宋体" w:eastAsia="宋体" w:cs="Times New Roman"/>
                <w:szCs w:val="21"/>
              </w:rPr>
            </w:pPr>
          </w:p>
        </w:tc>
        <w:tc>
          <w:tcPr>
            <w:tcW w:w="614" w:type="pct"/>
            <w:vAlign w:val="center"/>
          </w:tcPr>
          <w:p w14:paraId="7CF7F8C1">
            <w:pPr>
              <w:jc w:val="center"/>
              <w:rPr>
                <w:rFonts w:ascii="宋体" w:hAnsi="宋体" w:eastAsia="宋体" w:cs="Times New Roman"/>
                <w:szCs w:val="21"/>
              </w:rPr>
            </w:pPr>
          </w:p>
        </w:tc>
        <w:tc>
          <w:tcPr>
            <w:tcW w:w="540" w:type="pct"/>
            <w:vAlign w:val="center"/>
          </w:tcPr>
          <w:p w14:paraId="500F042A">
            <w:pPr>
              <w:jc w:val="center"/>
              <w:rPr>
                <w:rFonts w:ascii="宋体" w:hAnsi="宋体" w:eastAsia="宋体" w:cs="Times New Roman"/>
                <w:szCs w:val="21"/>
              </w:rPr>
            </w:pPr>
          </w:p>
        </w:tc>
        <w:tc>
          <w:tcPr>
            <w:tcW w:w="624" w:type="pct"/>
            <w:vAlign w:val="center"/>
          </w:tcPr>
          <w:p w14:paraId="6B1FA96E">
            <w:pPr>
              <w:jc w:val="center"/>
              <w:rPr>
                <w:rFonts w:ascii="宋体" w:hAnsi="宋体" w:eastAsia="宋体" w:cs="Times New Roman"/>
                <w:szCs w:val="21"/>
              </w:rPr>
            </w:pPr>
          </w:p>
        </w:tc>
      </w:tr>
      <w:tr w14:paraId="727D9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44862AA">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954" w:type="pct"/>
            <w:vAlign w:val="center"/>
          </w:tcPr>
          <w:p w14:paraId="47FE0D4B">
            <w:pPr>
              <w:jc w:val="center"/>
              <w:rPr>
                <w:rFonts w:ascii="宋体" w:hAnsi="宋体" w:eastAsia="宋体" w:cs="Times New Roman"/>
                <w:szCs w:val="21"/>
              </w:rPr>
            </w:pPr>
          </w:p>
        </w:tc>
        <w:tc>
          <w:tcPr>
            <w:tcW w:w="614" w:type="pct"/>
            <w:vAlign w:val="center"/>
          </w:tcPr>
          <w:p w14:paraId="7850C18C">
            <w:pPr>
              <w:jc w:val="center"/>
              <w:rPr>
                <w:rFonts w:ascii="宋体" w:hAnsi="宋体" w:eastAsia="宋体" w:cs="Times New Roman"/>
                <w:szCs w:val="21"/>
              </w:rPr>
            </w:pPr>
          </w:p>
        </w:tc>
        <w:tc>
          <w:tcPr>
            <w:tcW w:w="614" w:type="pct"/>
            <w:vAlign w:val="center"/>
          </w:tcPr>
          <w:p w14:paraId="4D1E06C1">
            <w:pPr>
              <w:jc w:val="center"/>
              <w:rPr>
                <w:rFonts w:ascii="宋体" w:hAnsi="宋体" w:eastAsia="宋体" w:cs="Times New Roman"/>
                <w:szCs w:val="21"/>
              </w:rPr>
            </w:pPr>
          </w:p>
        </w:tc>
        <w:tc>
          <w:tcPr>
            <w:tcW w:w="613" w:type="pct"/>
            <w:vAlign w:val="center"/>
          </w:tcPr>
          <w:p w14:paraId="13F5ED5D">
            <w:pPr>
              <w:jc w:val="center"/>
              <w:rPr>
                <w:rFonts w:ascii="宋体" w:hAnsi="宋体" w:eastAsia="宋体" w:cs="Times New Roman"/>
                <w:szCs w:val="21"/>
              </w:rPr>
            </w:pPr>
          </w:p>
        </w:tc>
        <w:tc>
          <w:tcPr>
            <w:tcW w:w="614" w:type="pct"/>
            <w:vAlign w:val="center"/>
          </w:tcPr>
          <w:p w14:paraId="5C9FB4B1">
            <w:pPr>
              <w:jc w:val="center"/>
              <w:rPr>
                <w:rFonts w:ascii="宋体" w:hAnsi="宋体" w:eastAsia="宋体" w:cs="Times New Roman"/>
                <w:szCs w:val="21"/>
              </w:rPr>
            </w:pPr>
          </w:p>
        </w:tc>
        <w:tc>
          <w:tcPr>
            <w:tcW w:w="540" w:type="pct"/>
            <w:vAlign w:val="center"/>
          </w:tcPr>
          <w:p w14:paraId="75E3D512">
            <w:pPr>
              <w:jc w:val="center"/>
              <w:rPr>
                <w:rFonts w:ascii="宋体" w:hAnsi="宋体" w:eastAsia="宋体" w:cs="Times New Roman"/>
                <w:szCs w:val="21"/>
              </w:rPr>
            </w:pPr>
          </w:p>
        </w:tc>
        <w:tc>
          <w:tcPr>
            <w:tcW w:w="624" w:type="pct"/>
            <w:vAlign w:val="center"/>
          </w:tcPr>
          <w:p w14:paraId="40720D86">
            <w:pPr>
              <w:jc w:val="center"/>
              <w:rPr>
                <w:rFonts w:ascii="宋体" w:hAnsi="宋体" w:eastAsia="宋体" w:cs="Times New Roman"/>
                <w:szCs w:val="21"/>
              </w:rPr>
            </w:pPr>
          </w:p>
        </w:tc>
      </w:tr>
      <w:tr w14:paraId="6DBAA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7E6FE21">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954" w:type="pct"/>
            <w:vAlign w:val="center"/>
          </w:tcPr>
          <w:p w14:paraId="53B00DA1">
            <w:pPr>
              <w:jc w:val="center"/>
              <w:rPr>
                <w:rFonts w:ascii="宋体" w:hAnsi="宋体" w:eastAsia="宋体" w:cs="Times New Roman"/>
                <w:szCs w:val="21"/>
              </w:rPr>
            </w:pPr>
          </w:p>
        </w:tc>
        <w:tc>
          <w:tcPr>
            <w:tcW w:w="614" w:type="pct"/>
            <w:vAlign w:val="center"/>
          </w:tcPr>
          <w:p w14:paraId="2407CAEF">
            <w:pPr>
              <w:jc w:val="center"/>
              <w:rPr>
                <w:rFonts w:ascii="宋体" w:hAnsi="宋体" w:eastAsia="宋体" w:cs="Times New Roman"/>
                <w:szCs w:val="21"/>
              </w:rPr>
            </w:pPr>
          </w:p>
        </w:tc>
        <w:tc>
          <w:tcPr>
            <w:tcW w:w="614" w:type="pct"/>
            <w:vAlign w:val="center"/>
          </w:tcPr>
          <w:p w14:paraId="5A00E673">
            <w:pPr>
              <w:jc w:val="center"/>
              <w:rPr>
                <w:rFonts w:ascii="宋体" w:hAnsi="宋体" w:eastAsia="宋体" w:cs="Times New Roman"/>
                <w:szCs w:val="21"/>
              </w:rPr>
            </w:pPr>
          </w:p>
        </w:tc>
        <w:tc>
          <w:tcPr>
            <w:tcW w:w="613" w:type="pct"/>
            <w:vAlign w:val="center"/>
          </w:tcPr>
          <w:p w14:paraId="6F95A962">
            <w:pPr>
              <w:jc w:val="center"/>
              <w:rPr>
                <w:rFonts w:ascii="宋体" w:hAnsi="宋体" w:eastAsia="宋体" w:cs="Times New Roman"/>
                <w:szCs w:val="21"/>
              </w:rPr>
            </w:pPr>
          </w:p>
        </w:tc>
        <w:tc>
          <w:tcPr>
            <w:tcW w:w="614" w:type="pct"/>
            <w:vAlign w:val="center"/>
          </w:tcPr>
          <w:p w14:paraId="5B900C1C">
            <w:pPr>
              <w:jc w:val="center"/>
              <w:rPr>
                <w:rFonts w:ascii="宋体" w:hAnsi="宋体" w:eastAsia="宋体" w:cs="Times New Roman"/>
                <w:szCs w:val="21"/>
              </w:rPr>
            </w:pPr>
          </w:p>
        </w:tc>
        <w:tc>
          <w:tcPr>
            <w:tcW w:w="540" w:type="pct"/>
            <w:vAlign w:val="center"/>
          </w:tcPr>
          <w:p w14:paraId="402D8396">
            <w:pPr>
              <w:jc w:val="center"/>
              <w:rPr>
                <w:rFonts w:ascii="宋体" w:hAnsi="宋体" w:eastAsia="宋体" w:cs="Times New Roman"/>
                <w:szCs w:val="21"/>
              </w:rPr>
            </w:pPr>
          </w:p>
        </w:tc>
        <w:tc>
          <w:tcPr>
            <w:tcW w:w="624" w:type="pct"/>
            <w:vAlign w:val="center"/>
          </w:tcPr>
          <w:p w14:paraId="2D1DDD2C">
            <w:pPr>
              <w:jc w:val="center"/>
              <w:rPr>
                <w:rFonts w:ascii="宋体" w:hAnsi="宋体" w:eastAsia="宋体" w:cs="Times New Roman"/>
                <w:szCs w:val="21"/>
              </w:rPr>
            </w:pPr>
          </w:p>
        </w:tc>
      </w:tr>
      <w:tr w14:paraId="50D9C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2C7EE647">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w:t>
            </w:r>
          </w:p>
        </w:tc>
        <w:tc>
          <w:tcPr>
            <w:tcW w:w="954" w:type="pct"/>
            <w:vAlign w:val="center"/>
          </w:tcPr>
          <w:p w14:paraId="1B5505F1">
            <w:pPr>
              <w:jc w:val="center"/>
              <w:rPr>
                <w:rFonts w:ascii="宋体" w:hAnsi="宋体" w:eastAsia="宋体" w:cs="Times New Roman"/>
                <w:szCs w:val="21"/>
              </w:rPr>
            </w:pPr>
          </w:p>
        </w:tc>
        <w:tc>
          <w:tcPr>
            <w:tcW w:w="614" w:type="pct"/>
            <w:vAlign w:val="center"/>
          </w:tcPr>
          <w:p w14:paraId="27D1A15B">
            <w:pPr>
              <w:jc w:val="center"/>
              <w:rPr>
                <w:rFonts w:ascii="宋体" w:hAnsi="宋体" w:eastAsia="宋体" w:cs="Times New Roman"/>
                <w:szCs w:val="21"/>
              </w:rPr>
            </w:pPr>
          </w:p>
        </w:tc>
        <w:tc>
          <w:tcPr>
            <w:tcW w:w="614" w:type="pct"/>
            <w:vAlign w:val="center"/>
          </w:tcPr>
          <w:p w14:paraId="3027D961">
            <w:pPr>
              <w:jc w:val="center"/>
              <w:rPr>
                <w:rFonts w:ascii="宋体" w:hAnsi="宋体" w:eastAsia="宋体" w:cs="Times New Roman"/>
                <w:szCs w:val="21"/>
              </w:rPr>
            </w:pPr>
          </w:p>
        </w:tc>
        <w:tc>
          <w:tcPr>
            <w:tcW w:w="613" w:type="pct"/>
            <w:vAlign w:val="center"/>
          </w:tcPr>
          <w:p w14:paraId="03CB365C">
            <w:pPr>
              <w:jc w:val="center"/>
              <w:rPr>
                <w:rFonts w:ascii="宋体" w:hAnsi="宋体" w:eastAsia="宋体" w:cs="Times New Roman"/>
                <w:szCs w:val="21"/>
              </w:rPr>
            </w:pPr>
          </w:p>
        </w:tc>
        <w:tc>
          <w:tcPr>
            <w:tcW w:w="614" w:type="pct"/>
            <w:vAlign w:val="center"/>
          </w:tcPr>
          <w:p w14:paraId="25F10BEA">
            <w:pPr>
              <w:jc w:val="center"/>
              <w:rPr>
                <w:rFonts w:ascii="宋体" w:hAnsi="宋体" w:eastAsia="宋体" w:cs="Times New Roman"/>
                <w:szCs w:val="21"/>
              </w:rPr>
            </w:pPr>
          </w:p>
        </w:tc>
        <w:tc>
          <w:tcPr>
            <w:tcW w:w="540" w:type="pct"/>
            <w:vAlign w:val="center"/>
          </w:tcPr>
          <w:p w14:paraId="2B62D518">
            <w:pPr>
              <w:jc w:val="center"/>
              <w:rPr>
                <w:rFonts w:ascii="宋体" w:hAnsi="宋体" w:eastAsia="宋体" w:cs="Times New Roman"/>
                <w:szCs w:val="21"/>
              </w:rPr>
            </w:pPr>
          </w:p>
        </w:tc>
        <w:tc>
          <w:tcPr>
            <w:tcW w:w="624" w:type="pct"/>
            <w:vAlign w:val="center"/>
          </w:tcPr>
          <w:p w14:paraId="0995BF55">
            <w:pPr>
              <w:jc w:val="center"/>
              <w:rPr>
                <w:rFonts w:ascii="宋体" w:hAnsi="宋体" w:eastAsia="宋体" w:cs="Times New Roman"/>
                <w:szCs w:val="21"/>
              </w:rPr>
            </w:pPr>
          </w:p>
        </w:tc>
      </w:tr>
    </w:tbl>
    <w:p w14:paraId="3C9B692E">
      <w:pPr>
        <w:widowControl/>
        <w:jc w:val="left"/>
        <w:rPr>
          <w:rFonts w:ascii="宋体" w:hAnsi="宋体" w:eastAsia="宋体" w:cs="Times New Roman"/>
          <w:kern w:val="0"/>
          <w:szCs w:val="21"/>
        </w:rPr>
      </w:pPr>
      <w:r>
        <w:rPr>
          <w:rFonts w:ascii="宋体" w:hAnsi="宋体" w:eastAsia="宋体" w:cs="Times New Roman"/>
          <w:kern w:val="0"/>
          <w:szCs w:val="21"/>
          <w:lang w:eastAsia="zh-Hans"/>
        </w:rPr>
        <w:t>注：</w:t>
      </w:r>
    </w:p>
    <w:p w14:paraId="346A80F8">
      <w:pPr>
        <w:widowControl/>
        <w:jc w:val="left"/>
        <w:rPr>
          <w:rFonts w:ascii="宋体" w:hAnsi="宋体" w:eastAsia="宋体" w:cs="Times New Roman"/>
          <w:kern w:val="0"/>
          <w:szCs w:val="21"/>
        </w:rPr>
      </w:pPr>
      <w:r>
        <w:rPr>
          <w:rFonts w:hint="eastAsia" w:ascii="宋体" w:hAnsi="宋体" w:eastAsia="宋体" w:cs="Times New Roman"/>
          <w:kern w:val="0"/>
          <w:szCs w:val="21"/>
        </w:rPr>
        <w:t>1.</w:t>
      </w:r>
      <w:r>
        <w:rPr>
          <w:rFonts w:ascii="宋体" w:hAnsi="宋体" w:eastAsia="宋体" w:cs="Times New Roman"/>
          <w:kern w:val="0"/>
          <w:szCs w:val="21"/>
        </w:rPr>
        <w:t>制造商为小型或微型企业时才需要填“制造商企业类型”栏，填写内容为“小型”或“微型”；</w:t>
      </w:r>
    </w:p>
    <w:p w14:paraId="74E27A30">
      <w:pPr>
        <w:widowControl/>
        <w:jc w:val="left"/>
        <w:rPr>
          <w:rFonts w:ascii="宋体" w:hAnsi="宋体" w:eastAsia="宋体" w:cs="Times New Roman"/>
          <w:kern w:val="0"/>
          <w:szCs w:val="21"/>
        </w:rPr>
      </w:pPr>
      <w:r>
        <w:rPr>
          <w:rFonts w:hint="eastAsia" w:ascii="宋体" w:hAnsi="宋体" w:eastAsia="宋体" w:cs="Times New Roman"/>
          <w:kern w:val="0"/>
          <w:szCs w:val="21"/>
        </w:rPr>
        <w:t>2.</w:t>
      </w:r>
      <w:r>
        <w:rPr>
          <w:rFonts w:ascii="宋体" w:hAnsi="宋体" w:eastAsia="宋体" w:cs="Times New Roman"/>
          <w:kern w:val="0"/>
          <w:szCs w:val="21"/>
        </w:rPr>
        <w:t>节能产品须填写认证证书编号，并提供投标产品的节能产品认证证书复印件加盖投标人公章；</w:t>
      </w:r>
    </w:p>
    <w:p w14:paraId="2F768A4F">
      <w:pPr>
        <w:widowControl/>
        <w:jc w:val="left"/>
        <w:rPr>
          <w:rFonts w:ascii="宋体" w:hAnsi="宋体" w:eastAsia="宋体" w:cs="Times New Roman"/>
          <w:kern w:val="0"/>
          <w:szCs w:val="21"/>
        </w:rPr>
      </w:pPr>
      <w:r>
        <w:rPr>
          <w:rFonts w:hint="eastAsia" w:ascii="宋体" w:hAnsi="宋体" w:eastAsia="宋体" w:cs="Times New Roman"/>
          <w:kern w:val="0"/>
          <w:szCs w:val="21"/>
        </w:rPr>
        <w:t>3.</w:t>
      </w:r>
      <w:r>
        <w:rPr>
          <w:rFonts w:ascii="宋体" w:hAnsi="宋体" w:eastAsia="宋体" w:cs="Times New Roman"/>
          <w:kern w:val="0"/>
          <w:szCs w:val="21"/>
        </w:rPr>
        <w:t>环保标志产品须填写认证证书编号，并提供投标产品的环保标志产品认证证书复印件加盖投标人公章。</w:t>
      </w:r>
    </w:p>
    <w:p w14:paraId="076141E3">
      <w:pPr>
        <w:widowControl/>
        <w:jc w:val="left"/>
        <w:rPr>
          <w:rFonts w:ascii="宋体" w:hAnsi="宋体" w:eastAsia="宋体" w:cs="Times New Roman"/>
          <w:kern w:val="0"/>
          <w:szCs w:val="21"/>
        </w:rPr>
      </w:pPr>
      <w:r>
        <w:rPr>
          <w:rFonts w:hint="eastAsia" w:ascii="宋体" w:hAnsi="宋体" w:eastAsia="宋体" w:cs="Times New Roman"/>
          <w:kern w:val="0"/>
          <w:szCs w:val="21"/>
        </w:rPr>
        <w:t>4.</w:t>
      </w:r>
      <w:r>
        <w:rPr>
          <w:rFonts w:ascii="宋体" w:hAnsi="宋体" w:eastAsia="宋体" w:cs="Times New Roman"/>
          <w:kern w:val="0"/>
          <w:szCs w:val="21"/>
        </w:rPr>
        <w:t>以上证明资料未按要求提供或未提供完整的，视为未提供处理。</w:t>
      </w:r>
    </w:p>
    <w:p w14:paraId="5F8169D0">
      <w:pPr>
        <w:widowControl/>
        <w:spacing w:before="870" w:beforeLines="200" w:line="300" w:lineRule="auto"/>
        <w:jc w:val="left"/>
        <w:rPr>
          <w:rFonts w:ascii="宋体" w:hAnsi="宋体" w:eastAsia="宋体" w:cs="Times New Roman"/>
          <w:kern w:val="0"/>
          <w:szCs w:val="21"/>
          <w:lang w:eastAsia="zh-Hans"/>
        </w:rPr>
      </w:pPr>
      <w:bookmarkStart w:id="59" w:name="_Hlk170133816"/>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64C13781">
      <w:pPr>
        <w:widowControl/>
        <w:spacing w:line="300" w:lineRule="auto"/>
        <w:jc w:val="left"/>
        <w:rPr>
          <w:rFonts w:ascii="宋体" w:hAnsi="宋体" w:eastAsia="宋体" w:cs="Times New Roman"/>
          <w:kern w:val="0"/>
          <w:szCs w:val="21"/>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bookmarkEnd w:id="59"/>
    </w:p>
    <w:p w14:paraId="72132B7F">
      <w:pPr>
        <w:pageBreakBefore/>
        <w:rPr>
          <w:rFonts w:ascii="宋体" w:hAnsi="宋体" w:eastAsia="宋体" w:cs="Times New Roman"/>
          <w:kern w:val="0"/>
          <w:szCs w:val="21"/>
          <w:lang w:eastAsia="zh-Hans"/>
        </w:rPr>
      </w:pPr>
      <w:bookmarkStart w:id="60" w:name="_Toc169799794"/>
      <w:r>
        <w:rPr>
          <w:rFonts w:ascii="宋体" w:hAnsi="宋体" w:eastAsia="宋体"/>
          <w:b/>
          <w:bCs/>
          <w:sz w:val="24"/>
          <w:szCs w:val="28"/>
        </w:rPr>
        <w:t>格式</w:t>
      </w:r>
      <w:r>
        <w:rPr>
          <w:rFonts w:hint="eastAsia" w:ascii="宋体" w:hAnsi="宋体" w:eastAsia="宋体"/>
          <w:b/>
          <w:bCs/>
          <w:sz w:val="24"/>
          <w:szCs w:val="28"/>
        </w:rPr>
        <w:t>八</w:t>
      </w:r>
      <w:r>
        <w:rPr>
          <w:rFonts w:ascii="宋体" w:hAnsi="宋体" w:eastAsia="宋体"/>
          <w:b/>
          <w:bCs/>
          <w:sz w:val="24"/>
          <w:szCs w:val="28"/>
        </w:rPr>
        <w:t>：</w:t>
      </w:r>
      <w:bookmarkEnd w:id="60"/>
    </w:p>
    <w:p w14:paraId="6478AD08">
      <w:pPr>
        <w:widowControl/>
        <w:jc w:val="left"/>
        <w:rPr>
          <w:rFonts w:ascii="宋体" w:hAnsi="宋体" w:eastAsia="宋体" w:cs="Times New Roman"/>
          <w:kern w:val="0"/>
          <w:szCs w:val="21"/>
          <w:lang w:eastAsia="zh-Hans"/>
        </w:rPr>
      </w:pPr>
      <w:bookmarkStart w:id="61" w:name="_Hlk169795196"/>
      <w:r>
        <w:rPr>
          <w:rFonts w:ascii="宋体" w:hAnsi="宋体" w:eastAsia="宋体" w:cs="Times New Roman"/>
          <w:kern w:val="0"/>
          <w:szCs w:val="21"/>
          <w:lang w:eastAsia="zh-Hans"/>
        </w:rPr>
        <w:t>（以下格式文件由供应商根据需要选用）</w:t>
      </w:r>
      <w:bookmarkEnd w:id="61"/>
    </w:p>
    <w:p w14:paraId="0492FC87">
      <w:pPr>
        <w:widowControl/>
        <w:spacing w:before="435" w:beforeLines="100" w:after="217" w:afterLines="50"/>
        <w:jc w:val="center"/>
        <w:outlineLvl w:val="3"/>
        <w:rPr>
          <w:rFonts w:ascii="宋体" w:hAnsi="宋体" w:eastAsia="宋体" w:cs="Times New Roman"/>
          <w:kern w:val="0"/>
          <w:sz w:val="28"/>
          <w:szCs w:val="28"/>
          <w:lang w:eastAsia="zh-Hans"/>
        </w:rPr>
      </w:pPr>
      <w:r>
        <w:rPr>
          <w:rFonts w:ascii="宋体" w:hAnsi="宋体" w:eastAsia="宋体" w:cs="Times New Roman"/>
          <w:b/>
          <w:kern w:val="0"/>
          <w:sz w:val="32"/>
          <w:szCs w:val="32"/>
          <w:lang w:eastAsia="zh-Hans"/>
        </w:rPr>
        <w:t>联合体共同投标协议书</w:t>
      </w:r>
    </w:p>
    <w:p w14:paraId="15EE7ABF">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立约方：</w:t>
      </w:r>
      <w:r>
        <w:rPr>
          <w:rFonts w:ascii="宋体" w:hAnsi="宋体" w:eastAsia="宋体" w:cs="Times New Roman"/>
          <w:kern w:val="0"/>
          <w:szCs w:val="21"/>
          <w:u w:val="single"/>
          <w:lang w:eastAsia="zh-Hans"/>
        </w:rPr>
        <w:t>（甲公司全称）</w:t>
      </w:r>
    </w:p>
    <w:p w14:paraId="78E7B199">
      <w:pPr>
        <w:widowControl/>
        <w:jc w:val="left"/>
        <w:rPr>
          <w:rFonts w:ascii="宋体" w:hAnsi="宋体" w:eastAsia="宋体" w:cs="Times New Roman"/>
          <w:kern w:val="0"/>
          <w:szCs w:val="21"/>
          <w:lang w:eastAsia="zh-Hans"/>
        </w:rPr>
      </w:pPr>
      <w:r>
        <w:rPr>
          <w:rFonts w:ascii="宋体" w:hAnsi="宋体" w:eastAsia="宋体" w:cs="Times New Roman"/>
          <w:kern w:val="0"/>
          <w:szCs w:val="21"/>
          <w:u w:val="single"/>
          <w:lang w:eastAsia="zh-Hans"/>
        </w:rPr>
        <w:t>（乙公司全称）</w:t>
      </w:r>
    </w:p>
    <w:p w14:paraId="6B952DF8">
      <w:pPr>
        <w:widowControl/>
        <w:jc w:val="left"/>
        <w:rPr>
          <w:rFonts w:ascii="宋体" w:hAnsi="宋体" w:eastAsia="宋体" w:cs="Times New Roman"/>
          <w:kern w:val="0"/>
          <w:szCs w:val="21"/>
          <w:lang w:eastAsia="zh-Hans"/>
        </w:rPr>
      </w:pPr>
      <w:r>
        <w:rPr>
          <w:rFonts w:ascii="宋体" w:hAnsi="宋体" w:eastAsia="宋体" w:cs="Times New Roman"/>
          <w:kern w:val="0"/>
          <w:szCs w:val="21"/>
          <w:u w:val="single"/>
          <w:lang w:eastAsia="zh-Hans"/>
        </w:rPr>
        <w:t>（……公司全称）</w:t>
      </w:r>
    </w:p>
    <w:p w14:paraId="551178CE">
      <w:pPr>
        <w:widowControl/>
        <w:jc w:val="left"/>
        <w:rPr>
          <w:rFonts w:ascii="宋体" w:hAnsi="宋体" w:eastAsia="宋体" w:cs="Times New Roman"/>
          <w:kern w:val="0"/>
          <w:szCs w:val="21"/>
          <w:lang w:eastAsia="zh-Hans"/>
        </w:rPr>
      </w:pPr>
      <w:r>
        <w:rPr>
          <w:rFonts w:ascii="宋体" w:hAnsi="宋体" w:eastAsia="宋体" w:cs="Times New Roman"/>
          <w:kern w:val="0"/>
          <w:szCs w:val="21"/>
          <w:u w:val="single"/>
          <w:lang w:eastAsia="zh-Hans"/>
        </w:rPr>
        <w:t>（甲公司全称）、（乙公司全称）、（……公司全称）</w:t>
      </w:r>
      <w:r>
        <w:rPr>
          <w:rFonts w:ascii="宋体" w:hAnsi="宋体" w:eastAsia="宋体" w:cs="Times New Roman"/>
          <w:kern w:val="0"/>
          <w:szCs w:val="21"/>
          <w:lang w:eastAsia="zh-Hans"/>
        </w:rPr>
        <w:t>自愿组成联合体，以一个投标人的身份共同参加（采购项目名称）（采购项目编号）的响应活动。经各方充分协商一致，就项目的响应和合同实施阶段的有关事务协商一致订立协议如下：</w:t>
      </w:r>
    </w:p>
    <w:p w14:paraId="1A545E7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一、联合体各方关系</w:t>
      </w:r>
    </w:p>
    <w:p w14:paraId="31B8B6BA">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u w:val="single"/>
          <w:lang w:eastAsia="zh-Hans"/>
        </w:rPr>
        <w:t>（甲公司全称）、（乙公司全称）、（……公司全称）</w:t>
      </w:r>
      <w:r>
        <w:rPr>
          <w:rFonts w:ascii="宋体" w:hAnsi="宋体" w:eastAsia="宋体" w:cs="Times New Roman"/>
          <w:kern w:val="0"/>
          <w:szCs w:val="21"/>
          <w:lang w:eastAsia="zh-Hans"/>
        </w:rPr>
        <w:t>共同组成一个联合体，以一个投标人的身份共同参加本项目的响应。（甲公司全称）、（乙公司全称）、（……公司全称）作为联合体成员，若中标，联合体各方共同与（采购人）签订采购合同。</w:t>
      </w:r>
    </w:p>
    <w:p w14:paraId="1646B99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二、联合体内部有关事项约定如下：</w:t>
      </w:r>
    </w:p>
    <w:p w14:paraId="324A9C4A">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1.（甲公司全称）作为联合体的牵头单位，代表联合体双方负责投标和合同实施阶段的主办、协调工作。</w:t>
      </w:r>
    </w:p>
    <w:p w14:paraId="735A92D4">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2.联合体将严格按照文件的各项要求，递交投标文件，切实执行一切合同文件，共同承担合同规定的一切义务和责任，同时按照内部职责的划分，承担自身所负的责任和风险，在法律上承担连带责任。</w:t>
      </w:r>
    </w:p>
    <w:p w14:paraId="74BFC7F2">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3.如果本联合体中标，</w:t>
      </w:r>
      <w:r>
        <w:rPr>
          <w:rFonts w:ascii="宋体" w:hAnsi="宋体" w:eastAsia="宋体" w:cs="Times New Roman"/>
          <w:kern w:val="0"/>
          <w:szCs w:val="21"/>
          <w:u w:val="single"/>
          <w:lang w:eastAsia="zh-Hans"/>
        </w:rPr>
        <w:t>（甲公司全称）</w:t>
      </w:r>
      <w:r>
        <w:rPr>
          <w:rFonts w:ascii="宋体" w:hAnsi="宋体" w:eastAsia="宋体" w:cs="Times New Roman"/>
          <w:kern w:val="0"/>
          <w:szCs w:val="21"/>
          <w:lang w:eastAsia="zh-Hans"/>
        </w:rPr>
        <w:t>负责本项目___________部分，</w:t>
      </w:r>
      <w:r>
        <w:rPr>
          <w:rFonts w:ascii="宋体" w:hAnsi="宋体" w:eastAsia="宋体" w:cs="Times New Roman"/>
          <w:kern w:val="0"/>
          <w:szCs w:val="21"/>
          <w:u w:val="single"/>
          <w:lang w:eastAsia="zh-Hans"/>
        </w:rPr>
        <w:t>（乙公司全称）</w:t>
      </w:r>
      <w:r>
        <w:rPr>
          <w:rFonts w:ascii="宋体" w:hAnsi="宋体" w:eastAsia="宋体" w:cs="Times New Roman"/>
          <w:kern w:val="0"/>
          <w:szCs w:val="21"/>
          <w:lang w:eastAsia="zh-Hans"/>
        </w:rPr>
        <w:t>负责本项目___________部分。</w:t>
      </w:r>
    </w:p>
    <w:p w14:paraId="7C6695B5">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4.如中标，联合体各方共同与（采购人）签订合同书，并就中标项目向采购人负责有连带的和各自的法律责任；</w:t>
      </w:r>
    </w:p>
    <w:p w14:paraId="068A3845">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5.联合体成员（公司全称）为（请填写：小型、微型）企业，将承担合同总金额_____%的工作内容（联合体成员中有小型、微型企业时适用）。</w:t>
      </w:r>
    </w:p>
    <w:p w14:paraId="7F9D57C0">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三、联合体各方不得再以自己名义参与本采购包响应，联合体各方不能作为其它联合体或单独响应单位的项目组成员参加本采购包响应。因发生上述问题导致联合体响应成为无效报价，联合体的其他成员可追究其违约责任和经济损失。</w:t>
      </w:r>
    </w:p>
    <w:p w14:paraId="523C52CA">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四、联合体如因违约过失责任而导致采购人经济损失或被索赔时，本联合体任何一方均同意无条件优先清偿采购人的一切债务和经济赔偿。</w:t>
      </w:r>
    </w:p>
    <w:p w14:paraId="6F40FAE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五、本协议在自签署之日起生效，有效期内有效，如获中标资格，合同有效期延续至合同履行完毕之日。</w:t>
      </w:r>
    </w:p>
    <w:p w14:paraId="2AE662D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六、本协议书正本一式_____份，随投标文件装订_____份，送采购人_____份，联合体成员各一份；副本一式_____份，联合体成员各执_____份。</w:t>
      </w:r>
    </w:p>
    <w:p w14:paraId="636B5DF9">
      <w:pPr>
        <w:widowControl/>
        <w:jc w:val="left"/>
        <w:rPr>
          <w:rFonts w:ascii="宋体" w:hAnsi="宋体" w:eastAsia="宋体" w:cs="Times New Roman"/>
          <w:kern w:val="0"/>
          <w:szCs w:val="21"/>
        </w:rPr>
      </w:pPr>
    </w:p>
    <w:p w14:paraId="2901014F">
      <w:pPr>
        <w:widowControl/>
        <w:jc w:val="left"/>
        <w:rPr>
          <w:rFonts w:ascii="宋体" w:hAnsi="宋体" w:eastAsia="宋体" w:cs="Times New Roman"/>
          <w:kern w:val="0"/>
          <w:szCs w:val="21"/>
        </w:rPr>
      </w:pPr>
      <w:r>
        <w:rPr>
          <w:rFonts w:ascii="宋体" w:hAnsi="宋体" w:eastAsia="宋体" w:cs="Times New Roman"/>
          <w:kern w:val="0"/>
          <w:szCs w:val="21"/>
          <w:lang w:eastAsia="zh-Hans"/>
        </w:rPr>
        <w:t>甲公司全称：____（盖章）________，乙公司全称：____（盖章）________，……公司全称：____（盖章）________</w:t>
      </w:r>
    </w:p>
    <w:p w14:paraId="269C0419">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____年____月 ____日，____年____月____日，____年____月____日</w:t>
      </w:r>
    </w:p>
    <w:p w14:paraId="4A560919">
      <w:pPr>
        <w:widowControl/>
        <w:spacing w:before="1305" w:beforeLines="300"/>
        <w:jc w:val="left"/>
        <w:rPr>
          <w:rFonts w:ascii="宋体" w:hAnsi="宋体" w:eastAsia="宋体" w:cs="Times New Roman"/>
          <w:kern w:val="0"/>
          <w:szCs w:val="21"/>
        </w:rPr>
      </w:pPr>
      <w:r>
        <w:rPr>
          <w:rFonts w:ascii="宋体" w:hAnsi="宋体" w:eastAsia="宋体" w:cs="Times New Roman"/>
          <w:kern w:val="0"/>
          <w:szCs w:val="21"/>
          <w:lang w:eastAsia="zh-Hans"/>
        </w:rPr>
        <w:t>注：</w:t>
      </w:r>
    </w:p>
    <w:p w14:paraId="61A7F200">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1．联合响应时需签本协议，联合体各方成员应在本协议上共同盖章确认。</w:t>
      </w:r>
    </w:p>
    <w:p w14:paraId="02FBD5C0">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2．本协议内容不得擅自修改。此协议将作为签订合同的附件之一。</w:t>
      </w:r>
    </w:p>
    <w:p w14:paraId="1243E1DF">
      <w:pPr>
        <w:widowControl/>
        <w:jc w:val="left"/>
        <w:rPr>
          <w:rFonts w:ascii="Calibri" w:hAnsi="Calibri" w:eastAsia="宋体" w:cs="Times New Roman"/>
          <w:kern w:val="0"/>
          <w:sz w:val="20"/>
          <w:szCs w:val="20"/>
          <w:lang w:eastAsia="zh-Hans"/>
        </w:rPr>
      </w:pPr>
    </w:p>
    <w:p w14:paraId="710F4691">
      <w:pPr>
        <w:widowControl/>
        <w:jc w:val="left"/>
        <w:rPr>
          <w:rFonts w:ascii="Calibri" w:hAnsi="Calibri" w:eastAsia="宋体" w:cs="Times New Roman"/>
          <w:kern w:val="0"/>
          <w:sz w:val="20"/>
          <w:szCs w:val="20"/>
        </w:rPr>
      </w:pPr>
    </w:p>
    <w:p w14:paraId="637B47E6">
      <w:pPr>
        <w:pageBreakBefore/>
        <w:rPr>
          <w:rFonts w:ascii="Calibri" w:hAnsi="Calibri" w:eastAsia="宋体" w:cs="Times New Roman"/>
          <w:kern w:val="0"/>
          <w:sz w:val="20"/>
          <w:szCs w:val="20"/>
          <w:lang w:eastAsia="zh-Hans"/>
        </w:rPr>
      </w:pPr>
      <w:bookmarkStart w:id="62" w:name="_Toc169799795"/>
      <w:r>
        <w:rPr>
          <w:rFonts w:ascii="宋体" w:hAnsi="宋体" w:eastAsia="宋体"/>
          <w:b/>
          <w:bCs/>
          <w:sz w:val="24"/>
          <w:szCs w:val="28"/>
        </w:rPr>
        <w:t>格式</w:t>
      </w:r>
      <w:r>
        <w:rPr>
          <w:rFonts w:hint="eastAsia" w:ascii="宋体" w:hAnsi="宋体" w:eastAsia="宋体"/>
          <w:b/>
          <w:bCs/>
          <w:sz w:val="24"/>
          <w:szCs w:val="28"/>
        </w:rPr>
        <w:t>九</w:t>
      </w:r>
      <w:r>
        <w:rPr>
          <w:rFonts w:ascii="宋体" w:hAnsi="宋体" w:eastAsia="宋体"/>
          <w:b/>
          <w:bCs/>
          <w:sz w:val="24"/>
          <w:szCs w:val="28"/>
        </w:rPr>
        <w:t>：</w:t>
      </w:r>
      <w:bookmarkEnd w:id="62"/>
    </w:p>
    <w:p w14:paraId="1CE95970">
      <w:pPr>
        <w:widowControl/>
        <w:spacing w:before="217" w:beforeLines="50" w:after="435" w:afterLines="10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法定代表人证明书</w:t>
      </w:r>
    </w:p>
    <w:p w14:paraId="3F18EA44">
      <w:pPr>
        <w:widowControl/>
        <w:jc w:val="left"/>
        <w:rPr>
          <w:rFonts w:ascii="宋体" w:hAnsi="宋体" w:eastAsia="宋体" w:cs="Times New Roman"/>
          <w:kern w:val="0"/>
          <w:szCs w:val="21"/>
          <w:lang w:eastAsia="zh-Hans"/>
        </w:rPr>
      </w:pP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现任我单位</w:t>
      </w:r>
      <w:r>
        <w:rPr>
          <w:rFonts w:hint="eastAsia" w:ascii="宋体" w:hAnsi="宋体" w:eastAsia="宋体" w:cs="Times New Roman"/>
          <w:kern w:val="0"/>
          <w:szCs w:val="21"/>
        </w:rPr>
        <w:t xml:space="preserve"> </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职务，为法定代表人，特此证明。</w:t>
      </w:r>
    </w:p>
    <w:p w14:paraId="39DFFE9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有效期限：</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lang w:eastAsia="zh-Hans"/>
        </w:rPr>
        <w:t xml:space="preserve">   </w:t>
      </w:r>
    </w:p>
    <w:p w14:paraId="61375A39">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附：代表人性别：</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年龄：</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 身份证号码：</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p>
    <w:p w14:paraId="238D1559">
      <w:pPr>
        <w:widowControl/>
        <w:jc w:val="left"/>
        <w:rPr>
          <w:rFonts w:ascii="宋体" w:hAnsi="宋体" w:eastAsia="宋体" w:cs="Times New Roman"/>
          <w:kern w:val="0"/>
          <w:szCs w:val="21"/>
          <w:lang w:eastAsia="zh-Hans"/>
        </w:rPr>
      </w:pPr>
      <w:r>
        <w:rPr>
          <w:rFonts w:hint="eastAsia" w:ascii="宋体" w:hAnsi="宋体" w:eastAsia="宋体" w:cs="Times New Roman"/>
          <w:kern w:val="0"/>
          <w:szCs w:val="21"/>
          <w:lang w:eastAsia="zh-Hans"/>
        </w:rPr>
        <w:t>统一社会信用代码</w:t>
      </w:r>
      <w:r>
        <w:rPr>
          <w:rFonts w:ascii="宋体" w:hAnsi="宋体" w:eastAsia="宋体" w:cs="Times New Roman"/>
          <w:kern w:val="0"/>
          <w:szCs w:val="21"/>
          <w:lang w:eastAsia="zh-Hans"/>
        </w:rPr>
        <w:t>：</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企业类型：</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p>
    <w:p w14:paraId="7678CC99">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经营范围：</w:t>
      </w:r>
      <w:r>
        <w:rPr>
          <w:rFonts w:hint="eastAsia" w:ascii="宋体" w:hAnsi="宋体" w:eastAsia="宋体" w:cs="Times New Roman"/>
          <w:kern w:val="0"/>
          <w:szCs w:val="21"/>
          <w:u w:val="single"/>
        </w:rPr>
        <w:t xml:space="preserve">                                                                       </w:t>
      </w:r>
    </w:p>
    <w:p w14:paraId="134DFE8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w:t>
      </w:r>
      <w:r>
        <w:rPr>
          <w:rFonts w:hint="eastAsia" w:ascii="宋体" w:hAnsi="宋体" w:eastAsia="宋体" w:cs="Times New Roman"/>
          <w:kern w:val="0"/>
          <w:szCs w:val="21"/>
          <w:u w:val="single"/>
        </w:rPr>
        <w:t xml:space="preserve">                                                         </w:t>
      </w:r>
    </w:p>
    <w:p w14:paraId="322B092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p>
    <w:p w14:paraId="380B74F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法定代表人（签字或盖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hint="eastAsia" w:ascii="宋体" w:hAnsi="宋体" w:eastAsia="宋体" w:cs="Times New Roman"/>
          <w:kern w:val="0"/>
          <w:szCs w:val="21"/>
          <w:u w:val="single"/>
        </w:rPr>
        <w:t xml:space="preserve">                                                     </w:t>
      </w:r>
    </w:p>
    <w:p w14:paraId="2A92E00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职务：</w:t>
      </w:r>
      <w:r>
        <w:rPr>
          <w:rFonts w:hint="eastAsia" w:ascii="宋体" w:hAnsi="宋体" w:eastAsia="宋体" w:cs="Times New Roman"/>
          <w:kern w:val="0"/>
          <w:szCs w:val="21"/>
          <w:u w:val="single"/>
        </w:rPr>
        <w:t xml:space="preserve">                     </w:t>
      </w:r>
    </w:p>
    <w:p w14:paraId="5FA849A6">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日期：</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 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225FFB79">
      <w:pPr>
        <w:spacing w:before="217" w:beforeLines="50" w:after="217" w:afterLines="50" w:line="360" w:lineRule="auto"/>
        <w:rPr>
          <w:rFonts w:ascii="宋体" w:hAnsi="宋体" w:eastAsia="宋体"/>
          <w:szCs w:val="21"/>
        </w:rPr>
      </w:pPr>
    </w:p>
    <w:p w14:paraId="516D0C36">
      <w:pPr>
        <w:spacing w:before="217" w:beforeLines="50" w:after="217" w:afterLines="50" w:line="360" w:lineRule="auto"/>
        <w:rPr>
          <w:rFonts w:ascii="宋体" w:hAnsi="宋体" w:eastAsia="宋体"/>
          <w:szCs w:val="21"/>
        </w:rPr>
      </w:pPr>
      <w:r>
        <w:rPr>
          <w:rFonts w:hint="eastAsia" w:ascii="宋体" w:hAnsi="宋体" w:eastAsia="宋体"/>
          <w:szCs w:val="21"/>
        </w:rPr>
        <w:t>须附：法定代表人有效期内身份证复印件</w:t>
      </w:r>
    </w:p>
    <w:tbl>
      <w:tblPr>
        <w:tblStyle w:val="14"/>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4672AC0F">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2500" w:type="pct"/>
            <w:vAlign w:val="center"/>
          </w:tcPr>
          <w:p w14:paraId="5F7A5FBD">
            <w:pPr>
              <w:pStyle w:val="30"/>
              <w:spacing w:line="460" w:lineRule="exact"/>
              <w:ind w:firstLine="0" w:firstLineChars="0"/>
              <w:jc w:val="center"/>
              <w:rPr>
                <w:rFonts w:ascii="宋体" w:eastAsia="宋体"/>
                <w:sz w:val="21"/>
                <w:szCs w:val="21"/>
              </w:rPr>
            </w:pPr>
            <w:r>
              <w:rPr>
                <w:rFonts w:hint="eastAsia" w:ascii="宋体" w:eastAsia="宋体"/>
                <w:sz w:val="21"/>
                <w:szCs w:val="21"/>
              </w:rPr>
              <w:t>正面</w:t>
            </w:r>
          </w:p>
        </w:tc>
        <w:tc>
          <w:tcPr>
            <w:tcW w:w="2500" w:type="pct"/>
            <w:vAlign w:val="center"/>
          </w:tcPr>
          <w:p w14:paraId="74B7B39E">
            <w:pPr>
              <w:pStyle w:val="30"/>
              <w:spacing w:line="460" w:lineRule="exact"/>
              <w:ind w:firstLine="0" w:firstLineChars="0"/>
              <w:jc w:val="center"/>
              <w:rPr>
                <w:rFonts w:ascii="宋体" w:eastAsia="宋体"/>
                <w:sz w:val="21"/>
                <w:szCs w:val="21"/>
              </w:rPr>
            </w:pPr>
            <w:r>
              <w:rPr>
                <w:rFonts w:hint="eastAsia" w:ascii="宋体" w:eastAsia="宋体"/>
                <w:sz w:val="21"/>
                <w:szCs w:val="21"/>
              </w:rPr>
              <w:t>背面</w:t>
            </w:r>
          </w:p>
        </w:tc>
      </w:tr>
    </w:tbl>
    <w:p w14:paraId="561E437D">
      <w:pPr>
        <w:widowControl/>
        <w:jc w:val="left"/>
        <w:rPr>
          <w:rFonts w:ascii="Calibri" w:hAnsi="Calibri" w:eastAsia="宋体" w:cs="Times New Roman"/>
          <w:kern w:val="0"/>
          <w:sz w:val="20"/>
          <w:szCs w:val="20"/>
          <w:lang w:eastAsia="zh-Hans"/>
        </w:rPr>
      </w:pPr>
    </w:p>
    <w:p w14:paraId="620FF89C">
      <w:pPr>
        <w:pageBreakBefore/>
        <w:rPr>
          <w:rFonts w:ascii="Calibri" w:hAnsi="Calibri" w:eastAsia="宋体" w:cs="Times New Roman"/>
          <w:kern w:val="0"/>
          <w:sz w:val="20"/>
          <w:szCs w:val="20"/>
          <w:lang w:eastAsia="zh-Hans"/>
        </w:rPr>
      </w:pPr>
      <w:bookmarkStart w:id="63" w:name="_Toc169799796"/>
      <w:r>
        <w:rPr>
          <w:rFonts w:ascii="宋体" w:hAnsi="宋体" w:eastAsia="宋体"/>
          <w:b/>
          <w:bCs/>
          <w:sz w:val="24"/>
          <w:szCs w:val="28"/>
        </w:rPr>
        <w:t>格式</w:t>
      </w:r>
      <w:r>
        <w:rPr>
          <w:rFonts w:hint="eastAsia" w:ascii="宋体" w:hAnsi="宋体" w:eastAsia="宋体"/>
          <w:b/>
          <w:bCs/>
          <w:sz w:val="24"/>
          <w:szCs w:val="28"/>
        </w:rPr>
        <w:t>十</w:t>
      </w:r>
      <w:r>
        <w:rPr>
          <w:rFonts w:ascii="宋体" w:hAnsi="宋体" w:eastAsia="宋体"/>
          <w:b/>
          <w:bCs/>
          <w:sz w:val="24"/>
          <w:szCs w:val="28"/>
        </w:rPr>
        <w:t>：</w:t>
      </w:r>
      <w:bookmarkEnd w:id="63"/>
    </w:p>
    <w:p w14:paraId="09FE8A4F">
      <w:pPr>
        <w:widowControl/>
        <w:spacing w:before="217" w:beforeLines="50" w:after="435" w:afterLines="10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法定代表人授权</w:t>
      </w:r>
      <w:r>
        <w:rPr>
          <w:rFonts w:hint="eastAsia" w:ascii="Calibri" w:hAnsi="Calibri" w:eastAsia="宋体" w:cs="Times New Roman"/>
          <w:b/>
          <w:kern w:val="0"/>
          <w:sz w:val="32"/>
          <w:lang w:eastAsia="zh-Hans"/>
        </w:rPr>
        <w:t>委托</w:t>
      </w:r>
      <w:r>
        <w:rPr>
          <w:rFonts w:ascii="Calibri" w:hAnsi="Calibri" w:eastAsia="宋体" w:cs="Times New Roman"/>
          <w:b/>
          <w:kern w:val="0"/>
          <w:sz w:val="32"/>
          <w:lang w:eastAsia="zh-Hans"/>
        </w:rPr>
        <w:t>书</w:t>
      </w:r>
    </w:p>
    <w:p w14:paraId="245374F4">
      <w:pPr>
        <w:spacing w:before="652" w:beforeLines="150" w:line="360" w:lineRule="auto"/>
        <w:rPr>
          <w:rFonts w:ascii="宋体" w:hAnsi="宋体" w:eastAsia="宋体"/>
          <w:b/>
          <w:color w:val="000000" w:themeColor="text1"/>
          <w14:textFill>
            <w14:solidFill>
              <w14:schemeClr w14:val="tx1"/>
            </w14:solidFill>
          </w14:textFill>
        </w:rPr>
      </w:pPr>
      <w:r>
        <w:rPr>
          <w:rFonts w:hint="eastAsia" w:ascii="宋体" w:hAnsi="宋体" w:eastAsia="宋体"/>
          <w:b/>
          <w:color w:val="000000" w:themeColor="text1"/>
          <w14:textFill>
            <w14:solidFill>
              <w14:schemeClr w14:val="tx1"/>
            </w14:solidFill>
          </w14:textFill>
        </w:rPr>
        <w:t>广东智汇城市招标采购有限公司</w:t>
      </w:r>
    </w:p>
    <w:p w14:paraId="30BA83E1">
      <w:pPr>
        <w:pStyle w:val="30"/>
        <w:spacing w:line="360" w:lineRule="auto"/>
        <w:ind w:firstLine="450" w:firstLineChars="0"/>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本人</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（姓名）</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系</w:t>
      </w:r>
      <w:r>
        <w:rPr>
          <w:rFonts w:ascii="宋体" w:eastAsia="宋体"/>
          <w:color w:val="000000" w:themeColor="text1"/>
          <w:sz w:val="21"/>
          <w:szCs w:val="21"/>
          <w:u w:val="single"/>
          <w14:textFill>
            <w14:solidFill>
              <w14:schemeClr w14:val="tx1"/>
            </w14:solidFill>
          </w14:textFill>
        </w:rPr>
        <w:t xml:space="preserve">     （投标人名称）    </w:t>
      </w:r>
      <w:r>
        <w:rPr>
          <w:rFonts w:hint="eastAsia" w:ascii="宋体" w:eastAsia="宋体"/>
          <w:color w:val="000000" w:themeColor="text1"/>
          <w:sz w:val="21"/>
          <w:szCs w:val="21"/>
          <w14:textFill>
            <w14:solidFill>
              <w14:schemeClr w14:val="tx1"/>
            </w14:solidFill>
          </w14:textFill>
        </w:rPr>
        <w:t>的法定代表人，现委托</w:t>
      </w:r>
      <w:r>
        <w:rPr>
          <w:rFonts w:ascii="宋体" w:eastAsia="宋体"/>
          <w:color w:val="000000" w:themeColor="text1"/>
          <w:sz w:val="21"/>
          <w:szCs w:val="21"/>
          <w:u w:val="single"/>
          <w14:textFill>
            <w14:solidFill>
              <w14:schemeClr w14:val="tx1"/>
            </w14:solidFill>
          </w14:textFill>
        </w:rPr>
        <w:t xml:space="preserve"> （姓名） </w:t>
      </w:r>
      <w:r>
        <w:rPr>
          <w:rFonts w:hint="eastAsia" w:ascii="宋体" w:eastAsia="宋体"/>
          <w:color w:val="000000" w:themeColor="text1"/>
          <w:sz w:val="21"/>
          <w:szCs w:val="21"/>
          <w14:textFill>
            <w14:solidFill>
              <w14:schemeClr w14:val="tx1"/>
            </w14:solidFill>
          </w14:textFill>
        </w:rPr>
        <w:t>为我方合法代理人。代理人根据授权，以我方名义签署、澄清、说明、补正、递交、撤回、修改</w:t>
      </w:r>
      <w:r>
        <w:rPr>
          <w:rFonts w:ascii="宋体" w:eastAsia="宋体"/>
          <w:color w:val="000000" w:themeColor="text1"/>
          <w:sz w:val="21"/>
          <w:szCs w:val="21"/>
          <w:u w:val="single"/>
          <w14:textFill>
            <w14:solidFill>
              <w14:schemeClr w14:val="tx1"/>
            </w14:solidFill>
          </w14:textFill>
        </w:rPr>
        <w:t xml:space="preserve">     （项目名称） </w:t>
      </w:r>
      <w:r>
        <w:rPr>
          <w:rFonts w:hint="eastAsia" w:ascii="宋体" w:eastAsia="宋体"/>
          <w:color w:val="000000" w:themeColor="text1"/>
          <w:sz w:val="21"/>
          <w:szCs w:val="21"/>
          <w14:textFill>
            <w14:solidFill>
              <w14:schemeClr w14:val="tx1"/>
            </w14:solidFill>
          </w14:textFill>
        </w:rPr>
        <w:t>（项目编号：</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）投标文件、签订合同和处理有关事宜，其法律后果由我方承担。</w:t>
      </w:r>
    </w:p>
    <w:p w14:paraId="3755E250">
      <w:pPr>
        <w:pStyle w:val="30"/>
        <w:spacing w:line="360" w:lineRule="auto"/>
        <w:ind w:firstLine="428" w:firstLineChars="204"/>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本委托书于</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年</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月</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日签字生效，特此证明。</w:t>
      </w:r>
    </w:p>
    <w:p w14:paraId="74D7FA1D">
      <w:pPr>
        <w:widowControl/>
        <w:spacing w:before="652" w:beforeLines="15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w:t>
      </w:r>
      <w:r>
        <w:rPr>
          <w:rFonts w:hint="eastAsia" w:ascii="宋体" w:hAnsi="宋体" w:eastAsia="宋体" w:cs="Times New Roman"/>
          <w:kern w:val="0"/>
          <w:szCs w:val="21"/>
          <w:lang w:eastAsia="zh-Hans"/>
        </w:rPr>
        <w:t>名称</w:t>
      </w:r>
      <w:r>
        <w:rPr>
          <w:rFonts w:ascii="宋体" w:hAnsi="宋体" w:eastAsia="宋体" w:cs="Times New Roman"/>
          <w:kern w:val="0"/>
          <w:szCs w:val="21"/>
          <w:lang w:eastAsia="zh-Hans"/>
        </w:rPr>
        <w:t>（</w:t>
      </w:r>
      <w:r>
        <w:rPr>
          <w:rFonts w:hint="eastAsia" w:ascii="宋体" w:hAnsi="宋体" w:eastAsia="宋体" w:cs="Times New Roman"/>
          <w:kern w:val="0"/>
          <w:szCs w:val="21"/>
          <w:lang w:eastAsia="zh-Hans"/>
        </w:rPr>
        <w:t>加</w:t>
      </w:r>
      <w:r>
        <w:rPr>
          <w:rFonts w:ascii="宋体" w:hAnsi="宋体" w:eastAsia="宋体" w:cs="Times New Roman"/>
          <w:kern w:val="0"/>
          <w:szCs w:val="21"/>
          <w:lang w:eastAsia="zh-Hans"/>
        </w:rPr>
        <w:t>盖</w:t>
      </w:r>
      <w:r>
        <w:rPr>
          <w:rFonts w:hint="eastAsia" w:ascii="宋体" w:hAnsi="宋体" w:eastAsia="宋体" w:cs="Times New Roman"/>
          <w:kern w:val="0"/>
          <w:szCs w:val="21"/>
          <w:lang w:eastAsia="zh-Hans"/>
        </w:rPr>
        <w:t>公</w:t>
      </w:r>
      <w:r>
        <w:rPr>
          <w:rFonts w:ascii="宋体" w:hAnsi="宋体" w:eastAsia="宋体" w:cs="Times New Roman"/>
          <w:kern w:val="0"/>
          <w:szCs w:val="21"/>
          <w:lang w:eastAsia="zh-Hans"/>
        </w:rPr>
        <w:t>章）：</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p>
    <w:p w14:paraId="1CA32FAF">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地址：</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p>
    <w:p w14:paraId="3B691DDF">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法定代表人（签字或盖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p>
    <w:p w14:paraId="4AABD0E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职务：</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p>
    <w:p w14:paraId="3C7AD09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被授权人（签字或盖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p>
    <w:p w14:paraId="1B976B8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职务：</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p>
    <w:p w14:paraId="29D4C75A">
      <w:pPr>
        <w:pStyle w:val="30"/>
        <w:spacing w:line="360" w:lineRule="auto"/>
        <w:ind w:firstLine="0" w:firstLineChars="0"/>
        <w:rPr>
          <w:rFonts w:ascii="黑体" w:hAnsi="黑体" w:eastAsia="黑体"/>
          <w:color w:val="000000" w:themeColor="text1"/>
          <w:sz w:val="21"/>
          <w:szCs w:val="21"/>
          <w14:textFill>
            <w14:solidFill>
              <w14:schemeClr w14:val="tx1"/>
            </w14:solidFill>
          </w14:textFill>
        </w:rPr>
      </w:pPr>
      <w:r>
        <w:rPr>
          <w:rFonts w:ascii="宋体" w:eastAsia="宋体"/>
          <w:kern w:val="0"/>
          <w:sz w:val="21"/>
          <w:szCs w:val="21"/>
          <w:lang w:eastAsia="zh-Hans"/>
        </w:rPr>
        <w:t xml:space="preserve">日期： </w:t>
      </w:r>
      <w:r>
        <w:rPr>
          <w:rFonts w:hint="eastAsia" w:ascii="宋体" w:eastAsia="宋体"/>
          <w:kern w:val="0"/>
          <w:sz w:val="21"/>
          <w:szCs w:val="21"/>
        </w:rPr>
        <w:t xml:space="preserve">  </w:t>
      </w:r>
      <w:r>
        <w:rPr>
          <w:rFonts w:ascii="宋体" w:eastAsia="宋体"/>
          <w:kern w:val="0"/>
          <w:sz w:val="21"/>
          <w:szCs w:val="21"/>
          <w:lang w:eastAsia="zh-Hans"/>
        </w:rPr>
        <w:t xml:space="preserve">年 </w:t>
      </w:r>
      <w:r>
        <w:rPr>
          <w:rFonts w:hint="eastAsia" w:ascii="宋体" w:eastAsia="宋体"/>
          <w:kern w:val="0"/>
          <w:sz w:val="21"/>
          <w:szCs w:val="21"/>
        </w:rPr>
        <w:t xml:space="preserve"> </w:t>
      </w:r>
      <w:r>
        <w:rPr>
          <w:rFonts w:ascii="宋体" w:eastAsia="宋体"/>
          <w:kern w:val="0"/>
          <w:sz w:val="21"/>
          <w:szCs w:val="21"/>
          <w:lang w:eastAsia="zh-Hans"/>
        </w:rPr>
        <w:t xml:space="preserve">月 </w:t>
      </w:r>
      <w:r>
        <w:rPr>
          <w:rFonts w:hint="eastAsia" w:ascii="宋体" w:eastAsia="宋体"/>
          <w:kern w:val="0"/>
          <w:sz w:val="21"/>
          <w:szCs w:val="21"/>
        </w:rPr>
        <w:t xml:space="preserve"> </w:t>
      </w:r>
      <w:r>
        <w:rPr>
          <w:rFonts w:ascii="宋体" w:eastAsia="宋体"/>
          <w:kern w:val="0"/>
          <w:sz w:val="21"/>
          <w:szCs w:val="21"/>
          <w:lang w:eastAsia="zh-Hans"/>
        </w:rPr>
        <w:t>日</w:t>
      </w:r>
    </w:p>
    <w:p w14:paraId="7FBF1C8F">
      <w:pPr>
        <w:pStyle w:val="30"/>
        <w:spacing w:line="360" w:lineRule="auto"/>
        <w:ind w:firstLine="0" w:firstLineChars="0"/>
        <w:rPr>
          <w:rFonts w:ascii="宋体" w:eastAsia="宋体"/>
          <w:color w:val="000000" w:themeColor="text1"/>
          <w:sz w:val="21"/>
          <w:szCs w:val="21"/>
          <w14:textFill>
            <w14:solidFill>
              <w14:schemeClr w14:val="tx1"/>
            </w14:solidFill>
          </w14:textFill>
        </w:rPr>
      </w:pPr>
    </w:p>
    <w:p w14:paraId="61B7A769">
      <w:pPr>
        <w:spacing w:after="217" w:afterLines="50" w:line="360" w:lineRule="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须附：被授权人有效期内身份证复印件</w:t>
      </w:r>
    </w:p>
    <w:tbl>
      <w:tblPr>
        <w:tblStyle w:val="14"/>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591A2A40">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2500" w:type="pct"/>
            <w:vAlign w:val="center"/>
          </w:tcPr>
          <w:p w14:paraId="5D9E64F3">
            <w:pPr>
              <w:pStyle w:val="30"/>
              <w:spacing w:line="460" w:lineRule="exact"/>
              <w:ind w:firstLine="0" w:firstLineChars="0"/>
              <w:jc w:val="center"/>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正面</w:t>
            </w:r>
          </w:p>
        </w:tc>
        <w:tc>
          <w:tcPr>
            <w:tcW w:w="2500" w:type="pct"/>
            <w:vAlign w:val="center"/>
          </w:tcPr>
          <w:p w14:paraId="20939725">
            <w:pPr>
              <w:pStyle w:val="30"/>
              <w:spacing w:line="460" w:lineRule="exact"/>
              <w:ind w:firstLine="0" w:firstLineChars="0"/>
              <w:jc w:val="center"/>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背面</w:t>
            </w:r>
          </w:p>
        </w:tc>
      </w:tr>
    </w:tbl>
    <w:p w14:paraId="6B377C95">
      <w:pPr>
        <w:widowControl/>
        <w:jc w:val="left"/>
        <w:rPr>
          <w:rFonts w:ascii="Calibri" w:hAnsi="Calibri" w:eastAsia="宋体" w:cs="Times New Roman"/>
          <w:kern w:val="0"/>
          <w:sz w:val="20"/>
          <w:szCs w:val="20"/>
          <w:lang w:eastAsia="zh-Hans"/>
        </w:rPr>
      </w:pPr>
    </w:p>
    <w:p w14:paraId="4AB34EF3">
      <w:pPr>
        <w:pageBreakBefore/>
        <w:rPr>
          <w:rFonts w:ascii="Calibri" w:hAnsi="Calibri" w:eastAsia="宋体" w:cs="Times New Roman"/>
          <w:kern w:val="0"/>
          <w:sz w:val="20"/>
          <w:szCs w:val="20"/>
          <w:lang w:eastAsia="zh-Hans"/>
        </w:rPr>
      </w:pPr>
      <w:bookmarkStart w:id="64" w:name="_Toc169799797"/>
      <w:r>
        <w:rPr>
          <w:rFonts w:ascii="宋体" w:hAnsi="宋体" w:eastAsia="宋体"/>
          <w:b/>
          <w:bCs/>
          <w:sz w:val="24"/>
          <w:szCs w:val="28"/>
        </w:rPr>
        <w:t>格式</w:t>
      </w:r>
      <w:r>
        <w:rPr>
          <w:rFonts w:hint="eastAsia" w:ascii="宋体" w:hAnsi="宋体" w:eastAsia="宋体"/>
          <w:b/>
          <w:bCs/>
          <w:sz w:val="24"/>
          <w:szCs w:val="28"/>
        </w:rPr>
        <w:t>十一</w:t>
      </w:r>
      <w:r>
        <w:rPr>
          <w:rFonts w:ascii="宋体" w:hAnsi="宋体" w:eastAsia="宋体"/>
          <w:b/>
          <w:bCs/>
          <w:sz w:val="24"/>
          <w:szCs w:val="28"/>
        </w:rPr>
        <w:t>：</w:t>
      </w:r>
      <w:bookmarkEnd w:id="64"/>
    </w:p>
    <w:p w14:paraId="3E92DD38">
      <w:pPr>
        <w:widowControl/>
        <w:spacing w:after="217" w:afterLines="50"/>
        <w:outlineLvl w:val="3"/>
        <w:rPr>
          <w:rFonts w:ascii="Calibri" w:hAnsi="Calibri" w:eastAsia="宋体" w:cs="Times New Roman"/>
          <w:bCs/>
          <w:kern w:val="0"/>
          <w:sz w:val="32"/>
        </w:rPr>
      </w:pPr>
      <w:r>
        <w:rPr>
          <w:rFonts w:hint="eastAsia" w:ascii="Calibri" w:hAnsi="Calibri" w:eastAsia="宋体" w:cs="Times New Roman"/>
          <w:bCs/>
          <w:kern w:val="0"/>
          <w:szCs w:val="16"/>
        </w:rPr>
        <w:t>（以下格式文件由供应商根据需要选用）</w:t>
      </w:r>
    </w:p>
    <w:p w14:paraId="5BE88CA1">
      <w:pPr>
        <w:widowControl/>
        <w:spacing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投标保证金</w:t>
      </w:r>
    </w:p>
    <w:p w14:paraId="0367D9DA">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采购文件要求递交投标保证金的，投标人应在此提供</w:t>
      </w:r>
      <w:r>
        <w:rPr>
          <w:rFonts w:hint="eastAsia" w:ascii="宋体" w:hAnsi="宋体" w:eastAsia="宋体" w:cs="Times New Roman"/>
          <w:kern w:val="0"/>
          <w:szCs w:val="21"/>
          <w:lang w:eastAsia="zh-Hans"/>
        </w:rPr>
        <w:t>投标保证金汇入情况说明（或投标担保函递交情况说明）和</w:t>
      </w:r>
      <w:r>
        <w:rPr>
          <w:rFonts w:ascii="宋体" w:hAnsi="宋体" w:eastAsia="宋体" w:cs="Times New Roman"/>
          <w:kern w:val="0"/>
          <w:szCs w:val="21"/>
          <w:lang w:eastAsia="zh-Hans"/>
        </w:rPr>
        <w:t>保证金的凭证</w:t>
      </w:r>
      <w:r>
        <w:rPr>
          <w:rFonts w:hint="eastAsia" w:ascii="宋体" w:hAnsi="宋体" w:eastAsia="宋体" w:cs="Times New Roman"/>
          <w:kern w:val="0"/>
          <w:szCs w:val="21"/>
          <w:lang w:eastAsia="zh-Hans"/>
        </w:rPr>
        <w:t>（或投标担保函）</w:t>
      </w:r>
      <w:r>
        <w:rPr>
          <w:rFonts w:ascii="宋体" w:hAnsi="宋体" w:eastAsia="宋体" w:cs="Times New Roman"/>
          <w:kern w:val="0"/>
          <w:szCs w:val="21"/>
          <w:lang w:eastAsia="zh-Hans"/>
        </w:rPr>
        <w:t>。</w:t>
      </w:r>
    </w:p>
    <w:p w14:paraId="0D268E22">
      <w:pPr>
        <w:pageBreakBefore/>
        <w:spacing w:after="435" w:afterLines="100"/>
        <w:jc w:val="center"/>
        <w:rPr>
          <w:rFonts w:ascii="宋体" w:hAnsi="宋体" w:eastAsia="宋体"/>
          <w:b/>
          <w:szCs w:val="21"/>
        </w:rPr>
      </w:pPr>
      <w:r>
        <w:rPr>
          <w:rFonts w:hint="eastAsia" w:ascii="宋体" w:hAnsi="宋体" w:eastAsia="宋体"/>
          <w:b/>
          <w:sz w:val="32"/>
          <w:szCs w:val="32"/>
        </w:rPr>
        <w:t>投标保证金汇入情况说明</w:t>
      </w:r>
    </w:p>
    <w:p w14:paraId="1B2778AF">
      <w:pPr>
        <w:spacing w:before="217" w:beforeLines="50" w:after="217" w:afterLines="50"/>
        <w:rPr>
          <w:rFonts w:ascii="宋体" w:hAnsi="宋体" w:eastAsia="宋体"/>
          <w:b/>
          <w:szCs w:val="21"/>
        </w:rPr>
      </w:pPr>
      <w:r>
        <w:rPr>
          <w:rFonts w:hint="eastAsia" w:ascii="宋体" w:hAnsi="宋体" w:eastAsia="宋体"/>
          <w:b/>
          <w:szCs w:val="21"/>
        </w:rPr>
        <w:t>广东智汇城市招标采购有限公司</w:t>
      </w:r>
    </w:p>
    <w:p w14:paraId="544D8C3E">
      <w:pPr>
        <w:ind w:firstLine="422" w:firstLineChars="200"/>
        <w:rPr>
          <w:rFonts w:ascii="宋体" w:hAnsi="宋体" w:eastAsia="宋体"/>
          <w:szCs w:val="21"/>
        </w:rPr>
      </w:pPr>
      <w:r>
        <w:rPr>
          <w:rFonts w:hint="eastAsia" w:ascii="宋体" w:hAnsi="宋体" w:eastAsia="宋体"/>
          <w:b/>
          <w:bCs/>
          <w:szCs w:val="21"/>
        </w:rPr>
        <w:t>本单位已按</w:t>
      </w:r>
      <w:r>
        <w:rPr>
          <w:rFonts w:ascii="宋体" w:hAnsi="宋体" w:eastAsia="宋体"/>
          <w:b/>
          <w:bCs/>
          <w:szCs w:val="21"/>
          <w:u w:val="single"/>
        </w:rPr>
        <w:t xml:space="preserve">     （</w:t>
      </w:r>
      <w:r>
        <w:rPr>
          <w:rFonts w:hint="eastAsia" w:ascii="宋体" w:hAnsi="宋体" w:eastAsia="宋体"/>
          <w:b/>
          <w:bCs/>
          <w:szCs w:val="21"/>
          <w:u w:val="single"/>
        </w:rPr>
        <w:t>项目名称）</w:t>
      </w:r>
      <w:r>
        <w:rPr>
          <w:rFonts w:ascii="宋体" w:hAnsi="宋体" w:eastAsia="宋体"/>
          <w:b/>
          <w:bCs/>
          <w:szCs w:val="21"/>
          <w:u w:val="single"/>
        </w:rPr>
        <w:t xml:space="preserve">     </w:t>
      </w:r>
      <w:r>
        <w:rPr>
          <w:rFonts w:hint="eastAsia" w:ascii="宋体" w:hAnsi="宋体" w:eastAsia="宋体"/>
          <w:b/>
          <w:bCs/>
          <w:szCs w:val="21"/>
        </w:rPr>
        <w:t>项目（项目编号：</w:t>
      </w:r>
      <w:r>
        <w:rPr>
          <w:rFonts w:ascii="宋体" w:hAnsi="宋体" w:eastAsia="宋体"/>
          <w:b/>
          <w:bCs/>
          <w:szCs w:val="21"/>
          <w:u w:val="single"/>
        </w:rPr>
        <w:t xml:space="preserve">             </w:t>
      </w:r>
      <w:r>
        <w:rPr>
          <w:rFonts w:hint="eastAsia" w:ascii="宋体" w:hAnsi="宋体" w:eastAsia="宋体"/>
          <w:b/>
          <w:bCs/>
          <w:szCs w:val="21"/>
        </w:rPr>
        <w:t>）的招标文件要求，于</w:t>
      </w:r>
      <w:r>
        <w:rPr>
          <w:rFonts w:ascii="宋体" w:hAnsi="宋体" w:eastAsia="宋体"/>
          <w:b/>
          <w:bCs/>
          <w:szCs w:val="21"/>
          <w:u w:val="single"/>
        </w:rPr>
        <w:t xml:space="preserve">   </w:t>
      </w:r>
      <w:r>
        <w:rPr>
          <w:rFonts w:hint="eastAsia" w:ascii="宋体" w:hAnsi="宋体" w:eastAsia="宋体"/>
          <w:b/>
          <w:bCs/>
          <w:szCs w:val="21"/>
        </w:rPr>
        <w:t>年</w:t>
      </w:r>
      <w:r>
        <w:rPr>
          <w:rFonts w:ascii="宋体" w:hAnsi="宋体" w:eastAsia="宋体"/>
          <w:b/>
          <w:bCs/>
          <w:szCs w:val="21"/>
          <w:u w:val="single"/>
        </w:rPr>
        <w:t xml:space="preserve">   </w:t>
      </w:r>
      <w:r>
        <w:rPr>
          <w:rFonts w:hint="eastAsia" w:ascii="宋体" w:hAnsi="宋体" w:eastAsia="宋体"/>
          <w:b/>
          <w:bCs/>
          <w:szCs w:val="21"/>
        </w:rPr>
        <w:t>月</w:t>
      </w:r>
      <w:r>
        <w:rPr>
          <w:rFonts w:ascii="宋体" w:hAnsi="宋体" w:eastAsia="宋体"/>
          <w:b/>
          <w:bCs/>
          <w:szCs w:val="21"/>
          <w:u w:val="single"/>
        </w:rPr>
        <w:t xml:space="preserve">   </w:t>
      </w:r>
      <w:r>
        <w:rPr>
          <w:rFonts w:hint="eastAsia" w:ascii="宋体" w:hAnsi="宋体" w:eastAsia="宋体"/>
          <w:b/>
          <w:bCs/>
          <w:szCs w:val="21"/>
        </w:rPr>
        <w:t>日前以</w:t>
      </w:r>
      <w:r>
        <w:rPr>
          <w:rFonts w:ascii="宋体" w:hAnsi="宋体" w:eastAsia="宋体"/>
          <w:b/>
          <w:bCs/>
          <w:szCs w:val="21"/>
          <w:u w:val="single"/>
        </w:rPr>
        <w:t xml:space="preserve">       </w:t>
      </w:r>
      <w:r>
        <w:rPr>
          <w:rFonts w:hint="eastAsia" w:ascii="宋体" w:hAnsi="宋体" w:eastAsia="宋体"/>
          <w:b/>
          <w:bCs/>
          <w:szCs w:val="21"/>
        </w:rPr>
        <w:t>（付款形式）方式汇入指定账户（账户名称：</w:t>
      </w:r>
      <w:r>
        <w:rPr>
          <w:rFonts w:ascii="宋体" w:hAnsi="宋体" w:eastAsia="宋体"/>
          <w:b/>
          <w:bCs/>
          <w:szCs w:val="21"/>
          <w:u w:val="single"/>
        </w:rPr>
        <w:t xml:space="preserve">                </w:t>
      </w:r>
      <w:r>
        <w:rPr>
          <w:rFonts w:hint="eastAsia" w:ascii="宋体" w:hAnsi="宋体" w:eastAsia="宋体"/>
          <w:b/>
          <w:bCs/>
          <w:szCs w:val="21"/>
        </w:rPr>
        <w:t>，账号：</w:t>
      </w:r>
      <w:r>
        <w:rPr>
          <w:rFonts w:ascii="宋体" w:hAnsi="宋体" w:eastAsia="宋体"/>
          <w:b/>
          <w:bCs/>
          <w:szCs w:val="21"/>
          <w:u w:val="single"/>
        </w:rPr>
        <w:t xml:space="preserve">                  </w:t>
      </w:r>
      <w:r>
        <w:rPr>
          <w:rFonts w:hint="eastAsia" w:ascii="宋体" w:hAnsi="宋体" w:eastAsia="宋体"/>
          <w:b/>
          <w:bCs/>
          <w:szCs w:val="21"/>
        </w:rPr>
        <w:t>，开户银行：</w:t>
      </w:r>
      <w:r>
        <w:rPr>
          <w:rFonts w:ascii="宋体" w:hAnsi="宋体" w:eastAsia="宋体"/>
          <w:b/>
          <w:bCs/>
          <w:szCs w:val="21"/>
          <w:u w:val="single"/>
        </w:rPr>
        <w:t xml:space="preserve">                 </w:t>
      </w:r>
      <w:r>
        <w:rPr>
          <w:rFonts w:hint="eastAsia" w:ascii="宋体" w:hAnsi="宋体" w:eastAsia="宋体"/>
          <w:b/>
          <w:bCs/>
          <w:szCs w:val="21"/>
        </w:rPr>
        <w:t>）。</w:t>
      </w:r>
    </w:p>
    <w:p w14:paraId="3E0A08FB">
      <w:pPr>
        <w:ind w:firstLine="420" w:firstLineChars="200"/>
        <w:rPr>
          <w:rFonts w:ascii="宋体" w:hAnsi="宋体" w:eastAsia="宋体"/>
          <w:szCs w:val="21"/>
        </w:rPr>
      </w:pPr>
      <w:r>
        <w:rPr>
          <w:rFonts w:hint="eastAsia" w:ascii="宋体" w:hAnsi="宋体" w:eastAsia="宋体"/>
          <w:szCs w:val="21"/>
        </w:rPr>
        <w:t>本单位投标保证金的汇款情况：（详见附件－投标保证金汇款凭证）</w:t>
      </w:r>
    </w:p>
    <w:p w14:paraId="22075296">
      <w:pPr>
        <w:ind w:firstLine="420" w:firstLineChars="200"/>
        <w:rPr>
          <w:rFonts w:ascii="宋体" w:hAnsi="宋体" w:eastAsia="宋体"/>
          <w:szCs w:val="21"/>
        </w:rPr>
      </w:pPr>
      <w:r>
        <w:rPr>
          <w:rFonts w:hint="eastAsia" w:ascii="宋体" w:hAnsi="宋体" w:eastAsia="宋体"/>
          <w:szCs w:val="21"/>
        </w:rPr>
        <w:t>汇出时间：</w:t>
      </w:r>
      <w:r>
        <w:rPr>
          <w:rFonts w:ascii="宋体" w:hAnsi="宋体" w:eastAsia="宋体"/>
          <w:szCs w:val="21"/>
          <w:u w:val="single"/>
        </w:rPr>
        <w:t xml:space="preserve">         </w:t>
      </w:r>
      <w:r>
        <w:rPr>
          <w:rFonts w:hint="eastAsia" w:ascii="宋体" w:hAnsi="宋体" w:eastAsia="宋体"/>
          <w:szCs w:val="21"/>
          <w:u w:val="single"/>
        </w:rPr>
        <w:t xml:space="preserve"> </w:t>
      </w:r>
      <w:r>
        <w:rPr>
          <w:rFonts w:ascii="宋体" w:hAnsi="宋体" w:eastAsia="宋体"/>
          <w:szCs w:val="21"/>
          <w:u w:val="single"/>
        </w:rPr>
        <w:t xml:space="preserve">    </w:t>
      </w:r>
      <w:r>
        <w:rPr>
          <w:rFonts w:hint="eastAsia" w:ascii="宋体" w:hAnsi="宋体" w:eastAsia="宋体"/>
          <w:szCs w:val="21"/>
        </w:rPr>
        <w:t>年</w:t>
      </w:r>
      <w:r>
        <w:rPr>
          <w:rFonts w:ascii="宋体" w:hAnsi="宋体" w:eastAsia="宋体"/>
          <w:szCs w:val="21"/>
          <w:u w:val="single"/>
        </w:rPr>
        <w:t xml:space="preserve">                      </w:t>
      </w:r>
      <w:r>
        <w:rPr>
          <w:rFonts w:hint="eastAsia" w:ascii="宋体" w:hAnsi="宋体" w:eastAsia="宋体"/>
          <w:szCs w:val="21"/>
        </w:rPr>
        <w:t>月</w:t>
      </w:r>
      <w:r>
        <w:rPr>
          <w:rFonts w:ascii="宋体" w:hAnsi="宋体" w:eastAsia="宋体"/>
          <w:szCs w:val="21"/>
          <w:u w:val="single"/>
        </w:rPr>
        <w:t xml:space="preserve">                       </w:t>
      </w:r>
      <w:r>
        <w:rPr>
          <w:rFonts w:hint="eastAsia" w:ascii="宋体" w:hAnsi="宋体" w:eastAsia="宋体"/>
          <w:szCs w:val="21"/>
        </w:rPr>
        <w:t>日；</w:t>
      </w:r>
    </w:p>
    <w:p w14:paraId="0DF81053">
      <w:pPr>
        <w:ind w:firstLine="420" w:firstLineChars="200"/>
        <w:rPr>
          <w:rFonts w:ascii="宋体" w:hAnsi="宋体" w:eastAsia="宋体" w:cs="宋体"/>
          <w:szCs w:val="21"/>
          <w:u w:val="single"/>
        </w:rPr>
      </w:pPr>
      <w:r>
        <w:rPr>
          <w:rFonts w:hint="eastAsia" w:ascii="宋体" w:hAnsi="宋体" w:eastAsia="宋体"/>
          <w:szCs w:val="21"/>
        </w:rPr>
        <w:t>汇</w:t>
      </w:r>
      <w:r>
        <w:rPr>
          <w:rFonts w:hint="eastAsia" w:ascii="宋体" w:hAnsi="宋体" w:eastAsia="宋体" w:cs="宋体"/>
          <w:szCs w:val="21"/>
        </w:rPr>
        <w:t>款金额：（大写）人民币</w:t>
      </w:r>
      <w:r>
        <w:rPr>
          <w:rFonts w:ascii="宋体" w:hAnsi="宋体" w:eastAsia="宋体" w:cs="宋体"/>
          <w:szCs w:val="21"/>
          <w:u w:val="single"/>
        </w:rPr>
        <w:t xml:space="preserve">                    </w:t>
      </w:r>
      <w:r>
        <w:rPr>
          <w:rFonts w:hint="eastAsia" w:ascii="宋体" w:hAnsi="宋体" w:eastAsia="宋体" w:cs="宋体"/>
          <w:szCs w:val="21"/>
        </w:rPr>
        <w:t>元（小写：￥</w:t>
      </w:r>
      <w:r>
        <w:rPr>
          <w:rFonts w:ascii="宋体" w:hAnsi="宋体" w:eastAsia="宋体" w:cs="宋体"/>
          <w:szCs w:val="21"/>
          <w:u w:val="single"/>
        </w:rPr>
        <w:t xml:space="preserve">                  </w:t>
      </w:r>
      <w:r>
        <w:rPr>
          <w:rFonts w:hint="eastAsia" w:ascii="宋体" w:hAnsi="宋体" w:eastAsia="宋体" w:cs="宋体"/>
          <w:szCs w:val="21"/>
        </w:rPr>
        <w:t>元）</w:t>
      </w:r>
    </w:p>
    <w:p w14:paraId="0096ECBD">
      <w:pPr>
        <w:ind w:firstLine="420" w:firstLineChars="200"/>
        <w:rPr>
          <w:rFonts w:ascii="宋体" w:hAnsi="宋体" w:eastAsia="宋体"/>
          <w:szCs w:val="21"/>
          <w:u w:val="single"/>
        </w:rPr>
      </w:pPr>
      <w:r>
        <w:rPr>
          <w:rFonts w:hint="eastAsia" w:ascii="宋体" w:hAnsi="宋体" w:eastAsia="宋体"/>
          <w:szCs w:val="21"/>
        </w:rPr>
        <w:t>汇款账户名称：</w:t>
      </w:r>
      <w:r>
        <w:rPr>
          <w:rFonts w:ascii="宋体" w:hAnsi="宋体" w:eastAsia="宋体"/>
          <w:szCs w:val="21"/>
          <w:u w:val="single"/>
        </w:rPr>
        <w:t xml:space="preserve">         （必须是投标时使用的账户名）                        </w:t>
      </w:r>
    </w:p>
    <w:p w14:paraId="3904C50F">
      <w:pPr>
        <w:ind w:firstLine="420" w:firstLineChars="200"/>
        <w:rPr>
          <w:rFonts w:ascii="宋体" w:hAnsi="宋体" w:eastAsia="宋体"/>
          <w:szCs w:val="21"/>
        </w:rPr>
      </w:pPr>
      <w:r>
        <w:rPr>
          <w:rFonts w:hint="eastAsia" w:ascii="宋体" w:hAnsi="宋体" w:eastAsia="宋体"/>
          <w:szCs w:val="21"/>
        </w:rPr>
        <w:t>帐</w:t>
      </w:r>
      <w:r>
        <w:rPr>
          <w:rFonts w:ascii="宋体" w:hAnsi="宋体" w:eastAsia="宋体"/>
          <w:szCs w:val="21"/>
        </w:rPr>
        <w:t xml:space="preserve">    </w:t>
      </w:r>
      <w:r>
        <w:rPr>
          <w:rFonts w:hint="eastAsia" w:ascii="宋体" w:hAnsi="宋体" w:eastAsia="宋体"/>
          <w:szCs w:val="21"/>
        </w:rPr>
        <w:t>号：</w:t>
      </w:r>
      <w:r>
        <w:rPr>
          <w:rFonts w:ascii="宋体" w:hAnsi="宋体" w:eastAsia="宋体"/>
          <w:szCs w:val="21"/>
          <w:u w:val="single"/>
        </w:rPr>
        <w:t xml:space="preserve">              （必须是投标时使用的账号）                         </w:t>
      </w:r>
    </w:p>
    <w:p w14:paraId="0708A559">
      <w:pPr>
        <w:ind w:firstLine="420" w:firstLineChars="200"/>
        <w:rPr>
          <w:rFonts w:ascii="宋体" w:hAnsi="宋体" w:eastAsia="宋体"/>
          <w:szCs w:val="21"/>
          <w:u w:val="single"/>
        </w:rPr>
      </w:pPr>
      <w:r>
        <w:rPr>
          <w:rFonts w:hint="eastAsia" w:ascii="宋体" w:hAnsi="宋体" w:eastAsia="宋体"/>
          <w:szCs w:val="21"/>
        </w:rPr>
        <w:t>开户银行：</w:t>
      </w:r>
      <w:r>
        <w:rPr>
          <w:rFonts w:ascii="宋体" w:hAnsi="宋体" w:eastAsia="宋体"/>
          <w:szCs w:val="21"/>
          <w:u w:val="single"/>
        </w:rPr>
        <w:t xml:space="preserve">            省             市           银行           支行      </w:t>
      </w:r>
    </w:p>
    <w:p w14:paraId="71BBFE8D">
      <w:pPr>
        <w:ind w:firstLine="420" w:firstLineChars="200"/>
        <w:rPr>
          <w:rFonts w:ascii="宋体" w:hAnsi="宋体" w:eastAsia="宋体"/>
          <w:szCs w:val="21"/>
        </w:rPr>
      </w:pPr>
      <w:r>
        <w:rPr>
          <w:rFonts w:hint="eastAsia" w:ascii="宋体" w:hAnsi="宋体" w:eastAsia="宋体"/>
          <w:szCs w:val="21"/>
        </w:rPr>
        <w:t>本单位谨承诺上述资料是正确、真实的，如因上述证明与事实不符导致的一切损失，本单位保证承担赔偿等一切法律责任。</w:t>
      </w:r>
    </w:p>
    <w:p w14:paraId="54216267">
      <w:pPr>
        <w:ind w:firstLine="420" w:firstLineChars="200"/>
        <w:rPr>
          <w:rFonts w:ascii="宋体" w:hAnsi="宋体" w:eastAsia="宋体"/>
          <w:szCs w:val="21"/>
        </w:rPr>
      </w:pPr>
      <w:r>
        <w:rPr>
          <w:rFonts w:hint="eastAsia" w:ascii="宋体" w:hAnsi="宋体" w:eastAsia="宋体"/>
          <w:szCs w:val="21"/>
        </w:rPr>
        <w:t>投标保证金退回时，请按上述资料退回。</w:t>
      </w:r>
    </w:p>
    <w:p w14:paraId="1FC8FAF0">
      <w:pPr>
        <w:ind w:right="844" w:rightChars="402"/>
        <w:jc w:val="right"/>
        <w:rPr>
          <w:rFonts w:ascii="宋体" w:hAnsi="宋体" w:eastAsia="宋体"/>
          <w:szCs w:val="21"/>
        </w:rPr>
      </w:pPr>
      <w:r>
        <w:rPr>
          <w:rFonts w:hint="eastAsia" w:ascii="宋体" w:hAnsi="宋体" w:eastAsia="宋体"/>
          <w:szCs w:val="21"/>
        </w:rPr>
        <w:t>（单位公章）</w:t>
      </w:r>
    </w:p>
    <w:p w14:paraId="7C4F83C7">
      <w:pPr>
        <w:ind w:right="628" w:rightChars="299"/>
        <w:jc w:val="right"/>
        <w:rPr>
          <w:rFonts w:ascii="宋体" w:hAnsi="宋体" w:eastAsia="宋体"/>
          <w:szCs w:val="21"/>
        </w:rPr>
      </w:pPr>
      <w:r>
        <w:rPr>
          <w:rFonts w:hint="eastAsia" w:ascii="宋体" w:hAnsi="宋体" w:eastAsia="宋体"/>
          <w:szCs w:val="21"/>
        </w:rPr>
        <w:t>年</w:t>
      </w:r>
      <w:r>
        <w:rPr>
          <w:rFonts w:ascii="宋体" w:hAnsi="宋体" w:eastAsia="宋体"/>
          <w:szCs w:val="21"/>
        </w:rPr>
        <w:t xml:space="preserve">     </w:t>
      </w:r>
      <w:r>
        <w:rPr>
          <w:rFonts w:hint="eastAsia" w:ascii="宋体" w:hAnsi="宋体" w:eastAsia="宋体"/>
          <w:szCs w:val="21"/>
        </w:rPr>
        <w:t>月</w:t>
      </w:r>
      <w:r>
        <w:rPr>
          <w:rFonts w:ascii="宋体" w:hAnsi="宋体" w:eastAsia="宋体"/>
          <w:szCs w:val="21"/>
        </w:rPr>
        <w:t xml:space="preserve">    </w:t>
      </w:r>
      <w:r>
        <w:rPr>
          <w:rFonts w:hint="eastAsia" w:ascii="宋体" w:hAnsi="宋体" w:eastAsia="宋体"/>
          <w:szCs w:val="21"/>
        </w:rPr>
        <w:t>日</w:t>
      </w:r>
    </w:p>
    <w:p w14:paraId="117F6B26">
      <w:pPr>
        <w:rPr>
          <w:rFonts w:ascii="宋体" w:hAnsi="宋体" w:eastAsia="宋体"/>
          <w:szCs w:val="21"/>
          <w:u w:val="single"/>
        </w:rPr>
      </w:pPr>
      <w:r>
        <w:rPr>
          <w:rFonts w:hint="eastAsia" w:ascii="宋体" w:hAnsi="宋体" w:eastAsia="宋体"/>
          <w:szCs w:val="21"/>
        </w:rPr>
        <w:t>单位名称：</w:t>
      </w:r>
      <w:r>
        <w:rPr>
          <w:rFonts w:ascii="宋体" w:hAnsi="宋体" w:eastAsia="宋体"/>
          <w:szCs w:val="21"/>
          <w:u w:val="single"/>
        </w:rPr>
        <w:t xml:space="preserve">                    </w:t>
      </w:r>
    </w:p>
    <w:p w14:paraId="603E3C09">
      <w:pPr>
        <w:rPr>
          <w:rFonts w:ascii="宋体" w:hAnsi="宋体" w:eastAsia="宋体"/>
          <w:szCs w:val="21"/>
        </w:rPr>
      </w:pPr>
      <w:r>
        <w:rPr>
          <w:rFonts w:hint="eastAsia" w:ascii="宋体" w:hAnsi="宋体" w:eastAsia="宋体"/>
          <w:szCs w:val="21"/>
        </w:rPr>
        <w:t>单位地址：</w:t>
      </w:r>
      <w:r>
        <w:rPr>
          <w:rFonts w:ascii="宋体" w:hAnsi="宋体" w:eastAsia="宋体"/>
          <w:szCs w:val="21"/>
          <w:u w:val="single"/>
        </w:rPr>
        <w:t xml:space="preserve">                    </w:t>
      </w:r>
    </w:p>
    <w:p w14:paraId="4E921E0E">
      <w:pPr>
        <w:rPr>
          <w:rFonts w:ascii="宋体" w:hAnsi="宋体" w:eastAsia="宋体"/>
          <w:szCs w:val="21"/>
        </w:rPr>
      </w:pPr>
      <w:r>
        <w:rPr>
          <w:rFonts w:hint="eastAsia" w:ascii="宋体" w:hAnsi="宋体" w:eastAsia="宋体"/>
          <w:szCs w:val="21"/>
        </w:rPr>
        <w:t>联</w:t>
      </w:r>
      <w:r>
        <w:rPr>
          <w:rFonts w:ascii="宋体" w:hAnsi="宋体" w:eastAsia="宋体"/>
          <w:szCs w:val="21"/>
        </w:rPr>
        <w:t xml:space="preserve"> </w:t>
      </w:r>
      <w:r>
        <w:rPr>
          <w:rFonts w:hint="eastAsia" w:ascii="宋体" w:hAnsi="宋体" w:eastAsia="宋体"/>
          <w:szCs w:val="21"/>
        </w:rPr>
        <w:t>系</w:t>
      </w:r>
      <w:r>
        <w:rPr>
          <w:rFonts w:ascii="宋体" w:hAnsi="宋体" w:eastAsia="宋体"/>
          <w:szCs w:val="21"/>
        </w:rPr>
        <w:t xml:space="preserve"> </w:t>
      </w:r>
      <w:r>
        <w:rPr>
          <w:rFonts w:hint="eastAsia" w:ascii="宋体" w:hAnsi="宋体" w:eastAsia="宋体"/>
          <w:szCs w:val="21"/>
        </w:rPr>
        <w:t>人：</w:t>
      </w:r>
      <w:r>
        <w:rPr>
          <w:rFonts w:ascii="宋体" w:hAnsi="宋体" w:eastAsia="宋体"/>
          <w:szCs w:val="21"/>
          <w:u w:val="single"/>
        </w:rPr>
        <w:t xml:space="preserve">  </w:t>
      </w:r>
      <w:r>
        <w:rPr>
          <w:rFonts w:hint="eastAsia" w:ascii="宋体" w:hAnsi="宋体" w:eastAsia="宋体"/>
          <w:iCs/>
          <w:szCs w:val="21"/>
          <w:u w:val="single"/>
        </w:rPr>
        <w:t>（投标单位财务）</w:t>
      </w:r>
      <w:r>
        <w:rPr>
          <w:rFonts w:ascii="宋体" w:hAnsi="宋体" w:eastAsia="宋体"/>
          <w:szCs w:val="21"/>
          <w:u w:val="single"/>
        </w:rPr>
        <w:t xml:space="preserve">  </w:t>
      </w:r>
    </w:p>
    <w:p w14:paraId="5697D16E">
      <w:pPr>
        <w:rPr>
          <w:rFonts w:ascii="宋体" w:hAnsi="宋体" w:eastAsia="宋体"/>
          <w:szCs w:val="21"/>
        </w:rPr>
      </w:pPr>
      <w:r>
        <w:rPr>
          <w:rFonts w:hint="eastAsia" w:ascii="宋体" w:hAnsi="宋体" w:eastAsia="宋体"/>
          <w:szCs w:val="21"/>
        </w:rPr>
        <w:t>单位电话：</w:t>
      </w:r>
      <w:r>
        <w:rPr>
          <w:rFonts w:ascii="宋体" w:hAnsi="宋体" w:eastAsia="宋体"/>
          <w:szCs w:val="21"/>
          <w:u w:val="single"/>
        </w:rPr>
        <w:t xml:space="preserve">                    </w:t>
      </w:r>
      <w:r>
        <w:rPr>
          <w:rFonts w:ascii="宋体" w:hAnsi="宋体" w:eastAsia="宋体"/>
          <w:szCs w:val="21"/>
        </w:rPr>
        <w:t xml:space="preserve">      联系人手机：</w:t>
      </w:r>
      <w:r>
        <w:rPr>
          <w:rFonts w:ascii="宋体" w:hAnsi="宋体" w:eastAsia="宋体"/>
          <w:szCs w:val="21"/>
          <w:u w:val="single"/>
        </w:rPr>
        <w:t xml:space="preserve">              </w:t>
      </w:r>
    </w:p>
    <w:tbl>
      <w:tblPr>
        <w:tblStyle w:val="14"/>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9286"/>
      </w:tblGrid>
      <w:tr w14:paraId="54867AE3">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310" w:hRule="atLeast"/>
          <w:jc w:val="center"/>
        </w:trPr>
        <w:tc>
          <w:tcPr>
            <w:tcW w:w="5000" w:type="pct"/>
            <w:vAlign w:val="center"/>
          </w:tcPr>
          <w:p w14:paraId="194A5AB4">
            <w:pPr>
              <w:jc w:val="center"/>
              <w:rPr>
                <w:rFonts w:ascii="宋体" w:hAnsi="宋体" w:eastAsia="宋体"/>
                <w:szCs w:val="21"/>
              </w:rPr>
            </w:pPr>
            <w:r>
              <w:rPr>
                <w:rFonts w:hint="eastAsia" w:ascii="宋体" w:hAnsi="宋体" w:eastAsia="宋体"/>
                <w:szCs w:val="21"/>
              </w:rPr>
              <w:t>附件一：我方投标保证金汇款凭证（复印件加盖投标人公章）</w:t>
            </w:r>
          </w:p>
        </w:tc>
      </w:tr>
    </w:tbl>
    <w:p w14:paraId="46254BF4">
      <w:pPr>
        <w:rPr>
          <w:rFonts w:ascii="宋体" w:hAnsi="宋体" w:eastAsia="宋体"/>
          <w:bCs/>
          <w:szCs w:val="21"/>
          <w:lang w:val="zh-CN"/>
        </w:rPr>
      </w:pPr>
      <w:r>
        <w:rPr>
          <w:rFonts w:hint="eastAsia" w:ascii="宋体" w:hAnsi="宋体" w:eastAsia="宋体"/>
          <w:bCs/>
          <w:szCs w:val="21"/>
          <w:lang w:val="zh-CN"/>
        </w:rPr>
        <w:t>注：本情况说明手写无效。</w:t>
      </w:r>
    </w:p>
    <w:p w14:paraId="6161B1C5">
      <w:pPr>
        <w:pageBreakBefore/>
        <w:spacing w:after="435" w:afterLines="100"/>
        <w:jc w:val="center"/>
        <w:rPr>
          <w:rFonts w:ascii="宋体" w:hAnsi="宋体" w:eastAsia="宋体"/>
          <w:b/>
          <w:szCs w:val="21"/>
        </w:rPr>
      </w:pPr>
      <w:r>
        <w:rPr>
          <w:rFonts w:hint="eastAsia" w:ascii="宋体" w:hAnsi="宋体" w:eastAsia="宋体"/>
          <w:b/>
          <w:sz w:val="32"/>
          <w:szCs w:val="32"/>
        </w:rPr>
        <w:t>投标担保函递交情况说明</w:t>
      </w:r>
    </w:p>
    <w:p w14:paraId="7BEDB7F1">
      <w:pPr>
        <w:rPr>
          <w:rFonts w:ascii="宋体" w:hAnsi="宋体" w:eastAsia="宋体"/>
          <w:b/>
          <w:szCs w:val="21"/>
        </w:rPr>
      </w:pPr>
      <w:r>
        <w:rPr>
          <w:rFonts w:hint="eastAsia" w:ascii="宋体" w:hAnsi="宋体" w:eastAsia="宋体"/>
          <w:b/>
          <w:szCs w:val="21"/>
        </w:rPr>
        <w:t>广东智汇城市招标采购有限公司</w:t>
      </w:r>
    </w:p>
    <w:p w14:paraId="69B68F89">
      <w:pPr>
        <w:spacing w:before="435" w:beforeLines="100"/>
        <w:ind w:firstLine="420" w:firstLineChars="200"/>
        <w:rPr>
          <w:rFonts w:ascii="宋体" w:hAnsi="宋体" w:eastAsia="宋体"/>
          <w:szCs w:val="21"/>
        </w:rPr>
      </w:pPr>
      <w:r>
        <w:rPr>
          <w:rFonts w:hint="eastAsia" w:ascii="宋体" w:hAnsi="宋体" w:eastAsia="宋体"/>
          <w:bCs/>
          <w:szCs w:val="21"/>
        </w:rPr>
        <w:t>本单位已按</w:t>
      </w:r>
      <w:r>
        <w:rPr>
          <w:rFonts w:ascii="宋体" w:hAnsi="宋体" w:eastAsia="宋体"/>
          <w:bCs/>
          <w:szCs w:val="21"/>
          <w:u w:val="single"/>
        </w:rPr>
        <w:t xml:space="preserve">     （</w:t>
      </w:r>
      <w:r>
        <w:rPr>
          <w:rFonts w:hint="eastAsia" w:ascii="宋体" w:hAnsi="宋体" w:eastAsia="宋体"/>
          <w:bCs/>
          <w:szCs w:val="21"/>
          <w:u w:val="single"/>
        </w:rPr>
        <w:t>项目名称）</w:t>
      </w:r>
      <w:r>
        <w:rPr>
          <w:rFonts w:ascii="宋体" w:hAnsi="宋体" w:eastAsia="宋体"/>
          <w:bCs/>
          <w:szCs w:val="21"/>
          <w:u w:val="single"/>
        </w:rPr>
        <w:t xml:space="preserve">     </w:t>
      </w:r>
      <w:r>
        <w:rPr>
          <w:rFonts w:hint="eastAsia" w:ascii="宋体" w:hAnsi="宋体" w:eastAsia="宋体"/>
          <w:bCs/>
          <w:szCs w:val="21"/>
        </w:rPr>
        <w:t>项目（项目编号：</w:t>
      </w:r>
      <w:r>
        <w:rPr>
          <w:rFonts w:ascii="宋体" w:hAnsi="宋体" w:eastAsia="宋体"/>
          <w:bCs/>
          <w:szCs w:val="21"/>
          <w:u w:val="single"/>
        </w:rPr>
        <w:t xml:space="preserve">             </w:t>
      </w:r>
      <w:r>
        <w:rPr>
          <w:rFonts w:hint="eastAsia" w:ascii="宋体" w:hAnsi="宋体" w:eastAsia="宋体"/>
          <w:bCs/>
          <w:szCs w:val="21"/>
        </w:rPr>
        <w:t>）的招标文件要求，于</w:t>
      </w:r>
      <w:r>
        <w:rPr>
          <w:rFonts w:hint="eastAsia" w:ascii="宋体" w:hAnsi="宋体" w:eastAsia="宋体"/>
          <w:szCs w:val="21"/>
          <w:u w:val="single"/>
        </w:rPr>
        <w:t xml:space="preserve">      年</w:t>
      </w:r>
      <w:r>
        <w:rPr>
          <w:rFonts w:ascii="宋体" w:hAnsi="宋体" w:eastAsia="宋体"/>
          <w:szCs w:val="21"/>
          <w:u w:val="single"/>
        </w:rPr>
        <w:t xml:space="preserve">   月   日    </w:t>
      </w:r>
      <w:r>
        <w:rPr>
          <w:rFonts w:hint="eastAsia" w:ascii="宋体" w:hAnsi="宋体" w:eastAsia="宋体"/>
          <w:szCs w:val="21"/>
          <w:u w:val="single"/>
        </w:rPr>
        <w:t>时</w:t>
      </w:r>
      <w:r>
        <w:rPr>
          <w:rFonts w:ascii="宋体" w:hAnsi="宋体" w:eastAsia="宋体"/>
          <w:szCs w:val="21"/>
          <w:u w:val="single"/>
        </w:rPr>
        <w:t xml:space="preserve">   </w:t>
      </w:r>
      <w:r>
        <w:rPr>
          <w:rFonts w:hint="eastAsia" w:ascii="宋体" w:hAnsi="宋体" w:eastAsia="宋体"/>
          <w:szCs w:val="21"/>
          <w:u w:val="single"/>
        </w:rPr>
        <w:t>分（北京时间）</w:t>
      </w:r>
      <w:r>
        <w:rPr>
          <w:rFonts w:hint="eastAsia" w:ascii="宋体" w:hAnsi="宋体" w:eastAsia="宋体"/>
          <w:bCs/>
          <w:szCs w:val="21"/>
        </w:rPr>
        <w:t>前以</w:t>
      </w:r>
      <w:r>
        <w:rPr>
          <w:rFonts w:hint="eastAsia" w:ascii="宋体" w:hAnsi="宋体" w:eastAsia="宋体"/>
          <w:bCs/>
          <w:szCs w:val="21"/>
          <w:u w:val="single"/>
        </w:rPr>
        <w:t>投标担保函</w:t>
      </w:r>
      <w:r>
        <w:rPr>
          <w:rFonts w:hint="eastAsia" w:ascii="宋体" w:hAnsi="宋体" w:eastAsia="宋体"/>
          <w:bCs/>
          <w:szCs w:val="21"/>
        </w:rPr>
        <w:t>方式与投标文件一同递交。</w:t>
      </w:r>
    </w:p>
    <w:p w14:paraId="1BAD65B2">
      <w:pPr>
        <w:ind w:right="844" w:rightChars="402"/>
        <w:jc w:val="right"/>
        <w:rPr>
          <w:rFonts w:ascii="宋体" w:hAnsi="宋体" w:eastAsia="宋体"/>
          <w:szCs w:val="21"/>
        </w:rPr>
      </w:pPr>
    </w:p>
    <w:p w14:paraId="662318DB">
      <w:pPr>
        <w:ind w:right="844" w:rightChars="402"/>
        <w:jc w:val="right"/>
        <w:rPr>
          <w:rFonts w:ascii="宋体" w:hAnsi="宋体" w:eastAsia="宋体"/>
          <w:szCs w:val="21"/>
        </w:rPr>
      </w:pPr>
      <w:r>
        <w:rPr>
          <w:rFonts w:hint="eastAsia" w:ascii="宋体" w:hAnsi="宋体" w:eastAsia="宋体"/>
          <w:szCs w:val="21"/>
        </w:rPr>
        <w:t>（单位公章）</w:t>
      </w:r>
    </w:p>
    <w:p w14:paraId="6B7D766D">
      <w:pPr>
        <w:ind w:right="628" w:rightChars="299"/>
        <w:jc w:val="right"/>
        <w:rPr>
          <w:rFonts w:ascii="宋体" w:hAnsi="宋体" w:eastAsia="宋体"/>
          <w:szCs w:val="21"/>
        </w:rPr>
      </w:pPr>
      <w:r>
        <w:rPr>
          <w:rFonts w:hint="eastAsia" w:ascii="宋体" w:hAnsi="宋体" w:eastAsia="宋体"/>
          <w:szCs w:val="21"/>
        </w:rPr>
        <w:t>年</w:t>
      </w:r>
      <w:r>
        <w:rPr>
          <w:rFonts w:ascii="宋体" w:hAnsi="宋体" w:eastAsia="宋体"/>
          <w:szCs w:val="21"/>
        </w:rPr>
        <w:t xml:space="preserve">     </w:t>
      </w:r>
      <w:r>
        <w:rPr>
          <w:rFonts w:hint="eastAsia" w:ascii="宋体" w:hAnsi="宋体" w:eastAsia="宋体"/>
          <w:szCs w:val="21"/>
        </w:rPr>
        <w:t>月</w:t>
      </w:r>
      <w:r>
        <w:rPr>
          <w:rFonts w:ascii="宋体" w:hAnsi="宋体" w:eastAsia="宋体"/>
          <w:szCs w:val="21"/>
        </w:rPr>
        <w:t xml:space="preserve">    </w:t>
      </w:r>
      <w:r>
        <w:rPr>
          <w:rFonts w:hint="eastAsia" w:ascii="宋体" w:hAnsi="宋体" w:eastAsia="宋体"/>
          <w:szCs w:val="21"/>
        </w:rPr>
        <w:t>日</w:t>
      </w:r>
    </w:p>
    <w:p w14:paraId="473530E1">
      <w:pPr>
        <w:rPr>
          <w:rFonts w:ascii="宋体" w:hAnsi="宋体" w:eastAsia="宋体"/>
          <w:szCs w:val="21"/>
          <w:u w:val="single"/>
        </w:rPr>
      </w:pPr>
      <w:r>
        <w:rPr>
          <w:rFonts w:hint="eastAsia" w:ascii="宋体" w:hAnsi="宋体" w:eastAsia="宋体"/>
          <w:szCs w:val="21"/>
        </w:rPr>
        <w:t>单位名称：</w:t>
      </w:r>
      <w:r>
        <w:rPr>
          <w:rFonts w:ascii="宋体" w:hAnsi="宋体" w:eastAsia="宋体"/>
          <w:szCs w:val="21"/>
          <w:u w:val="single"/>
        </w:rPr>
        <w:t xml:space="preserve">                    </w:t>
      </w:r>
    </w:p>
    <w:p w14:paraId="5EA0F630">
      <w:pPr>
        <w:rPr>
          <w:rFonts w:ascii="宋体" w:hAnsi="宋体" w:eastAsia="宋体"/>
          <w:szCs w:val="21"/>
        </w:rPr>
      </w:pPr>
      <w:r>
        <w:rPr>
          <w:rFonts w:hint="eastAsia" w:ascii="宋体" w:hAnsi="宋体" w:eastAsia="宋体"/>
          <w:szCs w:val="21"/>
        </w:rPr>
        <w:t>单位地址：</w:t>
      </w:r>
      <w:r>
        <w:rPr>
          <w:rFonts w:ascii="宋体" w:hAnsi="宋体" w:eastAsia="宋体"/>
          <w:szCs w:val="21"/>
          <w:u w:val="single"/>
        </w:rPr>
        <w:t xml:space="preserve">                    </w:t>
      </w:r>
    </w:p>
    <w:p w14:paraId="60117018">
      <w:pPr>
        <w:rPr>
          <w:rFonts w:ascii="宋体" w:hAnsi="宋体" w:eastAsia="宋体"/>
          <w:szCs w:val="21"/>
        </w:rPr>
      </w:pPr>
      <w:r>
        <w:rPr>
          <w:rFonts w:hint="eastAsia" w:ascii="宋体" w:hAnsi="宋体" w:eastAsia="宋体"/>
          <w:szCs w:val="21"/>
        </w:rPr>
        <w:t>联</w:t>
      </w:r>
      <w:r>
        <w:rPr>
          <w:rFonts w:ascii="宋体" w:hAnsi="宋体" w:eastAsia="宋体"/>
          <w:szCs w:val="21"/>
        </w:rPr>
        <w:t xml:space="preserve"> </w:t>
      </w:r>
      <w:r>
        <w:rPr>
          <w:rFonts w:hint="eastAsia" w:ascii="宋体" w:hAnsi="宋体" w:eastAsia="宋体"/>
          <w:szCs w:val="21"/>
        </w:rPr>
        <w:t>系</w:t>
      </w:r>
      <w:r>
        <w:rPr>
          <w:rFonts w:ascii="宋体" w:hAnsi="宋体" w:eastAsia="宋体"/>
          <w:szCs w:val="21"/>
        </w:rPr>
        <w:t xml:space="preserve"> </w:t>
      </w:r>
      <w:r>
        <w:rPr>
          <w:rFonts w:hint="eastAsia" w:ascii="宋体" w:hAnsi="宋体" w:eastAsia="宋体"/>
          <w:szCs w:val="21"/>
        </w:rPr>
        <w:t>人：</w:t>
      </w:r>
      <w:r>
        <w:rPr>
          <w:rFonts w:ascii="宋体" w:hAnsi="宋体" w:eastAsia="宋体"/>
          <w:szCs w:val="21"/>
          <w:u w:val="single"/>
        </w:rPr>
        <w:t xml:space="preserve">  </w:t>
      </w:r>
      <w:r>
        <w:rPr>
          <w:rFonts w:hint="eastAsia" w:ascii="宋体" w:hAnsi="宋体" w:eastAsia="宋体"/>
          <w:iCs/>
          <w:szCs w:val="21"/>
          <w:u w:val="single"/>
        </w:rPr>
        <w:t>（投标单位财务）</w:t>
      </w:r>
      <w:r>
        <w:rPr>
          <w:rFonts w:ascii="宋体" w:hAnsi="宋体" w:eastAsia="宋体"/>
          <w:szCs w:val="21"/>
          <w:u w:val="single"/>
        </w:rPr>
        <w:t xml:space="preserve">  </w:t>
      </w:r>
    </w:p>
    <w:p w14:paraId="18062EB3">
      <w:pPr>
        <w:rPr>
          <w:rFonts w:ascii="宋体" w:hAnsi="宋体" w:eastAsia="宋体"/>
          <w:szCs w:val="21"/>
        </w:rPr>
      </w:pPr>
      <w:r>
        <w:rPr>
          <w:rFonts w:hint="eastAsia" w:ascii="宋体" w:hAnsi="宋体" w:eastAsia="宋体"/>
          <w:szCs w:val="21"/>
        </w:rPr>
        <w:t>单位电话：</w:t>
      </w:r>
      <w:r>
        <w:rPr>
          <w:rFonts w:ascii="宋体" w:hAnsi="宋体" w:eastAsia="宋体"/>
          <w:szCs w:val="21"/>
          <w:u w:val="single"/>
        </w:rPr>
        <w:t xml:space="preserve">                    </w:t>
      </w:r>
      <w:r>
        <w:rPr>
          <w:rFonts w:ascii="宋体" w:hAnsi="宋体" w:eastAsia="宋体"/>
          <w:szCs w:val="21"/>
        </w:rPr>
        <w:t xml:space="preserve">      联系人手机：</w:t>
      </w:r>
      <w:r>
        <w:rPr>
          <w:rFonts w:ascii="宋体" w:hAnsi="宋体" w:eastAsia="宋体"/>
          <w:szCs w:val="21"/>
          <w:u w:val="single"/>
        </w:rPr>
        <w:t xml:space="preserve">              </w:t>
      </w:r>
    </w:p>
    <w:tbl>
      <w:tblPr>
        <w:tblStyle w:val="14"/>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9286"/>
      </w:tblGrid>
      <w:tr w14:paraId="16694471">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310" w:hRule="atLeast"/>
          <w:jc w:val="center"/>
        </w:trPr>
        <w:tc>
          <w:tcPr>
            <w:tcW w:w="5000" w:type="pct"/>
            <w:vAlign w:val="center"/>
          </w:tcPr>
          <w:p w14:paraId="403A44AC">
            <w:pPr>
              <w:jc w:val="center"/>
              <w:rPr>
                <w:rFonts w:ascii="宋体" w:hAnsi="宋体" w:eastAsia="宋体"/>
                <w:b/>
                <w:szCs w:val="21"/>
              </w:rPr>
            </w:pPr>
            <w:r>
              <w:rPr>
                <w:rFonts w:hint="eastAsia" w:ascii="宋体" w:hAnsi="宋体" w:eastAsia="宋体"/>
                <w:b/>
                <w:szCs w:val="21"/>
              </w:rPr>
              <w:t>附件一：</w:t>
            </w:r>
            <w:r>
              <w:rPr>
                <w:rFonts w:hint="eastAsia" w:ascii="宋体" w:hAnsi="宋体" w:eastAsia="宋体"/>
                <w:b/>
                <w:szCs w:val="21"/>
                <w:lang w:val="zh-CN"/>
              </w:rPr>
              <w:t>《投标担保函》</w:t>
            </w:r>
            <w:r>
              <w:rPr>
                <w:rFonts w:hint="eastAsia" w:ascii="宋体" w:hAnsi="宋体" w:eastAsia="宋体"/>
                <w:b/>
                <w:szCs w:val="21"/>
              </w:rPr>
              <w:t>（原件）</w:t>
            </w:r>
          </w:p>
        </w:tc>
      </w:tr>
    </w:tbl>
    <w:p w14:paraId="421D401C">
      <w:pPr>
        <w:widowControl/>
        <w:jc w:val="left"/>
        <w:rPr>
          <w:rFonts w:ascii="Calibri" w:hAnsi="Calibri" w:eastAsia="宋体" w:cs="Times New Roman"/>
          <w:kern w:val="0"/>
          <w:sz w:val="20"/>
          <w:szCs w:val="20"/>
          <w:lang w:eastAsia="zh-Hans"/>
        </w:rPr>
      </w:pPr>
    </w:p>
    <w:p w14:paraId="3966B42E">
      <w:pPr>
        <w:widowControl/>
        <w:jc w:val="left"/>
        <w:rPr>
          <w:rFonts w:ascii="Calibri" w:hAnsi="Calibri" w:eastAsia="宋体" w:cs="Times New Roman"/>
          <w:kern w:val="0"/>
          <w:sz w:val="20"/>
          <w:szCs w:val="20"/>
          <w:lang w:eastAsia="zh-Hans"/>
        </w:rPr>
      </w:pPr>
    </w:p>
    <w:p w14:paraId="747F66DC">
      <w:pPr>
        <w:pStyle w:val="21"/>
        <w:ind w:right="1890" w:firstLine="640"/>
        <w:jc w:val="center"/>
        <w:rPr>
          <w:rFonts w:hint="default"/>
        </w:rPr>
      </w:pPr>
    </w:p>
    <w:p w14:paraId="344FA3EF">
      <w:pPr>
        <w:pageBreakBefore/>
        <w:rPr>
          <w:rFonts w:ascii="宋体" w:hAnsi="宋体" w:eastAsia="宋体"/>
          <w:b/>
          <w:bCs/>
        </w:rPr>
      </w:pPr>
      <w:r>
        <w:rPr>
          <w:rFonts w:hint="eastAsia" w:ascii="宋体" w:hAnsi="宋体" w:eastAsia="宋体"/>
          <w:b/>
          <w:bCs/>
          <w:sz w:val="24"/>
          <w:szCs w:val="28"/>
        </w:rPr>
        <w:t>格式十二：</w:t>
      </w:r>
    </w:p>
    <w:p w14:paraId="6E50D479">
      <w:pPr>
        <w:spacing w:before="217" w:beforeLines="50" w:after="435" w:afterLines="100" w:line="360" w:lineRule="auto"/>
        <w:jc w:val="center"/>
        <w:rPr>
          <w:rFonts w:ascii="宋体" w:hAnsi="宋体" w:eastAsia="宋体"/>
          <w:b/>
          <w:color w:val="000000" w:themeColor="text1"/>
          <w:sz w:val="30"/>
          <w:szCs w:val="30"/>
          <w14:textFill>
            <w14:solidFill>
              <w14:schemeClr w14:val="tx1"/>
            </w14:solidFill>
          </w14:textFill>
        </w:rPr>
      </w:pPr>
      <w:r>
        <w:rPr>
          <w:rFonts w:hint="eastAsia" w:ascii="宋体" w:hAnsi="宋体" w:eastAsia="宋体"/>
          <w:b/>
          <w:color w:val="000000" w:themeColor="text1"/>
          <w:sz w:val="32"/>
          <w:szCs w:val="32"/>
          <w14:textFill>
            <w14:solidFill>
              <w14:schemeClr w14:val="tx1"/>
            </w14:solidFill>
          </w14:textFill>
        </w:rPr>
        <w:t>资格条件承诺函</w:t>
      </w:r>
    </w:p>
    <w:p w14:paraId="2DF41F31">
      <w:pPr>
        <w:adjustRightInd w:val="0"/>
        <w:snapToGrid w:val="0"/>
        <w:spacing w:line="360" w:lineRule="auto"/>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广东智汇城市招标采购有限公司：</w:t>
      </w:r>
    </w:p>
    <w:p w14:paraId="095D70BF">
      <w:pPr>
        <w:adjustRightInd w:val="0"/>
        <w:snapToGrid w:val="0"/>
        <w:spacing w:before="217" w:beforeLines="50" w:line="360" w:lineRule="auto"/>
        <w:ind w:firstLine="424" w:firstLineChars="202"/>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 xml:space="preserve">关于贵公司 </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年</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月</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日发布</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项目（项目编号：</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）的采购公告，我方愿意参加投标，并承诺：</w:t>
      </w:r>
    </w:p>
    <w:p w14:paraId="60BB0FF9">
      <w:pPr>
        <w:pStyle w:val="27"/>
        <w:widowControl/>
        <w:numPr>
          <w:ilvl w:val="0"/>
          <w:numId w:val="110"/>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具有良好的商业信誉和健全的财务会计制度。</w:t>
      </w:r>
    </w:p>
    <w:p w14:paraId="0360B354">
      <w:pPr>
        <w:pStyle w:val="27"/>
        <w:widowControl/>
        <w:numPr>
          <w:ilvl w:val="0"/>
          <w:numId w:val="110"/>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具有履行合同所必需的设备和专业技术能力。</w:t>
      </w:r>
    </w:p>
    <w:p w14:paraId="2FCC5843">
      <w:pPr>
        <w:pStyle w:val="27"/>
        <w:widowControl/>
        <w:numPr>
          <w:ilvl w:val="0"/>
          <w:numId w:val="110"/>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有依法缴纳税收和社会保障资金的良好记录。</w:t>
      </w:r>
    </w:p>
    <w:p w14:paraId="4D62C566">
      <w:pPr>
        <w:pStyle w:val="27"/>
        <w:widowControl/>
        <w:numPr>
          <w:ilvl w:val="0"/>
          <w:numId w:val="110"/>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613BC9B2">
      <w:pPr>
        <w:pStyle w:val="27"/>
        <w:widowControl/>
        <w:numPr>
          <w:ilvl w:val="0"/>
          <w:numId w:val="110"/>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法律、行政法规规定的其他条件。</w:t>
      </w:r>
    </w:p>
    <w:p w14:paraId="4DB5A43B">
      <w:pPr>
        <w:pStyle w:val="27"/>
        <w:widowControl/>
        <w:numPr>
          <w:ilvl w:val="0"/>
          <w:numId w:val="110"/>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承诺单位负责人为同一人或者存在直接控股、管理关系的不同供应商，不得同时参加本采购项目（或采购包）投标。</w:t>
      </w:r>
    </w:p>
    <w:p w14:paraId="4C6A3ADB">
      <w:pPr>
        <w:pStyle w:val="27"/>
        <w:widowControl/>
        <w:numPr>
          <w:ilvl w:val="0"/>
          <w:numId w:val="110"/>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承诺为本项目提供整体设计、规范编制或者项目管理、监理、检测等服务的供应商，不得再参与本项目投标。</w:t>
      </w:r>
    </w:p>
    <w:p w14:paraId="2260D214">
      <w:pPr>
        <w:adjustRightInd w:val="0"/>
        <w:snapToGrid w:val="0"/>
        <w:spacing w:line="360" w:lineRule="auto"/>
        <w:ind w:firstLine="424" w:firstLineChars="202"/>
        <w:rPr>
          <w:rFonts w:ascii="宋体" w:hAnsi="宋体" w:eastAsia="宋体"/>
          <w:szCs w:val="21"/>
        </w:rPr>
      </w:pPr>
      <w:r>
        <w:rPr>
          <w:rFonts w:hint="eastAsia" w:ascii="宋体" w:hAnsi="宋体" w:eastAsia="宋体"/>
          <w:szCs w:val="21"/>
        </w:rPr>
        <w:t>我方对上述承诺的真实性负责，在评审环节结束后，自愿接受采购单位（采购代理机构）的检查核验，配合提供相关证明材料，证明符合相关资格条件。如有虚假，将依法承担相应法律责任。</w:t>
      </w:r>
    </w:p>
    <w:p w14:paraId="77682008">
      <w:pPr>
        <w:adjustRightInd w:val="0"/>
        <w:snapToGrid w:val="0"/>
        <w:spacing w:before="217" w:beforeLines="50" w:line="360" w:lineRule="auto"/>
        <w:ind w:firstLine="42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特此承诺。</w:t>
      </w:r>
    </w:p>
    <w:p w14:paraId="70A1B9C8">
      <w:pPr>
        <w:rPr>
          <w:rFonts w:ascii="宋体" w:hAnsi="宋体" w:eastAsia="宋体" w:cs="Times New Roman"/>
          <w:szCs w:val="21"/>
        </w:rPr>
      </w:pPr>
    </w:p>
    <w:p w14:paraId="076116A2">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32AE0AC3">
      <w:pPr>
        <w:widowControl/>
        <w:spacing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59DFA05F">
      <w:pPr>
        <w:rPr>
          <w:rFonts w:ascii="宋体" w:hAnsi="宋体" w:eastAsia="宋体" w:cs="Times New Roman"/>
          <w:szCs w:val="21"/>
        </w:rPr>
      </w:pPr>
    </w:p>
    <w:p w14:paraId="773149AF">
      <w:pPr>
        <w:pageBreakBefore/>
        <w:rPr>
          <w:rFonts w:ascii="Calibri" w:hAnsi="Calibri" w:eastAsia="宋体" w:cs="Times New Roman"/>
          <w:kern w:val="0"/>
          <w:szCs w:val="21"/>
          <w:lang w:eastAsia="zh-Hans"/>
        </w:rPr>
      </w:pPr>
      <w:bookmarkStart w:id="65" w:name="_Toc169799798"/>
      <w:r>
        <w:rPr>
          <w:rFonts w:ascii="宋体" w:hAnsi="宋体" w:eastAsia="宋体"/>
          <w:b/>
          <w:bCs/>
          <w:sz w:val="24"/>
          <w:szCs w:val="28"/>
        </w:rPr>
        <w:t>格式</w:t>
      </w:r>
      <w:r>
        <w:rPr>
          <w:rFonts w:hint="eastAsia" w:ascii="宋体" w:hAnsi="宋体" w:eastAsia="宋体"/>
          <w:b/>
          <w:bCs/>
          <w:sz w:val="24"/>
          <w:szCs w:val="28"/>
        </w:rPr>
        <w:t>十三</w:t>
      </w:r>
      <w:r>
        <w:rPr>
          <w:rFonts w:ascii="宋体" w:hAnsi="宋体" w:eastAsia="宋体"/>
          <w:b/>
          <w:bCs/>
          <w:sz w:val="24"/>
          <w:szCs w:val="28"/>
        </w:rPr>
        <w:t>：</w:t>
      </w:r>
      <w:bookmarkEnd w:id="65"/>
    </w:p>
    <w:p w14:paraId="52F4D935">
      <w:pPr>
        <w:widowControl/>
        <w:spacing w:before="217" w:beforeLines="50"/>
        <w:jc w:val="center"/>
        <w:outlineLvl w:val="3"/>
        <w:rPr>
          <w:rFonts w:ascii="Calibri" w:hAnsi="Calibri" w:eastAsia="宋体" w:cs="Times New Roman"/>
          <w:kern w:val="0"/>
          <w:sz w:val="20"/>
          <w:szCs w:val="20"/>
        </w:rPr>
      </w:pPr>
      <w:r>
        <w:rPr>
          <w:rFonts w:ascii="Calibri" w:hAnsi="Calibri" w:eastAsia="宋体" w:cs="Times New Roman"/>
          <w:b/>
          <w:kern w:val="0"/>
          <w:sz w:val="28"/>
          <w:szCs w:val="21"/>
          <w:lang w:eastAsia="zh-Hans"/>
        </w:rPr>
        <w:t>提供具有独立承担民事责任的能力的证明材料</w:t>
      </w:r>
    </w:p>
    <w:p w14:paraId="48872C45">
      <w:pPr>
        <w:widowControl/>
        <w:jc w:val="left"/>
        <w:rPr>
          <w:rFonts w:ascii="Calibri" w:hAnsi="Calibri" w:eastAsia="宋体" w:cs="Times New Roman"/>
          <w:kern w:val="0"/>
          <w:sz w:val="20"/>
          <w:szCs w:val="20"/>
          <w:lang w:eastAsia="zh-Hans"/>
        </w:rPr>
      </w:pPr>
    </w:p>
    <w:p w14:paraId="62C3C2D4">
      <w:pPr>
        <w:pageBreakBefore/>
        <w:rPr>
          <w:rFonts w:ascii="宋体" w:hAnsi="宋体" w:eastAsia="宋体"/>
          <w:b/>
          <w:bCs/>
        </w:rPr>
      </w:pPr>
      <w:bookmarkStart w:id="66" w:name="_Toc405313974"/>
      <w:bookmarkStart w:id="67" w:name="_Toc391627770"/>
      <w:r>
        <w:rPr>
          <w:rFonts w:hint="eastAsia" w:ascii="宋体" w:hAnsi="宋体" w:eastAsia="宋体"/>
          <w:b/>
          <w:bCs/>
          <w:sz w:val="24"/>
          <w:szCs w:val="28"/>
        </w:rPr>
        <w:t>格式十四：</w:t>
      </w:r>
    </w:p>
    <w:p w14:paraId="0B1632C9">
      <w:pPr>
        <w:spacing w:after="217" w:afterLines="50" w:line="360" w:lineRule="auto"/>
        <w:jc w:val="center"/>
        <w:rPr>
          <w:rFonts w:ascii="宋体" w:hAnsi="宋体" w:eastAsia="宋体"/>
          <w:b/>
          <w:sz w:val="22"/>
        </w:rPr>
      </w:pPr>
      <w:r>
        <w:rPr>
          <w:rFonts w:hint="eastAsia" w:ascii="宋体" w:hAnsi="宋体" w:eastAsia="宋体"/>
          <w:b/>
          <w:sz w:val="32"/>
          <w:szCs w:val="32"/>
        </w:rPr>
        <w:t>拟投入本项目设备情况表</w:t>
      </w: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903"/>
        <w:gridCol w:w="2162"/>
        <w:gridCol w:w="1359"/>
        <w:gridCol w:w="1874"/>
      </w:tblGrid>
      <w:tr w14:paraId="004C6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14:paraId="6DA6EE7B">
            <w:pPr>
              <w:jc w:val="center"/>
              <w:rPr>
                <w:rFonts w:ascii="宋体" w:hAnsi="宋体" w:eastAsia="宋体"/>
                <w:b/>
                <w:bCs/>
                <w:szCs w:val="21"/>
              </w:rPr>
            </w:pPr>
            <w:r>
              <w:rPr>
                <w:rFonts w:hint="eastAsia" w:ascii="宋体" w:hAnsi="宋体" w:eastAsia="宋体"/>
                <w:b/>
                <w:bCs/>
                <w:szCs w:val="21"/>
              </w:rPr>
              <w:t>序号</w:t>
            </w:r>
          </w:p>
        </w:tc>
        <w:tc>
          <w:tcPr>
            <w:tcW w:w="1563" w:type="pct"/>
            <w:vAlign w:val="center"/>
          </w:tcPr>
          <w:p w14:paraId="3817DDFE">
            <w:pPr>
              <w:jc w:val="center"/>
              <w:rPr>
                <w:rFonts w:ascii="宋体" w:hAnsi="宋体" w:eastAsia="宋体"/>
                <w:b/>
                <w:bCs/>
                <w:szCs w:val="21"/>
              </w:rPr>
            </w:pPr>
            <w:r>
              <w:rPr>
                <w:rFonts w:hint="eastAsia" w:ascii="宋体" w:hAnsi="宋体" w:eastAsia="宋体"/>
                <w:b/>
                <w:bCs/>
                <w:szCs w:val="21"/>
              </w:rPr>
              <w:t>名称</w:t>
            </w:r>
          </w:p>
        </w:tc>
        <w:tc>
          <w:tcPr>
            <w:tcW w:w="1164" w:type="pct"/>
            <w:vAlign w:val="center"/>
          </w:tcPr>
          <w:p w14:paraId="06AC361D">
            <w:pPr>
              <w:jc w:val="center"/>
              <w:rPr>
                <w:rFonts w:ascii="宋体" w:hAnsi="宋体" w:eastAsia="宋体"/>
                <w:b/>
                <w:bCs/>
                <w:szCs w:val="21"/>
              </w:rPr>
            </w:pPr>
            <w:r>
              <w:rPr>
                <w:rFonts w:hint="eastAsia" w:ascii="宋体" w:hAnsi="宋体" w:eastAsia="宋体"/>
                <w:b/>
                <w:bCs/>
                <w:szCs w:val="21"/>
              </w:rPr>
              <w:t>规格型号</w:t>
            </w:r>
          </w:p>
        </w:tc>
        <w:tc>
          <w:tcPr>
            <w:tcW w:w="732" w:type="pct"/>
            <w:vAlign w:val="center"/>
          </w:tcPr>
          <w:p w14:paraId="17A4AC09">
            <w:pPr>
              <w:jc w:val="center"/>
              <w:rPr>
                <w:rFonts w:ascii="宋体" w:hAnsi="宋体" w:eastAsia="宋体"/>
                <w:b/>
                <w:bCs/>
                <w:szCs w:val="21"/>
              </w:rPr>
            </w:pPr>
            <w:r>
              <w:rPr>
                <w:rFonts w:hint="eastAsia" w:ascii="宋体" w:hAnsi="宋体" w:eastAsia="宋体"/>
                <w:b/>
                <w:bCs/>
                <w:szCs w:val="21"/>
              </w:rPr>
              <w:t>数量</w:t>
            </w:r>
          </w:p>
        </w:tc>
        <w:tc>
          <w:tcPr>
            <w:tcW w:w="1009" w:type="pct"/>
            <w:vAlign w:val="center"/>
          </w:tcPr>
          <w:p w14:paraId="2368A346">
            <w:pPr>
              <w:jc w:val="center"/>
              <w:rPr>
                <w:rFonts w:ascii="宋体" w:hAnsi="宋体" w:eastAsia="宋体"/>
                <w:b/>
                <w:bCs/>
                <w:szCs w:val="21"/>
              </w:rPr>
            </w:pPr>
            <w:r>
              <w:rPr>
                <w:rFonts w:hint="eastAsia" w:ascii="宋体" w:hAnsi="宋体" w:eastAsia="宋体"/>
                <w:b/>
                <w:bCs/>
                <w:szCs w:val="21"/>
              </w:rPr>
              <w:t>备注</w:t>
            </w:r>
          </w:p>
        </w:tc>
      </w:tr>
      <w:tr w14:paraId="39DE2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0EBC5B23">
            <w:pPr>
              <w:jc w:val="center"/>
              <w:rPr>
                <w:rFonts w:ascii="宋体" w:hAnsi="宋体" w:eastAsia="宋体"/>
                <w:szCs w:val="21"/>
              </w:rPr>
            </w:pPr>
          </w:p>
        </w:tc>
        <w:tc>
          <w:tcPr>
            <w:tcW w:w="1563" w:type="pct"/>
            <w:vAlign w:val="center"/>
          </w:tcPr>
          <w:p w14:paraId="6B01071C">
            <w:pPr>
              <w:jc w:val="center"/>
              <w:rPr>
                <w:rFonts w:ascii="宋体" w:hAnsi="宋体" w:eastAsia="宋体"/>
                <w:szCs w:val="21"/>
              </w:rPr>
            </w:pPr>
          </w:p>
        </w:tc>
        <w:tc>
          <w:tcPr>
            <w:tcW w:w="1164" w:type="pct"/>
            <w:vAlign w:val="center"/>
          </w:tcPr>
          <w:p w14:paraId="217AAAA0">
            <w:pPr>
              <w:jc w:val="center"/>
              <w:rPr>
                <w:rFonts w:ascii="宋体" w:hAnsi="宋体" w:eastAsia="宋体"/>
                <w:szCs w:val="21"/>
              </w:rPr>
            </w:pPr>
          </w:p>
        </w:tc>
        <w:tc>
          <w:tcPr>
            <w:tcW w:w="732" w:type="pct"/>
            <w:vAlign w:val="center"/>
          </w:tcPr>
          <w:p w14:paraId="79F085ED">
            <w:pPr>
              <w:jc w:val="center"/>
              <w:rPr>
                <w:rFonts w:ascii="宋体" w:hAnsi="宋体" w:eastAsia="宋体"/>
                <w:szCs w:val="21"/>
              </w:rPr>
            </w:pPr>
          </w:p>
        </w:tc>
        <w:tc>
          <w:tcPr>
            <w:tcW w:w="1009" w:type="pct"/>
            <w:vAlign w:val="center"/>
          </w:tcPr>
          <w:p w14:paraId="1B4ED215">
            <w:pPr>
              <w:jc w:val="center"/>
              <w:rPr>
                <w:rFonts w:ascii="宋体" w:hAnsi="宋体" w:eastAsia="宋体"/>
                <w:szCs w:val="21"/>
              </w:rPr>
            </w:pPr>
          </w:p>
        </w:tc>
      </w:tr>
      <w:tr w14:paraId="4B186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19D31609">
            <w:pPr>
              <w:jc w:val="center"/>
              <w:rPr>
                <w:rFonts w:ascii="宋体" w:hAnsi="宋体" w:eastAsia="宋体"/>
                <w:szCs w:val="21"/>
              </w:rPr>
            </w:pPr>
          </w:p>
        </w:tc>
        <w:tc>
          <w:tcPr>
            <w:tcW w:w="1563" w:type="pct"/>
            <w:vAlign w:val="center"/>
          </w:tcPr>
          <w:p w14:paraId="52011562">
            <w:pPr>
              <w:jc w:val="center"/>
              <w:rPr>
                <w:rFonts w:ascii="宋体" w:hAnsi="宋体" w:eastAsia="宋体"/>
                <w:szCs w:val="21"/>
              </w:rPr>
            </w:pPr>
          </w:p>
        </w:tc>
        <w:tc>
          <w:tcPr>
            <w:tcW w:w="1164" w:type="pct"/>
            <w:vAlign w:val="center"/>
          </w:tcPr>
          <w:p w14:paraId="0E9E40B3">
            <w:pPr>
              <w:jc w:val="center"/>
              <w:rPr>
                <w:rFonts w:ascii="宋体" w:hAnsi="宋体" w:eastAsia="宋体"/>
                <w:szCs w:val="21"/>
              </w:rPr>
            </w:pPr>
          </w:p>
        </w:tc>
        <w:tc>
          <w:tcPr>
            <w:tcW w:w="732" w:type="pct"/>
            <w:vAlign w:val="center"/>
          </w:tcPr>
          <w:p w14:paraId="6824BC50">
            <w:pPr>
              <w:jc w:val="center"/>
              <w:rPr>
                <w:rFonts w:ascii="宋体" w:hAnsi="宋体" w:eastAsia="宋体"/>
                <w:szCs w:val="21"/>
              </w:rPr>
            </w:pPr>
          </w:p>
        </w:tc>
        <w:tc>
          <w:tcPr>
            <w:tcW w:w="1009" w:type="pct"/>
            <w:vAlign w:val="center"/>
          </w:tcPr>
          <w:p w14:paraId="6459261F">
            <w:pPr>
              <w:jc w:val="center"/>
              <w:rPr>
                <w:rFonts w:ascii="宋体" w:hAnsi="宋体" w:eastAsia="宋体"/>
                <w:szCs w:val="21"/>
              </w:rPr>
            </w:pPr>
          </w:p>
        </w:tc>
      </w:tr>
      <w:tr w14:paraId="63985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01C2488C">
            <w:pPr>
              <w:jc w:val="center"/>
              <w:rPr>
                <w:rFonts w:ascii="宋体" w:hAnsi="宋体" w:eastAsia="宋体"/>
                <w:szCs w:val="21"/>
              </w:rPr>
            </w:pPr>
          </w:p>
        </w:tc>
        <w:tc>
          <w:tcPr>
            <w:tcW w:w="1563" w:type="pct"/>
            <w:vAlign w:val="center"/>
          </w:tcPr>
          <w:p w14:paraId="1565DAD5">
            <w:pPr>
              <w:jc w:val="center"/>
              <w:rPr>
                <w:rFonts w:ascii="宋体" w:hAnsi="宋体" w:eastAsia="宋体"/>
                <w:szCs w:val="21"/>
              </w:rPr>
            </w:pPr>
          </w:p>
        </w:tc>
        <w:tc>
          <w:tcPr>
            <w:tcW w:w="1164" w:type="pct"/>
            <w:vAlign w:val="center"/>
          </w:tcPr>
          <w:p w14:paraId="7F88EB27">
            <w:pPr>
              <w:jc w:val="center"/>
              <w:rPr>
                <w:rFonts w:ascii="宋体" w:hAnsi="宋体" w:eastAsia="宋体"/>
                <w:szCs w:val="21"/>
              </w:rPr>
            </w:pPr>
          </w:p>
        </w:tc>
        <w:tc>
          <w:tcPr>
            <w:tcW w:w="732" w:type="pct"/>
            <w:vAlign w:val="center"/>
          </w:tcPr>
          <w:p w14:paraId="42B23CD7">
            <w:pPr>
              <w:jc w:val="center"/>
              <w:rPr>
                <w:rFonts w:ascii="宋体" w:hAnsi="宋体" w:eastAsia="宋体"/>
                <w:szCs w:val="21"/>
              </w:rPr>
            </w:pPr>
          </w:p>
        </w:tc>
        <w:tc>
          <w:tcPr>
            <w:tcW w:w="1009" w:type="pct"/>
            <w:vAlign w:val="center"/>
          </w:tcPr>
          <w:p w14:paraId="4AD4DFBE">
            <w:pPr>
              <w:jc w:val="center"/>
              <w:rPr>
                <w:rFonts w:ascii="宋体" w:hAnsi="宋体" w:eastAsia="宋体"/>
                <w:szCs w:val="21"/>
              </w:rPr>
            </w:pPr>
          </w:p>
        </w:tc>
      </w:tr>
      <w:tr w14:paraId="725C4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66FA6741">
            <w:pPr>
              <w:jc w:val="center"/>
              <w:rPr>
                <w:rFonts w:ascii="宋体" w:hAnsi="宋体" w:eastAsia="宋体"/>
                <w:szCs w:val="21"/>
              </w:rPr>
            </w:pPr>
          </w:p>
        </w:tc>
        <w:tc>
          <w:tcPr>
            <w:tcW w:w="1563" w:type="pct"/>
            <w:vAlign w:val="center"/>
          </w:tcPr>
          <w:p w14:paraId="2F582632">
            <w:pPr>
              <w:jc w:val="center"/>
              <w:rPr>
                <w:rFonts w:ascii="宋体" w:hAnsi="宋体" w:eastAsia="宋体"/>
                <w:szCs w:val="21"/>
              </w:rPr>
            </w:pPr>
          </w:p>
        </w:tc>
        <w:tc>
          <w:tcPr>
            <w:tcW w:w="1164" w:type="pct"/>
            <w:vAlign w:val="center"/>
          </w:tcPr>
          <w:p w14:paraId="63BE101F">
            <w:pPr>
              <w:jc w:val="center"/>
              <w:rPr>
                <w:rFonts w:ascii="宋体" w:hAnsi="宋体" w:eastAsia="宋体"/>
                <w:szCs w:val="21"/>
              </w:rPr>
            </w:pPr>
          </w:p>
        </w:tc>
        <w:tc>
          <w:tcPr>
            <w:tcW w:w="732" w:type="pct"/>
            <w:vAlign w:val="center"/>
          </w:tcPr>
          <w:p w14:paraId="0D7D6BCD">
            <w:pPr>
              <w:jc w:val="center"/>
              <w:rPr>
                <w:rFonts w:ascii="宋体" w:hAnsi="宋体" w:eastAsia="宋体"/>
                <w:szCs w:val="21"/>
              </w:rPr>
            </w:pPr>
          </w:p>
        </w:tc>
        <w:tc>
          <w:tcPr>
            <w:tcW w:w="1009" w:type="pct"/>
            <w:vAlign w:val="center"/>
          </w:tcPr>
          <w:p w14:paraId="1F9D5896">
            <w:pPr>
              <w:jc w:val="center"/>
              <w:rPr>
                <w:rFonts w:ascii="宋体" w:hAnsi="宋体" w:eastAsia="宋体"/>
                <w:szCs w:val="21"/>
              </w:rPr>
            </w:pPr>
          </w:p>
        </w:tc>
      </w:tr>
      <w:tr w14:paraId="443E1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590614C4">
            <w:pPr>
              <w:jc w:val="center"/>
              <w:rPr>
                <w:rFonts w:ascii="宋体" w:hAnsi="宋体" w:eastAsia="宋体"/>
                <w:szCs w:val="21"/>
              </w:rPr>
            </w:pPr>
          </w:p>
        </w:tc>
        <w:tc>
          <w:tcPr>
            <w:tcW w:w="1563" w:type="pct"/>
            <w:vAlign w:val="center"/>
          </w:tcPr>
          <w:p w14:paraId="59578F53">
            <w:pPr>
              <w:jc w:val="center"/>
              <w:rPr>
                <w:rFonts w:ascii="宋体" w:hAnsi="宋体" w:eastAsia="宋体"/>
                <w:szCs w:val="21"/>
              </w:rPr>
            </w:pPr>
          </w:p>
        </w:tc>
        <w:tc>
          <w:tcPr>
            <w:tcW w:w="1164" w:type="pct"/>
            <w:vAlign w:val="center"/>
          </w:tcPr>
          <w:p w14:paraId="0F22411E">
            <w:pPr>
              <w:jc w:val="center"/>
              <w:rPr>
                <w:rFonts w:ascii="宋体" w:hAnsi="宋体" w:eastAsia="宋体"/>
                <w:szCs w:val="21"/>
              </w:rPr>
            </w:pPr>
          </w:p>
        </w:tc>
        <w:tc>
          <w:tcPr>
            <w:tcW w:w="732" w:type="pct"/>
            <w:vAlign w:val="center"/>
          </w:tcPr>
          <w:p w14:paraId="3028C6D5">
            <w:pPr>
              <w:jc w:val="center"/>
              <w:rPr>
                <w:rFonts w:ascii="宋体" w:hAnsi="宋体" w:eastAsia="宋体"/>
                <w:szCs w:val="21"/>
              </w:rPr>
            </w:pPr>
          </w:p>
        </w:tc>
        <w:tc>
          <w:tcPr>
            <w:tcW w:w="1009" w:type="pct"/>
            <w:vAlign w:val="center"/>
          </w:tcPr>
          <w:p w14:paraId="2760B64B">
            <w:pPr>
              <w:jc w:val="center"/>
              <w:rPr>
                <w:rFonts w:ascii="宋体" w:hAnsi="宋体" w:eastAsia="宋体"/>
                <w:szCs w:val="21"/>
              </w:rPr>
            </w:pPr>
          </w:p>
        </w:tc>
      </w:tr>
      <w:tr w14:paraId="05AFE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1D20915D">
            <w:pPr>
              <w:jc w:val="center"/>
              <w:rPr>
                <w:rFonts w:ascii="宋体" w:hAnsi="宋体" w:eastAsia="宋体"/>
                <w:szCs w:val="21"/>
              </w:rPr>
            </w:pPr>
          </w:p>
        </w:tc>
        <w:tc>
          <w:tcPr>
            <w:tcW w:w="1563" w:type="pct"/>
            <w:vAlign w:val="center"/>
          </w:tcPr>
          <w:p w14:paraId="05755403">
            <w:pPr>
              <w:jc w:val="center"/>
              <w:rPr>
                <w:rFonts w:ascii="宋体" w:hAnsi="宋体" w:eastAsia="宋体"/>
                <w:szCs w:val="21"/>
              </w:rPr>
            </w:pPr>
          </w:p>
        </w:tc>
        <w:tc>
          <w:tcPr>
            <w:tcW w:w="1164" w:type="pct"/>
            <w:vAlign w:val="center"/>
          </w:tcPr>
          <w:p w14:paraId="0124A58D">
            <w:pPr>
              <w:jc w:val="center"/>
              <w:rPr>
                <w:rFonts w:ascii="宋体" w:hAnsi="宋体" w:eastAsia="宋体"/>
                <w:szCs w:val="21"/>
              </w:rPr>
            </w:pPr>
          </w:p>
        </w:tc>
        <w:tc>
          <w:tcPr>
            <w:tcW w:w="732" w:type="pct"/>
            <w:vAlign w:val="center"/>
          </w:tcPr>
          <w:p w14:paraId="75EFB702">
            <w:pPr>
              <w:jc w:val="center"/>
              <w:rPr>
                <w:rFonts w:ascii="宋体" w:hAnsi="宋体" w:eastAsia="宋体"/>
                <w:szCs w:val="21"/>
              </w:rPr>
            </w:pPr>
          </w:p>
        </w:tc>
        <w:tc>
          <w:tcPr>
            <w:tcW w:w="1009" w:type="pct"/>
            <w:vAlign w:val="center"/>
          </w:tcPr>
          <w:p w14:paraId="084CCF0D">
            <w:pPr>
              <w:jc w:val="center"/>
              <w:rPr>
                <w:rFonts w:ascii="宋体" w:hAnsi="宋体" w:eastAsia="宋体"/>
                <w:szCs w:val="21"/>
              </w:rPr>
            </w:pPr>
          </w:p>
        </w:tc>
      </w:tr>
      <w:tr w14:paraId="343BE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48263470">
            <w:pPr>
              <w:jc w:val="center"/>
              <w:rPr>
                <w:rFonts w:ascii="宋体" w:hAnsi="宋体" w:eastAsia="宋体"/>
                <w:szCs w:val="21"/>
              </w:rPr>
            </w:pPr>
          </w:p>
        </w:tc>
        <w:tc>
          <w:tcPr>
            <w:tcW w:w="1563" w:type="pct"/>
            <w:vAlign w:val="center"/>
          </w:tcPr>
          <w:p w14:paraId="7CB689AC">
            <w:pPr>
              <w:jc w:val="center"/>
              <w:rPr>
                <w:rFonts w:ascii="宋体" w:hAnsi="宋体" w:eastAsia="宋体"/>
                <w:szCs w:val="21"/>
              </w:rPr>
            </w:pPr>
          </w:p>
        </w:tc>
        <w:tc>
          <w:tcPr>
            <w:tcW w:w="1164" w:type="pct"/>
            <w:vAlign w:val="center"/>
          </w:tcPr>
          <w:p w14:paraId="01CC754A">
            <w:pPr>
              <w:jc w:val="center"/>
              <w:rPr>
                <w:rFonts w:ascii="宋体" w:hAnsi="宋体" w:eastAsia="宋体"/>
                <w:szCs w:val="21"/>
              </w:rPr>
            </w:pPr>
          </w:p>
        </w:tc>
        <w:tc>
          <w:tcPr>
            <w:tcW w:w="732" w:type="pct"/>
            <w:vAlign w:val="center"/>
          </w:tcPr>
          <w:p w14:paraId="1BBC3748">
            <w:pPr>
              <w:jc w:val="center"/>
              <w:rPr>
                <w:rFonts w:ascii="宋体" w:hAnsi="宋体" w:eastAsia="宋体"/>
                <w:szCs w:val="21"/>
              </w:rPr>
            </w:pPr>
          </w:p>
        </w:tc>
        <w:tc>
          <w:tcPr>
            <w:tcW w:w="1009" w:type="pct"/>
            <w:vAlign w:val="center"/>
          </w:tcPr>
          <w:p w14:paraId="1EA17CC2">
            <w:pPr>
              <w:jc w:val="center"/>
              <w:rPr>
                <w:rFonts w:ascii="宋体" w:hAnsi="宋体" w:eastAsia="宋体"/>
                <w:szCs w:val="21"/>
              </w:rPr>
            </w:pPr>
          </w:p>
        </w:tc>
      </w:tr>
      <w:tr w14:paraId="35424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781D1659">
            <w:pPr>
              <w:jc w:val="center"/>
              <w:rPr>
                <w:rFonts w:ascii="宋体" w:hAnsi="宋体" w:eastAsia="宋体"/>
                <w:szCs w:val="21"/>
              </w:rPr>
            </w:pPr>
          </w:p>
        </w:tc>
        <w:tc>
          <w:tcPr>
            <w:tcW w:w="1563" w:type="pct"/>
            <w:vAlign w:val="center"/>
          </w:tcPr>
          <w:p w14:paraId="0EEF5E5A">
            <w:pPr>
              <w:jc w:val="center"/>
              <w:rPr>
                <w:rFonts w:ascii="宋体" w:hAnsi="宋体" w:eastAsia="宋体"/>
                <w:szCs w:val="21"/>
              </w:rPr>
            </w:pPr>
          </w:p>
        </w:tc>
        <w:tc>
          <w:tcPr>
            <w:tcW w:w="1164" w:type="pct"/>
            <w:vAlign w:val="center"/>
          </w:tcPr>
          <w:p w14:paraId="10036CA7">
            <w:pPr>
              <w:jc w:val="center"/>
              <w:rPr>
                <w:rFonts w:ascii="宋体" w:hAnsi="宋体" w:eastAsia="宋体"/>
                <w:szCs w:val="21"/>
              </w:rPr>
            </w:pPr>
          </w:p>
        </w:tc>
        <w:tc>
          <w:tcPr>
            <w:tcW w:w="732" w:type="pct"/>
            <w:vAlign w:val="center"/>
          </w:tcPr>
          <w:p w14:paraId="6E6C00DB">
            <w:pPr>
              <w:jc w:val="center"/>
              <w:rPr>
                <w:rFonts w:ascii="宋体" w:hAnsi="宋体" w:eastAsia="宋体"/>
                <w:szCs w:val="21"/>
              </w:rPr>
            </w:pPr>
          </w:p>
        </w:tc>
        <w:tc>
          <w:tcPr>
            <w:tcW w:w="1009" w:type="pct"/>
            <w:vAlign w:val="center"/>
          </w:tcPr>
          <w:p w14:paraId="4069C89F">
            <w:pPr>
              <w:jc w:val="center"/>
              <w:rPr>
                <w:rFonts w:ascii="宋体" w:hAnsi="宋体" w:eastAsia="宋体"/>
                <w:szCs w:val="21"/>
              </w:rPr>
            </w:pPr>
          </w:p>
        </w:tc>
      </w:tr>
    </w:tbl>
    <w:p w14:paraId="759D3C9E">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50E1D17A">
      <w:pPr>
        <w:spacing w:line="360" w:lineRule="auto"/>
        <w:rPr>
          <w:rFonts w:ascii="黑体" w:hAnsi="黑体" w:eastAsia="黑体"/>
          <w:szCs w:val="21"/>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bookmarkEnd w:id="66"/>
    <w:bookmarkEnd w:id="67"/>
    <w:p w14:paraId="022E1B87">
      <w:pPr>
        <w:pageBreakBefore/>
        <w:rPr>
          <w:rFonts w:ascii="宋体" w:hAnsi="宋体" w:eastAsia="宋体"/>
          <w:b/>
          <w:bCs/>
          <w:szCs w:val="21"/>
        </w:rPr>
      </w:pPr>
      <w:r>
        <w:rPr>
          <w:rFonts w:hint="eastAsia" w:ascii="宋体" w:hAnsi="宋体" w:eastAsia="宋体"/>
          <w:b/>
          <w:bCs/>
          <w:sz w:val="24"/>
          <w:szCs w:val="28"/>
        </w:rPr>
        <w:t>格式十五：</w:t>
      </w:r>
    </w:p>
    <w:p w14:paraId="3DE2BFB1">
      <w:pPr>
        <w:spacing w:after="217" w:afterLines="50" w:line="360" w:lineRule="auto"/>
        <w:jc w:val="center"/>
        <w:rPr>
          <w:rFonts w:ascii="宋体" w:hAnsi="宋体" w:eastAsia="宋体"/>
          <w:b/>
          <w:spacing w:val="20"/>
          <w:sz w:val="30"/>
          <w:szCs w:val="30"/>
        </w:rPr>
      </w:pPr>
      <w:r>
        <w:rPr>
          <w:rFonts w:hint="eastAsia" w:ascii="宋体" w:hAnsi="宋体" w:eastAsia="宋体"/>
          <w:b/>
          <w:sz w:val="32"/>
          <w:szCs w:val="32"/>
        </w:rPr>
        <w:t>项目技术服务人员情况表</w:t>
      </w:r>
    </w:p>
    <w:tbl>
      <w:tblPr>
        <w:tblStyle w:val="14"/>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213"/>
        <w:gridCol w:w="1372"/>
        <w:gridCol w:w="2008"/>
        <w:gridCol w:w="1541"/>
        <w:gridCol w:w="1081"/>
        <w:gridCol w:w="1298"/>
      </w:tblGrid>
      <w:tr w14:paraId="0431A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3EE0C53E">
            <w:pPr>
              <w:jc w:val="center"/>
              <w:rPr>
                <w:rFonts w:ascii="宋体" w:hAnsi="宋体" w:eastAsia="宋体"/>
                <w:b/>
                <w:bCs/>
                <w:szCs w:val="21"/>
              </w:rPr>
            </w:pPr>
            <w:r>
              <w:rPr>
                <w:rFonts w:hint="eastAsia" w:ascii="宋体" w:hAnsi="宋体" w:eastAsia="宋体"/>
                <w:b/>
                <w:bCs/>
                <w:szCs w:val="21"/>
              </w:rPr>
              <w:t>序号</w:t>
            </w:r>
          </w:p>
        </w:tc>
        <w:tc>
          <w:tcPr>
            <w:tcW w:w="653" w:type="pct"/>
            <w:vAlign w:val="center"/>
          </w:tcPr>
          <w:p w14:paraId="4FFBA122">
            <w:pPr>
              <w:jc w:val="center"/>
              <w:rPr>
                <w:rFonts w:ascii="宋体" w:hAnsi="宋体" w:eastAsia="宋体"/>
                <w:b/>
                <w:bCs/>
                <w:szCs w:val="21"/>
              </w:rPr>
            </w:pPr>
            <w:r>
              <w:rPr>
                <w:rFonts w:hint="eastAsia" w:ascii="宋体" w:hAnsi="宋体" w:eastAsia="宋体"/>
                <w:b/>
                <w:bCs/>
                <w:szCs w:val="21"/>
              </w:rPr>
              <w:t>姓名</w:t>
            </w:r>
          </w:p>
        </w:tc>
        <w:tc>
          <w:tcPr>
            <w:tcW w:w="739" w:type="pct"/>
            <w:vAlign w:val="center"/>
          </w:tcPr>
          <w:p w14:paraId="03616561">
            <w:pPr>
              <w:jc w:val="center"/>
              <w:rPr>
                <w:rFonts w:ascii="宋体" w:hAnsi="宋体" w:eastAsia="宋体"/>
                <w:b/>
                <w:bCs/>
                <w:szCs w:val="21"/>
              </w:rPr>
            </w:pPr>
            <w:r>
              <w:rPr>
                <w:rFonts w:hint="eastAsia" w:ascii="宋体" w:hAnsi="宋体" w:eastAsia="宋体"/>
                <w:b/>
                <w:bCs/>
                <w:szCs w:val="21"/>
              </w:rPr>
              <w:t>职位</w:t>
            </w:r>
          </w:p>
        </w:tc>
        <w:tc>
          <w:tcPr>
            <w:tcW w:w="1081" w:type="pct"/>
            <w:vAlign w:val="center"/>
          </w:tcPr>
          <w:p w14:paraId="4A7AED6A">
            <w:pPr>
              <w:jc w:val="center"/>
              <w:rPr>
                <w:rFonts w:ascii="宋体" w:hAnsi="宋体" w:eastAsia="宋体"/>
                <w:b/>
                <w:bCs/>
                <w:szCs w:val="21"/>
              </w:rPr>
            </w:pPr>
            <w:r>
              <w:rPr>
                <w:rFonts w:hint="eastAsia" w:ascii="宋体" w:hAnsi="宋体" w:eastAsia="宋体"/>
                <w:b/>
                <w:bCs/>
                <w:szCs w:val="21"/>
              </w:rPr>
              <w:t>持何种资格证件</w:t>
            </w:r>
          </w:p>
        </w:tc>
        <w:tc>
          <w:tcPr>
            <w:tcW w:w="830" w:type="pct"/>
            <w:vAlign w:val="center"/>
          </w:tcPr>
          <w:p w14:paraId="68F2D7AB">
            <w:pPr>
              <w:jc w:val="center"/>
              <w:rPr>
                <w:rFonts w:ascii="宋体" w:hAnsi="宋体" w:eastAsia="宋体"/>
                <w:b/>
                <w:bCs/>
                <w:szCs w:val="21"/>
              </w:rPr>
            </w:pPr>
            <w:r>
              <w:rPr>
                <w:rFonts w:hint="eastAsia" w:ascii="宋体" w:hAnsi="宋体" w:eastAsia="宋体"/>
                <w:b/>
                <w:bCs/>
                <w:szCs w:val="21"/>
              </w:rPr>
              <w:t>发证时间</w:t>
            </w:r>
          </w:p>
        </w:tc>
        <w:tc>
          <w:tcPr>
            <w:tcW w:w="582" w:type="pct"/>
            <w:vAlign w:val="center"/>
          </w:tcPr>
          <w:p w14:paraId="4748A4FF">
            <w:pPr>
              <w:jc w:val="center"/>
              <w:rPr>
                <w:rFonts w:ascii="宋体" w:hAnsi="宋体" w:eastAsia="宋体"/>
                <w:b/>
                <w:bCs/>
                <w:szCs w:val="21"/>
              </w:rPr>
            </w:pPr>
            <w:r>
              <w:rPr>
                <w:rFonts w:hint="eastAsia" w:ascii="宋体" w:hAnsi="宋体" w:eastAsia="宋体"/>
                <w:b/>
                <w:bCs/>
                <w:szCs w:val="21"/>
              </w:rPr>
              <w:t>学历</w:t>
            </w:r>
          </w:p>
        </w:tc>
        <w:tc>
          <w:tcPr>
            <w:tcW w:w="699" w:type="pct"/>
            <w:vAlign w:val="center"/>
          </w:tcPr>
          <w:p w14:paraId="48EE975D">
            <w:pPr>
              <w:jc w:val="center"/>
              <w:rPr>
                <w:rFonts w:ascii="宋体" w:hAnsi="宋体" w:eastAsia="宋体"/>
                <w:b/>
                <w:bCs/>
                <w:szCs w:val="21"/>
              </w:rPr>
            </w:pPr>
            <w:r>
              <w:rPr>
                <w:rFonts w:hint="eastAsia" w:ascii="宋体" w:hAnsi="宋体" w:eastAsia="宋体"/>
                <w:b/>
                <w:bCs/>
                <w:szCs w:val="21"/>
              </w:rPr>
              <w:t>经验年限</w:t>
            </w:r>
          </w:p>
        </w:tc>
      </w:tr>
      <w:tr w14:paraId="58309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F855FCB">
            <w:pPr>
              <w:jc w:val="center"/>
              <w:rPr>
                <w:rFonts w:ascii="宋体" w:hAnsi="宋体" w:eastAsia="宋体"/>
                <w:szCs w:val="21"/>
              </w:rPr>
            </w:pPr>
          </w:p>
        </w:tc>
        <w:tc>
          <w:tcPr>
            <w:tcW w:w="653" w:type="pct"/>
            <w:vAlign w:val="center"/>
          </w:tcPr>
          <w:p w14:paraId="3AB8EE80">
            <w:pPr>
              <w:jc w:val="center"/>
              <w:rPr>
                <w:rFonts w:ascii="宋体" w:hAnsi="宋体" w:eastAsia="宋体"/>
                <w:szCs w:val="21"/>
              </w:rPr>
            </w:pPr>
          </w:p>
        </w:tc>
        <w:tc>
          <w:tcPr>
            <w:tcW w:w="739" w:type="pct"/>
            <w:vAlign w:val="center"/>
          </w:tcPr>
          <w:p w14:paraId="63A272CC">
            <w:pPr>
              <w:jc w:val="center"/>
              <w:rPr>
                <w:rFonts w:ascii="宋体" w:hAnsi="宋体" w:eastAsia="宋体"/>
                <w:szCs w:val="21"/>
              </w:rPr>
            </w:pPr>
          </w:p>
        </w:tc>
        <w:tc>
          <w:tcPr>
            <w:tcW w:w="1081" w:type="pct"/>
            <w:vAlign w:val="center"/>
          </w:tcPr>
          <w:p w14:paraId="6A1AF531">
            <w:pPr>
              <w:jc w:val="center"/>
              <w:rPr>
                <w:rFonts w:ascii="宋体" w:hAnsi="宋体" w:eastAsia="宋体"/>
                <w:szCs w:val="21"/>
              </w:rPr>
            </w:pPr>
          </w:p>
        </w:tc>
        <w:tc>
          <w:tcPr>
            <w:tcW w:w="830" w:type="pct"/>
          </w:tcPr>
          <w:p w14:paraId="273D4706">
            <w:pPr>
              <w:jc w:val="center"/>
              <w:rPr>
                <w:rFonts w:ascii="宋体" w:hAnsi="宋体" w:eastAsia="宋体"/>
                <w:szCs w:val="21"/>
              </w:rPr>
            </w:pPr>
          </w:p>
        </w:tc>
        <w:tc>
          <w:tcPr>
            <w:tcW w:w="582" w:type="pct"/>
            <w:vAlign w:val="center"/>
          </w:tcPr>
          <w:p w14:paraId="74DA6C12">
            <w:pPr>
              <w:jc w:val="center"/>
              <w:rPr>
                <w:rFonts w:ascii="宋体" w:hAnsi="宋体" w:eastAsia="宋体"/>
                <w:szCs w:val="21"/>
              </w:rPr>
            </w:pPr>
          </w:p>
        </w:tc>
        <w:tc>
          <w:tcPr>
            <w:tcW w:w="699" w:type="pct"/>
          </w:tcPr>
          <w:p w14:paraId="7A70E5E6">
            <w:pPr>
              <w:jc w:val="center"/>
              <w:rPr>
                <w:rFonts w:ascii="宋体" w:hAnsi="宋体" w:eastAsia="宋体"/>
                <w:szCs w:val="21"/>
              </w:rPr>
            </w:pPr>
          </w:p>
        </w:tc>
      </w:tr>
      <w:tr w14:paraId="0662A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A1256E6">
            <w:pPr>
              <w:jc w:val="center"/>
              <w:rPr>
                <w:rFonts w:ascii="宋体" w:hAnsi="宋体" w:eastAsia="宋体"/>
                <w:szCs w:val="21"/>
              </w:rPr>
            </w:pPr>
          </w:p>
        </w:tc>
        <w:tc>
          <w:tcPr>
            <w:tcW w:w="653" w:type="pct"/>
            <w:vAlign w:val="center"/>
          </w:tcPr>
          <w:p w14:paraId="0C9CA726">
            <w:pPr>
              <w:jc w:val="center"/>
              <w:rPr>
                <w:rFonts w:ascii="宋体" w:hAnsi="宋体" w:eastAsia="宋体"/>
                <w:szCs w:val="21"/>
              </w:rPr>
            </w:pPr>
          </w:p>
        </w:tc>
        <w:tc>
          <w:tcPr>
            <w:tcW w:w="739" w:type="pct"/>
            <w:vAlign w:val="center"/>
          </w:tcPr>
          <w:p w14:paraId="70C51E5D">
            <w:pPr>
              <w:jc w:val="center"/>
              <w:rPr>
                <w:rFonts w:ascii="宋体" w:hAnsi="宋体" w:eastAsia="宋体"/>
                <w:szCs w:val="21"/>
              </w:rPr>
            </w:pPr>
          </w:p>
        </w:tc>
        <w:tc>
          <w:tcPr>
            <w:tcW w:w="1081" w:type="pct"/>
            <w:vAlign w:val="center"/>
          </w:tcPr>
          <w:p w14:paraId="552AD384">
            <w:pPr>
              <w:jc w:val="center"/>
              <w:rPr>
                <w:rFonts w:ascii="宋体" w:hAnsi="宋体" w:eastAsia="宋体"/>
                <w:szCs w:val="21"/>
              </w:rPr>
            </w:pPr>
          </w:p>
        </w:tc>
        <w:tc>
          <w:tcPr>
            <w:tcW w:w="830" w:type="pct"/>
          </w:tcPr>
          <w:p w14:paraId="670140FF">
            <w:pPr>
              <w:jc w:val="center"/>
              <w:rPr>
                <w:rFonts w:ascii="宋体" w:hAnsi="宋体" w:eastAsia="宋体"/>
                <w:szCs w:val="21"/>
              </w:rPr>
            </w:pPr>
          </w:p>
        </w:tc>
        <w:tc>
          <w:tcPr>
            <w:tcW w:w="582" w:type="pct"/>
            <w:vAlign w:val="center"/>
          </w:tcPr>
          <w:p w14:paraId="362772DE">
            <w:pPr>
              <w:jc w:val="center"/>
              <w:rPr>
                <w:rFonts w:ascii="宋体" w:hAnsi="宋体" w:eastAsia="宋体"/>
                <w:szCs w:val="21"/>
              </w:rPr>
            </w:pPr>
          </w:p>
        </w:tc>
        <w:tc>
          <w:tcPr>
            <w:tcW w:w="699" w:type="pct"/>
          </w:tcPr>
          <w:p w14:paraId="226E8EA2">
            <w:pPr>
              <w:jc w:val="center"/>
              <w:rPr>
                <w:rFonts w:ascii="宋体" w:hAnsi="宋体" w:eastAsia="宋体"/>
                <w:szCs w:val="21"/>
              </w:rPr>
            </w:pPr>
          </w:p>
        </w:tc>
      </w:tr>
      <w:tr w14:paraId="2BA7B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232EB0E">
            <w:pPr>
              <w:jc w:val="center"/>
              <w:rPr>
                <w:rFonts w:ascii="宋体" w:hAnsi="宋体" w:eastAsia="宋体"/>
                <w:szCs w:val="21"/>
              </w:rPr>
            </w:pPr>
          </w:p>
        </w:tc>
        <w:tc>
          <w:tcPr>
            <w:tcW w:w="653" w:type="pct"/>
            <w:vAlign w:val="center"/>
          </w:tcPr>
          <w:p w14:paraId="46703EAB">
            <w:pPr>
              <w:jc w:val="center"/>
              <w:rPr>
                <w:rFonts w:ascii="宋体" w:hAnsi="宋体" w:eastAsia="宋体"/>
                <w:szCs w:val="21"/>
              </w:rPr>
            </w:pPr>
          </w:p>
        </w:tc>
        <w:tc>
          <w:tcPr>
            <w:tcW w:w="739" w:type="pct"/>
            <w:vAlign w:val="center"/>
          </w:tcPr>
          <w:p w14:paraId="5B210401">
            <w:pPr>
              <w:jc w:val="center"/>
              <w:rPr>
                <w:rFonts w:ascii="宋体" w:hAnsi="宋体" w:eastAsia="宋体"/>
                <w:szCs w:val="21"/>
              </w:rPr>
            </w:pPr>
          </w:p>
        </w:tc>
        <w:tc>
          <w:tcPr>
            <w:tcW w:w="1081" w:type="pct"/>
            <w:vAlign w:val="center"/>
          </w:tcPr>
          <w:p w14:paraId="1CA38B0F">
            <w:pPr>
              <w:jc w:val="center"/>
              <w:rPr>
                <w:rFonts w:ascii="宋体" w:hAnsi="宋体" w:eastAsia="宋体"/>
                <w:szCs w:val="21"/>
              </w:rPr>
            </w:pPr>
          </w:p>
        </w:tc>
        <w:tc>
          <w:tcPr>
            <w:tcW w:w="830" w:type="pct"/>
          </w:tcPr>
          <w:p w14:paraId="491A791E">
            <w:pPr>
              <w:jc w:val="center"/>
              <w:rPr>
                <w:rFonts w:ascii="宋体" w:hAnsi="宋体" w:eastAsia="宋体"/>
                <w:szCs w:val="21"/>
              </w:rPr>
            </w:pPr>
          </w:p>
        </w:tc>
        <w:tc>
          <w:tcPr>
            <w:tcW w:w="582" w:type="pct"/>
            <w:vAlign w:val="center"/>
          </w:tcPr>
          <w:p w14:paraId="17A5565B">
            <w:pPr>
              <w:jc w:val="center"/>
              <w:rPr>
                <w:rFonts w:ascii="宋体" w:hAnsi="宋体" w:eastAsia="宋体"/>
                <w:szCs w:val="21"/>
              </w:rPr>
            </w:pPr>
          </w:p>
        </w:tc>
        <w:tc>
          <w:tcPr>
            <w:tcW w:w="699" w:type="pct"/>
          </w:tcPr>
          <w:p w14:paraId="3CEEAE76">
            <w:pPr>
              <w:jc w:val="center"/>
              <w:rPr>
                <w:rFonts w:ascii="宋体" w:hAnsi="宋体" w:eastAsia="宋体"/>
                <w:szCs w:val="21"/>
              </w:rPr>
            </w:pPr>
          </w:p>
        </w:tc>
      </w:tr>
      <w:tr w14:paraId="57839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B326F9C">
            <w:pPr>
              <w:jc w:val="center"/>
              <w:rPr>
                <w:rFonts w:ascii="宋体" w:hAnsi="宋体" w:eastAsia="宋体"/>
                <w:szCs w:val="21"/>
              </w:rPr>
            </w:pPr>
          </w:p>
        </w:tc>
        <w:tc>
          <w:tcPr>
            <w:tcW w:w="653" w:type="pct"/>
            <w:vAlign w:val="center"/>
          </w:tcPr>
          <w:p w14:paraId="38F0906F">
            <w:pPr>
              <w:jc w:val="center"/>
              <w:rPr>
                <w:rFonts w:ascii="宋体" w:hAnsi="宋体" w:eastAsia="宋体"/>
                <w:szCs w:val="21"/>
              </w:rPr>
            </w:pPr>
          </w:p>
        </w:tc>
        <w:tc>
          <w:tcPr>
            <w:tcW w:w="739" w:type="pct"/>
            <w:vAlign w:val="center"/>
          </w:tcPr>
          <w:p w14:paraId="7FE1C737">
            <w:pPr>
              <w:jc w:val="center"/>
              <w:rPr>
                <w:rFonts w:ascii="宋体" w:hAnsi="宋体" w:eastAsia="宋体"/>
                <w:szCs w:val="21"/>
              </w:rPr>
            </w:pPr>
          </w:p>
        </w:tc>
        <w:tc>
          <w:tcPr>
            <w:tcW w:w="1081" w:type="pct"/>
            <w:vAlign w:val="center"/>
          </w:tcPr>
          <w:p w14:paraId="13A48178">
            <w:pPr>
              <w:jc w:val="center"/>
              <w:rPr>
                <w:rFonts w:ascii="宋体" w:hAnsi="宋体" w:eastAsia="宋体"/>
                <w:szCs w:val="21"/>
              </w:rPr>
            </w:pPr>
          </w:p>
        </w:tc>
        <w:tc>
          <w:tcPr>
            <w:tcW w:w="830" w:type="pct"/>
          </w:tcPr>
          <w:p w14:paraId="29078F11">
            <w:pPr>
              <w:jc w:val="center"/>
              <w:rPr>
                <w:rFonts w:ascii="宋体" w:hAnsi="宋体" w:eastAsia="宋体"/>
                <w:szCs w:val="21"/>
              </w:rPr>
            </w:pPr>
          </w:p>
        </w:tc>
        <w:tc>
          <w:tcPr>
            <w:tcW w:w="582" w:type="pct"/>
            <w:vAlign w:val="center"/>
          </w:tcPr>
          <w:p w14:paraId="22085B0A">
            <w:pPr>
              <w:jc w:val="center"/>
              <w:rPr>
                <w:rFonts w:ascii="宋体" w:hAnsi="宋体" w:eastAsia="宋体"/>
                <w:szCs w:val="21"/>
              </w:rPr>
            </w:pPr>
          </w:p>
        </w:tc>
        <w:tc>
          <w:tcPr>
            <w:tcW w:w="699" w:type="pct"/>
          </w:tcPr>
          <w:p w14:paraId="35995CA2">
            <w:pPr>
              <w:jc w:val="center"/>
              <w:rPr>
                <w:rFonts w:ascii="宋体" w:hAnsi="宋体" w:eastAsia="宋体"/>
                <w:szCs w:val="21"/>
              </w:rPr>
            </w:pPr>
          </w:p>
        </w:tc>
      </w:tr>
      <w:tr w14:paraId="2EC65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6D3A8E27">
            <w:pPr>
              <w:jc w:val="center"/>
              <w:rPr>
                <w:rFonts w:ascii="宋体" w:hAnsi="宋体" w:eastAsia="宋体"/>
                <w:szCs w:val="21"/>
              </w:rPr>
            </w:pPr>
          </w:p>
        </w:tc>
        <w:tc>
          <w:tcPr>
            <w:tcW w:w="653" w:type="pct"/>
            <w:vAlign w:val="center"/>
          </w:tcPr>
          <w:p w14:paraId="7A6C4DEC">
            <w:pPr>
              <w:jc w:val="center"/>
              <w:rPr>
                <w:rFonts w:ascii="宋体" w:hAnsi="宋体" w:eastAsia="宋体"/>
                <w:szCs w:val="21"/>
              </w:rPr>
            </w:pPr>
          </w:p>
        </w:tc>
        <w:tc>
          <w:tcPr>
            <w:tcW w:w="739" w:type="pct"/>
            <w:vAlign w:val="center"/>
          </w:tcPr>
          <w:p w14:paraId="27F65C55">
            <w:pPr>
              <w:jc w:val="center"/>
              <w:rPr>
                <w:rFonts w:ascii="宋体" w:hAnsi="宋体" w:eastAsia="宋体"/>
                <w:szCs w:val="21"/>
              </w:rPr>
            </w:pPr>
          </w:p>
        </w:tc>
        <w:tc>
          <w:tcPr>
            <w:tcW w:w="1081" w:type="pct"/>
            <w:vAlign w:val="center"/>
          </w:tcPr>
          <w:p w14:paraId="3140FDA0">
            <w:pPr>
              <w:widowControl/>
              <w:tabs>
                <w:tab w:val="right" w:leader="dot" w:pos="8302"/>
              </w:tabs>
              <w:jc w:val="center"/>
              <w:rPr>
                <w:rFonts w:ascii="宋体" w:hAnsi="宋体" w:eastAsia="宋体"/>
                <w:kern w:val="0"/>
                <w:szCs w:val="21"/>
              </w:rPr>
            </w:pPr>
          </w:p>
        </w:tc>
        <w:tc>
          <w:tcPr>
            <w:tcW w:w="830" w:type="pct"/>
          </w:tcPr>
          <w:p w14:paraId="254EA750">
            <w:pPr>
              <w:jc w:val="center"/>
              <w:rPr>
                <w:rFonts w:ascii="宋体" w:hAnsi="宋体" w:eastAsia="宋体"/>
                <w:szCs w:val="21"/>
              </w:rPr>
            </w:pPr>
          </w:p>
        </w:tc>
        <w:tc>
          <w:tcPr>
            <w:tcW w:w="582" w:type="pct"/>
            <w:vAlign w:val="center"/>
          </w:tcPr>
          <w:p w14:paraId="557566C7">
            <w:pPr>
              <w:jc w:val="center"/>
              <w:rPr>
                <w:rFonts w:ascii="宋体" w:hAnsi="宋体" w:eastAsia="宋体"/>
                <w:szCs w:val="21"/>
              </w:rPr>
            </w:pPr>
          </w:p>
        </w:tc>
        <w:tc>
          <w:tcPr>
            <w:tcW w:w="699" w:type="pct"/>
          </w:tcPr>
          <w:p w14:paraId="13F4BB69">
            <w:pPr>
              <w:jc w:val="center"/>
              <w:rPr>
                <w:rFonts w:ascii="宋体" w:hAnsi="宋体" w:eastAsia="宋体"/>
                <w:szCs w:val="21"/>
              </w:rPr>
            </w:pPr>
          </w:p>
        </w:tc>
      </w:tr>
      <w:tr w14:paraId="47B2D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A70D3B7">
            <w:pPr>
              <w:jc w:val="center"/>
              <w:rPr>
                <w:rFonts w:ascii="宋体" w:hAnsi="宋体" w:eastAsia="宋体"/>
                <w:szCs w:val="21"/>
              </w:rPr>
            </w:pPr>
          </w:p>
        </w:tc>
        <w:tc>
          <w:tcPr>
            <w:tcW w:w="653" w:type="pct"/>
            <w:vAlign w:val="center"/>
          </w:tcPr>
          <w:p w14:paraId="2576C1B7">
            <w:pPr>
              <w:jc w:val="center"/>
              <w:rPr>
                <w:rFonts w:ascii="宋体" w:hAnsi="宋体" w:eastAsia="宋体"/>
                <w:szCs w:val="21"/>
              </w:rPr>
            </w:pPr>
          </w:p>
        </w:tc>
        <w:tc>
          <w:tcPr>
            <w:tcW w:w="739" w:type="pct"/>
            <w:vAlign w:val="center"/>
          </w:tcPr>
          <w:p w14:paraId="57F23FBA">
            <w:pPr>
              <w:jc w:val="center"/>
              <w:rPr>
                <w:rFonts w:ascii="宋体" w:hAnsi="宋体" w:eastAsia="宋体"/>
                <w:szCs w:val="21"/>
              </w:rPr>
            </w:pPr>
          </w:p>
        </w:tc>
        <w:tc>
          <w:tcPr>
            <w:tcW w:w="1081" w:type="pct"/>
            <w:vAlign w:val="center"/>
          </w:tcPr>
          <w:p w14:paraId="0383AFE5">
            <w:pPr>
              <w:widowControl/>
              <w:tabs>
                <w:tab w:val="right" w:leader="dot" w:pos="8302"/>
              </w:tabs>
              <w:jc w:val="center"/>
              <w:rPr>
                <w:rFonts w:ascii="宋体" w:hAnsi="宋体" w:eastAsia="宋体"/>
                <w:kern w:val="0"/>
                <w:szCs w:val="21"/>
              </w:rPr>
            </w:pPr>
          </w:p>
        </w:tc>
        <w:tc>
          <w:tcPr>
            <w:tcW w:w="830" w:type="pct"/>
          </w:tcPr>
          <w:p w14:paraId="6DFF9830">
            <w:pPr>
              <w:jc w:val="center"/>
              <w:rPr>
                <w:rFonts w:ascii="宋体" w:hAnsi="宋体" w:eastAsia="宋体"/>
                <w:szCs w:val="21"/>
              </w:rPr>
            </w:pPr>
          </w:p>
        </w:tc>
        <w:tc>
          <w:tcPr>
            <w:tcW w:w="582" w:type="pct"/>
            <w:vAlign w:val="center"/>
          </w:tcPr>
          <w:p w14:paraId="017E6BE4">
            <w:pPr>
              <w:jc w:val="center"/>
              <w:rPr>
                <w:rFonts w:ascii="宋体" w:hAnsi="宋体" w:eastAsia="宋体"/>
                <w:szCs w:val="21"/>
              </w:rPr>
            </w:pPr>
          </w:p>
        </w:tc>
        <w:tc>
          <w:tcPr>
            <w:tcW w:w="699" w:type="pct"/>
          </w:tcPr>
          <w:p w14:paraId="69FDC671">
            <w:pPr>
              <w:jc w:val="center"/>
              <w:rPr>
                <w:rFonts w:ascii="宋体" w:hAnsi="宋体" w:eastAsia="宋体"/>
                <w:szCs w:val="21"/>
              </w:rPr>
            </w:pPr>
          </w:p>
        </w:tc>
      </w:tr>
      <w:tr w14:paraId="08AE2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3391473E">
            <w:pPr>
              <w:jc w:val="center"/>
              <w:rPr>
                <w:rFonts w:ascii="宋体" w:hAnsi="宋体" w:eastAsia="宋体"/>
                <w:szCs w:val="21"/>
              </w:rPr>
            </w:pPr>
          </w:p>
        </w:tc>
        <w:tc>
          <w:tcPr>
            <w:tcW w:w="653" w:type="pct"/>
            <w:vAlign w:val="center"/>
          </w:tcPr>
          <w:p w14:paraId="6766E312">
            <w:pPr>
              <w:jc w:val="center"/>
              <w:rPr>
                <w:rFonts w:ascii="宋体" w:hAnsi="宋体" w:eastAsia="宋体"/>
                <w:szCs w:val="21"/>
              </w:rPr>
            </w:pPr>
          </w:p>
        </w:tc>
        <w:tc>
          <w:tcPr>
            <w:tcW w:w="739" w:type="pct"/>
            <w:vAlign w:val="center"/>
          </w:tcPr>
          <w:p w14:paraId="712229AA">
            <w:pPr>
              <w:jc w:val="center"/>
              <w:rPr>
                <w:rFonts w:ascii="宋体" w:hAnsi="宋体" w:eastAsia="宋体"/>
                <w:szCs w:val="21"/>
              </w:rPr>
            </w:pPr>
          </w:p>
        </w:tc>
        <w:tc>
          <w:tcPr>
            <w:tcW w:w="1081" w:type="pct"/>
            <w:vAlign w:val="center"/>
          </w:tcPr>
          <w:p w14:paraId="46A54FD3">
            <w:pPr>
              <w:jc w:val="center"/>
              <w:rPr>
                <w:rFonts w:ascii="宋体" w:hAnsi="宋体" w:eastAsia="宋体"/>
                <w:szCs w:val="21"/>
              </w:rPr>
            </w:pPr>
          </w:p>
        </w:tc>
        <w:tc>
          <w:tcPr>
            <w:tcW w:w="830" w:type="pct"/>
          </w:tcPr>
          <w:p w14:paraId="4EF42F3D">
            <w:pPr>
              <w:jc w:val="center"/>
              <w:rPr>
                <w:rFonts w:ascii="宋体" w:hAnsi="宋体" w:eastAsia="宋体"/>
                <w:szCs w:val="21"/>
              </w:rPr>
            </w:pPr>
          </w:p>
        </w:tc>
        <w:tc>
          <w:tcPr>
            <w:tcW w:w="582" w:type="pct"/>
            <w:vAlign w:val="center"/>
          </w:tcPr>
          <w:p w14:paraId="08C50BFC">
            <w:pPr>
              <w:jc w:val="center"/>
              <w:rPr>
                <w:rFonts w:ascii="宋体" w:hAnsi="宋体" w:eastAsia="宋体"/>
                <w:szCs w:val="21"/>
              </w:rPr>
            </w:pPr>
          </w:p>
        </w:tc>
        <w:tc>
          <w:tcPr>
            <w:tcW w:w="699" w:type="pct"/>
          </w:tcPr>
          <w:p w14:paraId="0A696757">
            <w:pPr>
              <w:jc w:val="center"/>
              <w:rPr>
                <w:rFonts w:ascii="宋体" w:hAnsi="宋体" w:eastAsia="宋体"/>
                <w:szCs w:val="21"/>
              </w:rPr>
            </w:pPr>
          </w:p>
        </w:tc>
      </w:tr>
      <w:tr w14:paraId="60CAC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D559304">
            <w:pPr>
              <w:jc w:val="center"/>
              <w:rPr>
                <w:rFonts w:ascii="宋体" w:hAnsi="宋体" w:eastAsia="宋体"/>
                <w:szCs w:val="21"/>
              </w:rPr>
            </w:pPr>
          </w:p>
        </w:tc>
        <w:tc>
          <w:tcPr>
            <w:tcW w:w="653" w:type="pct"/>
            <w:vAlign w:val="center"/>
          </w:tcPr>
          <w:p w14:paraId="76F5D1F9">
            <w:pPr>
              <w:jc w:val="center"/>
              <w:rPr>
                <w:rFonts w:ascii="宋体" w:hAnsi="宋体" w:eastAsia="宋体"/>
                <w:szCs w:val="21"/>
              </w:rPr>
            </w:pPr>
          </w:p>
        </w:tc>
        <w:tc>
          <w:tcPr>
            <w:tcW w:w="739" w:type="pct"/>
            <w:vAlign w:val="center"/>
          </w:tcPr>
          <w:p w14:paraId="4F852F46">
            <w:pPr>
              <w:jc w:val="center"/>
              <w:rPr>
                <w:rFonts w:ascii="宋体" w:hAnsi="宋体" w:eastAsia="宋体"/>
                <w:szCs w:val="21"/>
              </w:rPr>
            </w:pPr>
          </w:p>
        </w:tc>
        <w:tc>
          <w:tcPr>
            <w:tcW w:w="1081" w:type="pct"/>
            <w:vAlign w:val="center"/>
          </w:tcPr>
          <w:p w14:paraId="437366F9">
            <w:pPr>
              <w:jc w:val="center"/>
              <w:rPr>
                <w:rFonts w:ascii="宋体" w:hAnsi="宋体" w:eastAsia="宋体"/>
                <w:szCs w:val="21"/>
              </w:rPr>
            </w:pPr>
          </w:p>
        </w:tc>
        <w:tc>
          <w:tcPr>
            <w:tcW w:w="830" w:type="pct"/>
          </w:tcPr>
          <w:p w14:paraId="3D42306E">
            <w:pPr>
              <w:jc w:val="center"/>
              <w:rPr>
                <w:rFonts w:ascii="宋体" w:hAnsi="宋体" w:eastAsia="宋体"/>
                <w:szCs w:val="21"/>
              </w:rPr>
            </w:pPr>
          </w:p>
        </w:tc>
        <w:tc>
          <w:tcPr>
            <w:tcW w:w="582" w:type="pct"/>
            <w:vAlign w:val="center"/>
          </w:tcPr>
          <w:p w14:paraId="2F48BADD">
            <w:pPr>
              <w:jc w:val="center"/>
              <w:rPr>
                <w:rFonts w:ascii="宋体" w:hAnsi="宋体" w:eastAsia="宋体"/>
                <w:szCs w:val="21"/>
              </w:rPr>
            </w:pPr>
          </w:p>
        </w:tc>
        <w:tc>
          <w:tcPr>
            <w:tcW w:w="699" w:type="pct"/>
          </w:tcPr>
          <w:p w14:paraId="14356E07">
            <w:pPr>
              <w:jc w:val="center"/>
              <w:rPr>
                <w:rFonts w:ascii="宋体" w:hAnsi="宋体" w:eastAsia="宋体"/>
                <w:szCs w:val="21"/>
              </w:rPr>
            </w:pPr>
          </w:p>
        </w:tc>
      </w:tr>
    </w:tbl>
    <w:p w14:paraId="585052B7">
      <w:pPr>
        <w:spacing w:line="360" w:lineRule="auto"/>
        <w:rPr>
          <w:rFonts w:ascii="黑体" w:hAnsi="黑体" w:eastAsia="黑体"/>
        </w:rPr>
      </w:pPr>
    </w:p>
    <w:p w14:paraId="16EB79CC">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62AC528F">
      <w:pPr>
        <w:widowControl/>
        <w:spacing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1C820B74">
      <w:pPr>
        <w:spacing w:line="360" w:lineRule="auto"/>
        <w:rPr>
          <w:rFonts w:ascii="黑体" w:hAnsi="黑体" w:eastAsia="黑体"/>
        </w:rPr>
      </w:pPr>
    </w:p>
    <w:p w14:paraId="6C399DC8">
      <w:pPr>
        <w:pageBreakBefore/>
        <w:rPr>
          <w:rFonts w:ascii="宋体" w:hAnsi="宋体" w:eastAsia="宋体"/>
          <w:b/>
          <w:bCs/>
        </w:rPr>
      </w:pPr>
      <w:r>
        <w:rPr>
          <w:rFonts w:hint="eastAsia" w:ascii="宋体" w:hAnsi="宋体" w:eastAsia="宋体"/>
          <w:b/>
          <w:bCs/>
          <w:sz w:val="24"/>
          <w:szCs w:val="28"/>
        </w:rPr>
        <w:t>格式十六：</w:t>
      </w:r>
    </w:p>
    <w:p w14:paraId="7966E96E">
      <w:pPr>
        <w:spacing w:after="217" w:afterLines="50" w:line="360" w:lineRule="auto"/>
        <w:jc w:val="center"/>
        <w:rPr>
          <w:rFonts w:ascii="宋体" w:hAnsi="宋体" w:eastAsia="宋体"/>
          <w:b/>
          <w:sz w:val="28"/>
          <w:szCs w:val="28"/>
        </w:rPr>
      </w:pPr>
      <w:r>
        <w:rPr>
          <w:rFonts w:hint="eastAsia" w:ascii="宋体" w:hAnsi="宋体" w:eastAsia="宋体"/>
          <w:b/>
          <w:sz w:val="32"/>
          <w:szCs w:val="32"/>
        </w:rPr>
        <w:t>项目负责人简历表</w:t>
      </w: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14:paraId="7A682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7C1610D3">
            <w:pPr>
              <w:jc w:val="center"/>
              <w:rPr>
                <w:rFonts w:ascii="宋体" w:hAnsi="宋体" w:eastAsia="宋体"/>
                <w:szCs w:val="21"/>
              </w:rPr>
            </w:pPr>
            <w:r>
              <w:rPr>
                <w:rFonts w:hint="eastAsia" w:ascii="宋体" w:hAnsi="宋体" w:eastAsia="宋体"/>
                <w:szCs w:val="21"/>
              </w:rPr>
              <w:t>姓名</w:t>
            </w:r>
          </w:p>
        </w:tc>
        <w:tc>
          <w:tcPr>
            <w:tcW w:w="1493" w:type="pct"/>
            <w:gridSpan w:val="4"/>
            <w:vAlign w:val="center"/>
          </w:tcPr>
          <w:p w14:paraId="75907632">
            <w:pPr>
              <w:jc w:val="center"/>
              <w:rPr>
                <w:rFonts w:ascii="宋体" w:hAnsi="宋体" w:eastAsia="宋体"/>
                <w:szCs w:val="21"/>
              </w:rPr>
            </w:pPr>
          </w:p>
        </w:tc>
        <w:tc>
          <w:tcPr>
            <w:tcW w:w="480" w:type="pct"/>
            <w:vAlign w:val="center"/>
          </w:tcPr>
          <w:p w14:paraId="42134CA2">
            <w:pPr>
              <w:jc w:val="center"/>
              <w:rPr>
                <w:rFonts w:ascii="宋体" w:hAnsi="宋体" w:eastAsia="宋体"/>
                <w:szCs w:val="21"/>
              </w:rPr>
            </w:pPr>
            <w:r>
              <w:rPr>
                <w:rFonts w:hint="eastAsia" w:ascii="宋体" w:hAnsi="宋体" w:eastAsia="宋体"/>
                <w:szCs w:val="21"/>
              </w:rPr>
              <w:t>性别</w:t>
            </w:r>
          </w:p>
        </w:tc>
        <w:tc>
          <w:tcPr>
            <w:tcW w:w="962" w:type="pct"/>
            <w:gridSpan w:val="3"/>
            <w:vAlign w:val="center"/>
          </w:tcPr>
          <w:p w14:paraId="796FAF0D">
            <w:pPr>
              <w:jc w:val="center"/>
              <w:rPr>
                <w:rFonts w:ascii="宋体" w:hAnsi="宋体" w:eastAsia="宋体"/>
                <w:szCs w:val="21"/>
              </w:rPr>
            </w:pPr>
          </w:p>
        </w:tc>
        <w:tc>
          <w:tcPr>
            <w:tcW w:w="617" w:type="pct"/>
            <w:gridSpan w:val="2"/>
            <w:vAlign w:val="center"/>
          </w:tcPr>
          <w:p w14:paraId="4C9B7B82">
            <w:pPr>
              <w:jc w:val="center"/>
              <w:rPr>
                <w:rFonts w:ascii="宋体" w:hAnsi="宋体" w:eastAsia="宋体"/>
                <w:szCs w:val="21"/>
              </w:rPr>
            </w:pPr>
            <w:r>
              <w:rPr>
                <w:rFonts w:hint="eastAsia" w:ascii="宋体" w:hAnsi="宋体" w:eastAsia="宋体"/>
                <w:szCs w:val="21"/>
              </w:rPr>
              <w:t>年龄</w:t>
            </w:r>
          </w:p>
        </w:tc>
        <w:tc>
          <w:tcPr>
            <w:tcW w:w="1030" w:type="pct"/>
            <w:gridSpan w:val="2"/>
            <w:vAlign w:val="center"/>
          </w:tcPr>
          <w:p w14:paraId="03DE18C0">
            <w:pPr>
              <w:jc w:val="center"/>
              <w:rPr>
                <w:rFonts w:ascii="宋体" w:hAnsi="宋体" w:eastAsia="宋体"/>
                <w:szCs w:val="21"/>
              </w:rPr>
            </w:pPr>
          </w:p>
        </w:tc>
      </w:tr>
      <w:tr w14:paraId="3590A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09BF750C">
            <w:pPr>
              <w:jc w:val="center"/>
              <w:rPr>
                <w:rFonts w:ascii="宋体" w:hAnsi="宋体" w:eastAsia="宋体"/>
                <w:szCs w:val="21"/>
              </w:rPr>
            </w:pPr>
            <w:r>
              <w:rPr>
                <w:rFonts w:hint="eastAsia" w:ascii="宋体" w:hAnsi="宋体" w:eastAsia="宋体"/>
                <w:szCs w:val="21"/>
              </w:rPr>
              <w:t>职务</w:t>
            </w:r>
          </w:p>
        </w:tc>
        <w:tc>
          <w:tcPr>
            <w:tcW w:w="1493" w:type="pct"/>
            <w:gridSpan w:val="4"/>
            <w:vAlign w:val="center"/>
          </w:tcPr>
          <w:p w14:paraId="10FA0FF9">
            <w:pPr>
              <w:jc w:val="center"/>
              <w:rPr>
                <w:rFonts w:ascii="宋体" w:hAnsi="宋体" w:eastAsia="宋体"/>
                <w:szCs w:val="21"/>
              </w:rPr>
            </w:pPr>
          </w:p>
        </w:tc>
        <w:tc>
          <w:tcPr>
            <w:tcW w:w="480" w:type="pct"/>
            <w:vAlign w:val="center"/>
          </w:tcPr>
          <w:p w14:paraId="6443894A">
            <w:pPr>
              <w:jc w:val="center"/>
              <w:rPr>
                <w:rFonts w:ascii="宋体" w:hAnsi="宋体" w:eastAsia="宋体"/>
                <w:szCs w:val="21"/>
              </w:rPr>
            </w:pPr>
            <w:r>
              <w:rPr>
                <w:rFonts w:hint="eastAsia" w:ascii="宋体" w:hAnsi="宋体" w:eastAsia="宋体"/>
                <w:szCs w:val="21"/>
              </w:rPr>
              <w:t>职称</w:t>
            </w:r>
          </w:p>
        </w:tc>
        <w:tc>
          <w:tcPr>
            <w:tcW w:w="962" w:type="pct"/>
            <w:gridSpan w:val="3"/>
            <w:vAlign w:val="center"/>
          </w:tcPr>
          <w:p w14:paraId="0DF6C0D1">
            <w:pPr>
              <w:jc w:val="center"/>
              <w:rPr>
                <w:rFonts w:ascii="宋体" w:hAnsi="宋体" w:eastAsia="宋体"/>
                <w:szCs w:val="21"/>
              </w:rPr>
            </w:pPr>
          </w:p>
        </w:tc>
        <w:tc>
          <w:tcPr>
            <w:tcW w:w="617" w:type="pct"/>
            <w:gridSpan w:val="2"/>
            <w:vAlign w:val="center"/>
          </w:tcPr>
          <w:p w14:paraId="4E4FB8BD">
            <w:pPr>
              <w:jc w:val="center"/>
              <w:rPr>
                <w:rFonts w:ascii="宋体" w:hAnsi="宋体" w:eastAsia="宋体"/>
                <w:szCs w:val="21"/>
              </w:rPr>
            </w:pPr>
            <w:r>
              <w:rPr>
                <w:rFonts w:hint="eastAsia" w:ascii="宋体" w:hAnsi="宋体" w:eastAsia="宋体"/>
                <w:szCs w:val="21"/>
              </w:rPr>
              <w:t>学历</w:t>
            </w:r>
          </w:p>
        </w:tc>
        <w:tc>
          <w:tcPr>
            <w:tcW w:w="1030" w:type="pct"/>
            <w:gridSpan w:val="2"/>
            <w:vAlign w:val="center"/>
          </w:tcPr>
          <w:p w14:paraId="636F07F2">
            <w:pPr>
              <w:jc w:val="center"/>
              <w:rPr>
                <w:rFonts w:ascii="宋体" w:hAnsi="宋体" w:eastAsia="宋体"/>
                <w:szCs w:val="21"/>
              </w:rPr>
            </w:pPr>
          </w:p>
        </w:tc>
      </w:tr>
      <w:tr w14:paraId="098CF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0A789C59">
            <w:pPr>
              <w:jc w:val="center"/>
              <w:rPr>
                <w:rFonts w:ascii="宋体" w:hAnsi="宋体" w:eastAsia="宋体"/>
                <w:szCs w:val="21"/>
              </w:rPr>
            </w:pPr>
            <w:r>
              <w:rPr>
                <w:rFonts w:hint="eastAsia" w:ascii="宋体" w:hAnsi="宋体" w:eastAsia="宋体"/>
                <w:szCs w:val="21"/>
              </w:rPr>
              <w:t>参加工作时间</w:t>
            </w:r>
          </w:p>
        </w:tc>
        <w:tc>
          <w:tcPr>
            <w:tcW w:w="1081" w:type="pct"/>
            <w:gridSpan w:val="4"/>
            <w:vAlign w:val="center"/>
          </w:tcPr>
          <w:p w14:paraId="5012BB6D">
            <w:pPr>
              <w:jc w:val="center"/>
              <w:rPr>
                <w:rFonts w:ascii="宋体" w:hAnsi="宋体" w:eastAsia="宋体"/>
                <w:szCs w:val="21"/>
              </w:rPr>
            </w:pPr>
          </w:p>
        </w:tc>
        <w:tc>
          <w:tcPr>
            <w:tcW w:w="1502" w:type="pct"/>
            <w:gridSpan w:val="5"/>
            <w:vAlign w:val="center"/>
          </w:tcPr>
          <w:p w14:paraId="79AD2E2B">
            <w:pPr>
              <w:jc w:val="center"/>
              <w:rPr>
                <w:rFonts w:ascii="宋体" w:hAnsi="宋体" w:eastAsia="宋体"/>
                <w:szCs w:val="21"/>
              </w:rPr>
            </w:pPr>
            <w:r>
              <w:rPr>
                <w:rFonts w:hint="eastAsia" w:ascii="宋体" w:hAnsi="宋体" w:eastAsia="宋体"/>
                <w:szCs w:val="21"/>
              </w:rPr>
              <w:t>相关经验年限</w:t>
            </w:r>
          </w:p>
        </w:tc>
        <w:tc>
          <w:tcPr>
            <w:tcW w:w="796" w:type="pct"/>
            <w:vAlign w:val="center"/>
          </w:tcPr>
          <w:p w14:paraId="03D12534">
            <w:pPr>
              <w:jc w:val="center"/>
              <w:rPr>
                <w:rFonts w:ascii="宋体" w:hAnsi="宋体" w:eastAsia="宋体"/>
                <w:szCs w:val="21"/>
              </w:rPr>
            </w:pPr>
          </w:p>
        </w:tc>
      </w:tr>
      <w:tr w14:paraId="28FE4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01401E5F">
            <w:pPr>
              <w:jc w:val="center"/>
              <w:rPr>
                <w:rFonts w:ascii="宋体" w:hAnsi="宋体" w:eastAsia="宋体"/>
                <w:szCs w:val="21"/>
              </w:rPr>
            </w:pPr>
            <w:r>
              <w:rPr>
                <w:rFonts w:hint="eastAsia" w:ascii="宋体" w:hAnsi="宋体" w:eastAsia="宋体"/>
                <w:szCs w:val="21"/>
              </w:rPr>
              <w:t>资格证书名称、编号</w:t>
            </w:r>
          </w:p>
        </w:tc>
        <w:tc>
          <w:tcPr>
            <w:tcW w:w="3379" w:type="pct"/>
            <w:gridSpan w:val="10"/>
            <w:vAlign w:val="center"/>
          </w:tcPr>
          <w:p w14:paraId="13D9E3A1">
            <w:pPr>
              <w:jc w:val="center"/>
              <w:rPr>
                <w:rFonts w:ascii="宋体" w:hAnsi="宋体" w:eastAsia="宋体"/>
                <w:szCs w:val="21"/>
              </w:rPr>
            </w:pPr>
          </w:p>
        </w:tc>
      </w:tr>
      <w:tr w14:paraId="7E1D5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3DABAD1F">
            <w:pPr>
              <w:jc w:val="center"/>
              <w:rPr>
                <w:rFonts w:ascii="宋体" w:hAnsi="宋体" w:eastAsia="宋体"/>
                <w:szCs w:val="21"/>
              </w:rPr>
            </w:pPr>
            <w:r>
              <w:rPr>
                <w:rFonts w:hint="eastAsia" w:ascii="宋体" w:hAnsi="宋体" w:eastAsia="宋体"/>
                <w:szCs w:val="21"/>
              </w:rPr>
              <w:t>目前在任及以往服务项目情况</w:t>
            </w:r>
          </w:p>
        </w:tc>
      </w:tr>
      <w:tr w14:paraId="64612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45F66896">
            <w:pPr>
              <w:jc w:val="center"/>
              <w:rPr>
                <w:rFonts w:ascii="宋体" w:hAnsi="宋体" w:eastAsia="宋体"/>
                <w:szCs w:val="21"/>
              </w:rPr>
            </w:pPr>
            <w:r>
              <w:rPr>
                <w:rFonts w:hint="eastAsia" w:ascii="宋体" w:hAnsi="宋体" w:eastAsia="宋体"/>
                <w:szCs w:val="21"/>
              </w:rPr>
              <w:t>采购人</w:t>
            </w:r>
          </w:p>
        </w:tc>
        <w:tc>
          <w:tcPr>
            <w:tcW w:w="962" w:type="pct"/>
            <w:gridSpan w:val="2"/>
            <w:vAlign w:val="center"/>
          </w:tcPr>
          <w:p w14:paraId="1917148B">
            <w:pPr>
              <w:jc w:val="center"/>
              <w:rPr>
                <w:rFonts w:ascii="宋体" w:hAnsi="宋体" w:eastAsia="宋体"/>
                <w:szCs w:val="21"/>
              </w:rPr>
            </w:pPr>
            <w:r>
              <w:rPr>
                <w:rFonts w:hint="eastAsia" w:ascii="宋体" w:hAnsi="宋体" w:eastAsia="宋体"/>
                <w:szCs w:val="21"/>
              </w:rPr>
              <w:t>项目名称</w:t>
            </w:r>
          </w:p>
        </w:tc>
        <w:tc>
          <w:tcPr>
            <w:tcW w:w="903" w:type="pct"/>
            <w:gridSpan w:val="4"/>
            <w:vAlign w:val="center"/>
          </w:tcPr>
          <w:p w14:paraId="257BC801">
            <w:pPr>
              <w:jc w:val="center"/>
              <w:rPr>
                <w:rFonts w:ascii="宋体" w:hAnsi="宋体" w:eastAsia="宋体"/>
                <w:szCs w:val="21"/>
              </w:rPr>
            </w:pPr>
            <w:r>
              <w:rPr>
                <w:rFonts w:hint="eastAsia" w:ascii="宋体" w:hAnsi="宋体" w:eastAsia="宋体"/>
                <w:szCs w:val="21"/>
              </w:rPr>
              <w:t>项目规模</w:t>
            </w:r>
          </w:p>
        </w:tc>
        <w:tc>
          <w:tcPr>
            <w:tcW w:w="892" w:type="pct"/>
            <w:gridSpan w:val="2"/>
            <w:vAlign w:val="center"/>
          </w:tcPr>
          <w:p w14:paraId="18B487FC">
            <w:pPr>
              <w:jc w:val="center"/>
              <w:rPr>
                <w:rFonts w:ascii="宋体" w:hAnsi="宋体" w:eastAsia="宋体"/>
                <w:szCs w:val="21"/>
              </w:rPr>
            </w:pPr>
            <w:r>
              <w:rPr>
                <w:rFonts w:hint="eastAsia" w:ascii="宋体" w:hAnsi="宋体" w:eastAsia="宋体"/>
                <w:szCs w:val="21"/>
              </w:rPr>
              <w:t>所任职务</w:t>
            </w:r>
          </w:p>
        </w:tc>
        <w:tc>
          <w:tcPr>
            <w:tcW w:w="1399" w:type="pct"/>
            <w:gridSpan w:val="3"/>
            <w:vAlign w:val="center"/>
          </w:tcPr>
          <w:p w14:paraId="60D19C2C">
            <w:pPr>
              <w:jc w:val="center"/>
              <w:rPr>
                <w:rFonts w:ascii="宋体" w:hAnsi="宋体" w:eastAsia="宋体"/>
                <w:szCs w:val="21"/>
              </w:rPr>
            </w:pPr>
            <w:r>
              <w:rPr>
                <w:rFonts w:hint="eastAsia" w:ascii="宋体" w:hAnsi="宋体" w:eastAsia="宋体"/>
                <w:szCs w:val="21"/>
              </w:rPr>
              <w:t>起止时间</w:t>
            </w:r>
          </w:p>
        </w:tc>
      </w:tr>
      <w:tr w14:paraId="42EAC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7DCA6D6C">
            <w:pPr>
              <w:jc w:val="center"/>
              <w:rPr>
                <w:rFonts w:ascii="宋体" w:hAnsi="宋体" w:eastAsia="宋体"/>
                <w:szCs w:val="21"/>
              </w:rPr>
            </w:pPr>
          </w:p>
        </w:tc>
        <w:tc>
          <w:tcPr>
            <w:tcW w:w="962" w:type="pct"/>
            <w:gridSpan w:val="2"/>
            <w:vAlign w:val="center"/>
          </w:tcPr>
          <w:p w14:paraId="59D4CC7B">
            <w:pPr>
              <w:jc w:val="center"/>
              <w:rPr>
                <w:rFonts w:ascii="宋体" w:hAnsi="宋体" w:eastAsia="宋体"/>
                <w:szCs w:val="21"/>
              </w:rPr>
            </w:pPr>
          </w:p>
        </w:tc>
        <w:tc>
          <w:tcPr>
            <w:tcW w:w="903" w:type="pct"/>
            <w:gridSpan w:val="4"/>
            <w:vAlign w:val="center"/>
          </w:tcPr>
          <w:p w14:paraId="53B57B73">
            <w:pPr>
              <w:jc w:val="center"/>
              <w:rPr>
                <w:rFonts w:ascii="宋体" w:hAnsi="宋体" w:eastAsia="宋体"/>
                <w:szCs w:val="21"/>
              </w:rPr>
            </w:pPr>
          </w:p>
        </w:tc>
        <w:tc>
          <w:tcPr>
            <w:tcW w:w="892" w:type="pct"/>
            <w:gridSpan w:val="2"/>
            <w:vAlign w:val="center"/>
          </w:tcPr>
          <w:p w14:paraId="744DD2C6">
            <w:pPr>
              <w:jc w:val="center"/>
              <w:rPr>
                <w:rFonts w:ascii="宋体" w:hAnsi="宋体" w:eastAsia="宋体"/>
                <w:szCs w:val="21"/>
              </w:rPr>
            </w:pPr>
          </w:p>
        </w:tc>
        <w:tc>
          <w:tcPr>
            <w:tcW w:w="1399" w:type="pct"/>
            <w:gridSpan w:val="3"/>
            <w:vAlign w:val="center"/>
          </w:tcPr>
          <w:p w14:paraId="689BFAA0">
            <w:pPr>
              <w:jc w:val="center"/>
              <w:rPr>
                <w:rFonts w:ascii="宋体" w:hAnsi="宋体" w:eastAsia="宋体"/>
                <w:szCs w:val="21"/>
              </w:rPr>
            </w:pPr>
          </w:p>
        </w:tc>
      </w:tr>
      <w:tr w14:paraId="25712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42E198E1">
            <w:pPr>
              <w:jc w:val="center"/>
              <w:rPr>
                <w:rFonts w:ascii="宋体" w:hAnsi="宋体" w:eastAsia="宋体"/>
                <w:szCs w:val="21"/>
              </w:rPr>
            </w:pPr>
          </w:p>
        </w:tc>
        <w:tc>
          <w:tcPr>
            <w:tcW w:w="962" w:type="pct"/>
            <w:gridSpan w:val="2"/>
            <w:vAlign w:val="center"/>
          </w:tcPr>
          <w:p w14:paraId="63B2D052">
            <w:pPr>
              <w:jc w:val="center"/>
              <w:rPr>
                <w:rFonts w:ascii="宋体" w:hAnsi="宋体" w:eastAsia="宋体"/>
                <w:szCs w:val="21"/>
              </w:rPr>
            </w:pPr>
          </w:p>
        </w:tc>
        <w:tc>
          <w:tcPr>
            <w:tcW w:w="903" w:type="pct"/>
            <w:gridSpan w:val="4"/>
            <w:vAlign w:val="center"/>
          </w:tcPr>
          <w:p w14:paraId="5DEEB8CC">
            <w:pPr>
              <w:jc w:val="center"/>
              <w:rPr>
                <w:rFonts w:ascii="宋体" w:hAnsi="宋体" w:eastAsia="宋体"/>
                <w:szCs w:val="21"/>
              </w:rPr>
            </w:pPr>
          </w:p>
        </w:tc>
        <w:tc>
          <w:tcPr>
            <w:tcW w:w="892" w:type="pct"/>
            <w:gridSpan w:val="2"/>
            <w:vAlign w:val="center"/>
          </w:tcPr>
          <w:p w14:paraId="2A34503D">
            <w:pPr>
              <w:jc w:val="center"/>
              <w:rPr>
                <w:rFonts w:ascii="宋体" w:hAnsi="宋体" w:eastAsia="宋体"/>
                <w:szCs w:val="21"/>
              </w:rPr>
            </w:pPr>
          </w:p>
        </w:tc>
        <w:tc>
          <w:tcPr>
            <w:tcW w:w="1399" w:type="pct"/>
            <w:gridSpan w:val="3"/>
            <w:vAlign w:val="center"/>
          </w:tcPr>
          <w:p w14:paraId="33F6FDBE">
            <w:pPr>
              <w:jc w:val="center"/>
              <w:rPr>
                <w:rFonts w:ascii="宋体" w:hAnsi="宋体" w:eastAsia="宋体"/>
                <w:szCs w:val="21"/>
              </w:rPr>
            </w:pPr>
          </w:p>
        </w:tc>
      </w:tr>
      <w:tr w14:paraId="59753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0074C89B">
            <w:pPr>
              <w:jc w:val="center"/>
              <w:rPr>
                <w:rFonts w:ascii="宋体" w:hAnsi="宋体" w:eastAsia="宋体"/>
                <w:szCs w:val="21"/>
              </w:rPr>
            </w:pPr>
          </w:p>
        </w:tc>
        <w:tc>
          <w:tcPr>
            <w:tcW w:w="962" w:type="pct"/>
            <w:gridSpan w:val="2"/>
            <w:vAlign w:val="center"/>
          </w:tcPr>
          <w:p w14:paraId="1B40859A">
            <w:pPr>
              <w:jc w:val="center"/>
              <w:rPr>
                <w:rFonts w:ascii="宋体" w:hAnsi="宋体" w:eastAsia="宋体"/>
                <w:szCs w:val="21"/>
              </w:rPr>
            </w:pPr>
          </w:p>
        </w:tc>
        <w:tc>
          <w:tcPr>
            <w:tcW w:w="903" w:type="pct"/>
            <w:gridSpan w:val="4"/>
            <w:vAlign w:val="center"/>
          </w:tcPr>
          <w:p w14:paraId="15522DA1">
            <w:pPr>
              <w:jc w:val="center"/>
              <w:rPr>
                <w:rFonts w:ascii="宋体" w:hAnsi="宋体" w:eastAsia="宋体"/>
                <w:szCs w:val="21"/>
              </w:rPr>
            </w:pPr>
          </w:p>
        </w:tc>
        <w:tc>
          <w:tcPr>
            <w:tcW w:w="892" w:type="pct"/>
            <w:gridSpan w:val="2"/>
            <w:vAlign w:val="center"/>
          </w:tcPr>
          <w:p w14:paraId="0CAD3FD0">
            <w:pPr>
              <w:jc w:val="center"/>
              <w:rPr>
                <w:rFonts w:ascii="宋体" w:hAnsi="宋体" w:eastAsia="宋体"/>
                <w:szCs w:val="21"/>
              </w:rPr>
            </w:pPr>
          </w:p>
        </w:tc>
        <w:tc>
          <w:tcPr>
            <w:tcW w:w="1399" w:type="pct"/>
            <w:gridSpan w:val="3"/>
            <w:vAlign w:val="center"/>
          </w:tcPr>
          <w:p w14:paraId="6D75C0E0">
            <w:pPr>
              <w:jc w:val="center"/>
              <w:rPr>
                <w:rFonts w:ascii="宋体" w:hAnsi="宋体" w:eastAsia="宋体"/>
                <w:szCs w:val="21"/>
              </w:rPr>
            </w:pPr>
          </w:p>
        </w:tc>
      </w:tr>
      <w:tr w14:paraId="2A119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01BDDF89">
            <w:pPr>
              <w:jc w:val="center"/>
              <w:rPr>
                <w:rFonts w:ascii="宋体" w:hAnsi="宋体" w:eastAsia="宋体"/>
                <w:szCs w:val="21"/>
              </w:rPr>
            </w:pPr>
          </w:p>
        </w:tc>
        <w:tc>
          <w:tcPr>
            <w:tcW w:w="962" w:type="pct"/>
            <w:gridSpan w:val="2"/>
            <w:vAlign w:val="center"/>
          </w:tcPr>
          <w:p w14:paraId="6C354A75">
            <w:pPr>
              <w:jc w:val="center"/>
              <w:rPr>
                <w:rFonts w:ascii="宋体" w:hAnsi="宋体" w:eastAsia="宋体"/>
                <w:szCs w:val="21"/>
              </w:rPr>
            </w:pPr>
          </w:p>
        </w:tc>
        <w:tc>
          <w:tcPr>
            <w:tcW w:w="903" w:type="pct"/>
            <w:gridSpan w:val="4"/>
            <w:vAlign w:val="center"/>
          </w:tcPr>
          <w:p w14:paraId="5376537B">
            <w:pPr>
              <w:jc w:val="center"/>
              <w:rPr>
                <w:rFonts w:ascii="宋体" w:hAnsi="宋体" w:eastAsia="宋体"/>
                <w:szCs w:val="21"/>
              </w:rPr>
            </w:pPr>
          </w:p>
        </w:tc>
        <w:tc>
          <w:tcPr>
            <w:tcW w:w="892" w:type="pct"/>
            <w:gridSpan w:val="2"/>
            <w:vAlign w:val="center"/>
          </w:tcPr>
          <w:p w14:paraId="7D6D7284">
            <w:pPr>
              <w:jc w:val="center"/>
              <w:rPr>
                <w:rFonts w:ascii="宋体" w:hAnsi="宋体" w:eastAsia="宋体"/>
                <w:szCs w:val="21"/>
              </w:rPr>
            </w:pPr>
          </w:p>
        </w:tc>
        <w:tc>
          <w:tcPr>
            <w:tcW w:w="1399" w:type="pct"/>
            <w:gridSpan w:val="3"/>
            <w:vAlign w:val="center"/>
          </w:tcPr>
          <w:p w14:paraId="6ACF342D">
            <w:pPr>
              <w:jc w:val="center"/>
              <w:rPr>
                <w:rFonts w:ascii="宋体" w:hAnsi="宋体" w:eastAsia="宋体"/>
                <w:szCs w:val="21"/>
              </w:rPr>
            </w:pPr>
          </w:p>
        </w:tc>
      </w:tr>
      <w:tr w14:paraId="393F0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7FD56124">
            <w:pPr>
              <w:jc w:val="center"/>
              <w:rPr>
                <w:rFonts w:ascii="宋体" w:hAnsi="宋体" w:eastAsia="宋体"/>
                <w:szCs w:val="21"/>
              </w:rPr>
            </w:pPr>
          </w:p>
        </w:tc>
        <w:tc>
          <w:tcPr>
            <w:tcW w:w="962" w:type="pct"/>
            <w:gridSpan w:val="2"/>
            <w:vAlign w:val="center"/>
          </w:tcPr>
          <w:p w14:paraId="37FC9F82">
            <w:pPr>
              <w:jc w:val="center"/>
              <w:rPr>
                <w:rFonts w:ascii="宋体" w:hAnsi="宋体" w:eastAsia="宋体"/>
                <w:szCs w:val="21"/>
              </w:rPr>
            </w:pPr>
          </w:p>
        </w:tc>
        <w:tc>
          <w:tcPr>
            <w:tcW w:w="903" w:type="pct"/>
            <w:gridSpan w:val="4"/>
            <w:vAlign w:val="center"/>
          </w:tcPr>
          <w:p w14:paraId="71801AC3">
            <w:pPr>
              <w:jc w:val="center"/>
              <w:rPr>
                <w:rFonts w:ascii="宋体" w:hAnsi="宋体" w:eastAsia="宋体"/>
                <w:szCs w:val="21"/>
              </w:rPr>
            </w:pPr>
          </w:p>
        </w:tc>
        <w:tc>
          <w:tcPr>
            <w:tcW w:w="892" w:type="pct"/>
            <w:gridSpan w:val="2"/>
            <w:vAlign w:val="center"/>
          </w:tcPr>
          <w:p w14:paraId="5A8F9131">
            <w:pPr>
              <w:jc w:val="center"/>
              <w:rPr>
                <w:rFonts w:ascii="宋体" w:hAnsi="宋体" w:eastAsia="宋体"/>
                <w:szCs w:val="21"/>
              </w:rPr>
            </w:pPr>
          </w:p>
        </w:tc>
        <w:tc>
          <w:tcPr>
            <w:tcW w:w="1399" w:type="pct"/>
            <w:gridSpan w:val="3"/>
            <w:vAlign w:val="center"/>
          </w:tcPr>
          <w:p w14:paraId="50C1E36F">
            <w:pPr>
              <w:jc w:val="center"/>
              <w:rPr>
                <w:rFonts w:ascii="宋体" w:hAnsi="宋体" w:eastAsia="宋体"/>
                <w:szCs w:val="21"/>
              </w:rPr>
            </w:pPr>
          </w:p>
        </w:tc>
      </w:tr>
    </w:tbl>
    <w:p w14:paraId="1764458C">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7CCCC1E1">
      <w:pPr>
        <w:widowControl/>
        <w:spacing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7780EB6D">
      <w:pPr>
        <w:pageBreakBefore/>
        <w:rPr>
          <w:rFonts w:ascii="Calibri" w:hAnsi="Calibri" w:eastAsia="宋体" w:cs="Times New Roman"/>
          <w:kern w:val="0"/>
          <w:sz w:val="20"/>
          <w:szCs w:val="20"/>
        </w:rPr>
      </w:pPr>
      <w:bookmarkStart w:id="68" w:name="_Toc169799799"/>
      <w:r>
        <w:rPr>
          <w:rFonts w:ascii="宋体" w:hAnsi="宋体" w:eastAsia="宋体"/>
          <w:b/>
          <w:bCs/>
          <w:sz w:val="24"/>
          <w:szCs w:val="28"/>
        </w:rPr>
        <w:t>格式十</w:t>
      </w:r>
      <w:r>
        <w:rPr>
          <w:rFonts w:hint="eastAsia" w:ascii="宋体" w:hAnsi="宋体" w:eastAsia="宋体"/>
          <w:b/>
          <w:bCs/>
          <w:sz w:val="24"/>
          <w:szCs w:val="28"/>
        </w:rPr>
        <w:t>七</w:t>
      </w:r>
      <w:r>
        <w:rPr>
          <w:rFonts w:ascii="宋体" w:hAnsi="宋体" w:eastAsia="宋体"/>
          <w:b/>
          <w:bCs/>
          <w:sz w:val="24"/>
          <w:szCs w:val="28"/>
        </w:rPr>
        <w:t>：</w:t>
      </w:r>
      <w:bookmarkEnd w:id="68"/>
    </w:p>
    <w:p w14:paraId="27D4AAB0">
      <w:pPr>
        <w:widowControl/>
        <w:spacing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投标人业绩情况表</w:t>
      </w: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1196"/>
        <w:gridCol w:w="2067"/>
        <w:gridCol w:w="1307"/>
        <w:gridCol w:w="1164"/>
        <w:gridCol w:w="1309"/>
        <w:gridCol w:w="1587"/>
      </w:tblGrid>
      <w:tr w14:paraId="686CF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vAlign w:val="center"/>
          </w:tcPr>
          <w:p w14:paraId="24A4DF9B">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序号</w:t>
            </w:r>
          </w:p>
        </w:tc>
        <w:tc>
          <w:tcPr>
            <w:tcW w:w="644" w:type="pct"/>
            <w:vAlign w:val="center"/>
          </w:tcPr>
          <w:p w14:paraId="64230397">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客户名称</w:t>
            </w:r>
          </w:p>
        </w:tc>
        <w:tc>
          <w:tcPr>
            <w:tcW w:w="1113" w:type="pct"/>
            <w:vAlign w:val="center"/>
          </w:tcPr>
          <w:p w14:paraId="2E4DA03B">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项目名称</w:t>
            </w:r>
          </w:p>
        </w:tc>
        <w:tc>
          <w:tcPr>
            <w:tcW w:w="704" w:type="pct"/>
            <w:vAlign w:val="center"/>
          </w:tcPr>
          <w:p w14:paraId="7308D23E">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及合同金额（万元）</w:t>
            </w:r>
          </w:p>
        </w:tc>
        <w:tc>
          <w:tcPr>
            <w:tcW w:w="627" w:type="pct"/>
          </w:tcPr>
          <w:p w14:paraId="472A2F1D">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签订合同时间</w:t>
            </w:r>
          </w:p>
        </w:tc>
        <w:tc>
          <w:tcPr>
            <w:tcW w:w="705" w:type="pct"/>
            <w:vAlign w:val="center"/>
          </w:tcPr>
          <w:p w14:paraId="34769A6C">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竣工验收报告时间</w:t>
            </w:r>
          </w:p>
        </w:tc>
        <w:tc>
          <w:tcPr>
            <w:tcW w:w="855" w:type="pct"/>
            <w:vAlign w:val="center"/>
          </w:tcPr>
          <w:p w14:paraId="450EEB7D">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联系人及电话</w:t>
            </w:r>
          </w:p>
        </w:tc>
      </w:tr>
      <w:tr w14:paraId="4B71D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36EBAC89">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644" w:type="pct"/>
          </w:tcPr>
          <w:p w14:paraId="0A46D0CD">
            <w:pPr>
              <w:rPr>
                <w:rFonts w:ascii="宋体" w:hAnsi="宋体" w:eastAsia="宋体" w:cs="Times New Roman"/>
                <w:szCs w:val="21"/>
              </w:rPr>
            </w:pPr>
          </w:p>
        </w:tc>
        <w:tc>
          <w:tcPr>
            <w:tcW w:w="1113" w:type="pct"/>
          </w:tcPr>
          <w:p w14:paraId="59C4F175">
            <w:pPr>
              <w:rPr>
                <w:rFonts w:ascii="宋体" w:hAnsi="宋体" w:eastAsia="宋体" w:cs="Times New Roman"/>
                <w:szCs w:val="21"/>
              </w:rPr>
            </w:pPr>
          </w:p>
        </w:tc>
        <w:tc>
          <w:tcPr>
            <w:tcW w:w="704" w:type="pct"/>
          </w:tcPr>
          <w:p w14:paraId="736FFD0D">
            <w:pPr>
              <w:rPr>
                <w:rFonts w:ascii="宋体" w:hAnsi="宋体" w:eastAsia="宋体" w:cs="Times New Roman"/>
                <w:szCs w:val="21"/>
              </w:rPr>
            </w:pPr>
          </w:p>
        </w:tc>
        <w:tc>
          <w:tcPr>
            <w:tcW w:w="627" w:type="pct"/>
          </w:tcPr>
          <w:p w14:paraId="11C97A5F">
            <w:pPr>
              <w:rPr>
                <w:rFonts w:ascii="宋体" w:hAnsi="宋体" w:eastAsia="宋体" w:cs="Times New Roman"/>
                <w:szCs w:val="21"/>
              </w:rPr>
            </w:pPr>
          </w:p>
        </w:tc>
        <w:tc>
          <w:tcPr>
            <w:tcW w:w="705" w:type="pct"/>
          </w:tcPr>
          <w:p w14:paraId="2A4BDCFA">
            <w:pPr>
              <w:rPr>
                <w:rFonts w:ascii="宋体" w:hAnsi="宋体" w:eastAsia="宋体" w:cs="Times New Roman"/>
                <w:szCs w:val="21"/>
              </w:rPr>
            </w:pPr>
          </w:p>
        </w:tc>
        <w:tc>
          <w:tcPr>
            <w:tcW w:w="855" w:type="pct"/>
          </w:tcPr>
          <w:p w14:paraId="3B692309">
            <w:pPr>
              <w:rPr>
                <w:rFonts w:ascii="宋体" w:hAnsi="宋体" w:eastAsia="宋体" w:cs="Times New Roman"/>
                <w:szCs w:val="21"/>
              </w:rPr>
            </w:pPr>
          </w:p>
        </w:tc>
      </w:tr>
      <w:tr w14:paraId="180E8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6A437BF5">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644" w:type="pct"/>
          </w:tcPr>
          <w:p w14:paraId="39F74D8E">
            <w:pPr>
              <w:rPr>
                <w:rFonts w:ascii="宋体" w:hAnsi="宋体" w:eastAsia="宋体" w:cs="Times New Roman"/>
                <w:szCs w:val="21"/>
              </w:rPr>
            </w:pPr>
          </w:p>
        </w:tc>
        <w:tc>
          <w:tcPr>
            <w:tcW w:w="1113" w:type="pct"/>
          </w:tcPr>
          <w:p w14:paraId="5F671B79">
            <w:pPr>
              <w:rPr>
                <w:rFonts w:ascii="宋体" w:hAnsi="宋体" w:eastAsia="宋体" w:cs="Times New Roman"/>
                <w:szCs w:val="21"/>
              </w:rPr>
            </w:pPr>
          </w:p>
        </w:tc>
        <w:tc>
          <w:tcPr>
            <w:tcW w:w="704" w:type="pct"/>
          </w:tcPr>
          <w:p w14:paraId="1195D776">
            <w:pPr>
              <w:rPr>
                <w:rFonts w:ascii="宋体" w:hAnsi="宋体" w:eastAsia="宋体" w:cs="Times New Roman"/>
                <w:szCs w:val="21"/>
              </w:rPr>
            </w:pPr>
          </w:p>
        </w:tc>
        <w:tc>
          <w:tcPr>
            <w:tcW w:w="627" w:type="pct"/>
          </w:tcPr>
          <w:p w14:paraId="315925D5">
            <w:pPr>
              <w:rPr>
                <w:rFonts w:ascii="宋体" w:hAnsi="宋体" w:eastAsia="宋体" w:cs="Times New Roman"/>
                <w:szCs w:val="21"/>
              </w:rPr>
            </w:pPr>
          </w:p>
        </w:tc>
        <w:tc>
          <w:tcPr>
            <w:tcW w:w="705" w:type="pct"/>
          </w:tcPr>
          <w:p w14:paraId="3C778FED">
            <w:pPr>
              <w:rPr>
                <w:rFonts w:ascii="宋体" w:hAnsi="宋体" w:eastAsia="宋体" w:cs="Times New Roman"/>
                <w:szCs w:val="21"/>
              </w:rPr>
            </w:pPr>
          </w:p>
        </w:tc>
        <w:tc>
          <w:tcPr>
            <w:tcW w:w="855" w:type="pct"/>
          </w:tcPr>
          <w:p w14:paraId="51D94A91">
            <w:pPr>
              <w:rPr>
                <w:rFonts w:ascii="宋体" w:hAnsi="宋体" w:eastAsia="宋体" w:cs="Times New Roman"/>
                <w:szCs w:val="21"/>
              </w:rPr>
            </w:pPr>
          </w:p>
        </w:tc>
      </w:tr>
      <w:tr w14:paraId="6739B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7FE5209A">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644" w:type="pct"/>
          </w:tcPr>
          <w:p w14:paraId="1420AF0E">
            <w:pPr>
              <w:rPr>
                <w:rFonts w:ascii="宋体" w:hAnsi="宋体" w:eastAsia="宋体" w:cs="Times New Roman"/>
                <w:szCs w:val="21"/>
              </w:rPr>
            </w:pPr>
          </w:p>
        </w:tc>
        <w:tc>
          <w:tcPr>
            <w:tcW w:w="1113" w:type="pct"/>
          </w:tcPr>
          <w:p w14:paraId="44E87058">
            <w:pPr>
              <w:rPr>
                <w:rFonts w:ascii="宋体" w:hAnsi="宋体" w:eastAsia="宋体" w:cs="Times New Roman"/>
                <w:szCs w:val="21"/>
              </w:rPr>
            </w:pPr>
          </w:p>
        </w:tc>
        <w:tc>
          <w:tcPr>
            <w:tcW w:w="704" w:type="pct"/>
          </w:tcPr>
          <w:p w14:paraId="242ACC04">
            <w:pPr>
              <w:rPr>
                <w:rFonts w:ascii="宋体" w:hAnsi="宋体" w:eastAsia="宋体" w:cs="Times New Roman"/>
                <w:szCs w:val="21"/>
              </w:rPr>
            </w:pPr>
          </w:p>
        </w:tc>
        <w:tc>
          <w:tcPr>
            <w:tcW w:w="627" w:type="pct"/>
          </w:tcPr>
          <w:p w14:paraId="46877AD0">
            <w:pPr>
              <w:rPr>
                <w:rFonts w:ascii="宋体" w:hAnsi="宋体" w:eastAsia="宋体" w:cs="Times New Roman"/>
                <w:szCs w:val="21"/>
              </w:rPr>
            </w:pPr>
          </w:p>
        </w:tc>
        <w:tc>
          <w:tcPr>
            <w:tcW w:w="705" w:type="pct"/>
          </w:tcPr>
          <w:p w14:paraId="18E18C73">
            <w:pPr>
              <w:rPr>
                <w:rFonts w:ascii="宋体" w:hAnsi="宋体" w:eastAsia="宋体" w:cs="Times New Roman"/>
                <w:szCs w:val="21"/>
              </w:rPr>
            </w:pPr>
          </w:p>
        </w:tc>
        <w:tc>
          <w:tcPr>
            <w:tcW w:w="855" w:type="pct"/>
          </w:tcPr>
          <w:p w14:paraId="1FD5C6D6">
            <w:pPr>
              <w:rPr>
                <w:rFonts w:ascii="宋体" w:hAnsi="宋体" w:eastAsia="宋体" w:cs="Times New Roman"/>
                <w:szCs w:val="21"/>
              </w:rPr>
            </w:pPr>
          </w:p>
        </w:tc>
      </w:tr>
      <w:tr w14:paraId="422E7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2C04B85D">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644" w:type="pct"/>
          </w:tcPr>
          <w:p w14:paraId="4C217FE8">
            <w:pPr>
              <w:rPr>
                <w:rFonts w:ascii="宋体" w:hAnsi="宋体" w:eastAsia="宋体" w:cs="Times New Roman"/>
                <w:szCs w:val="21"/>
              </w:rPr>
            </w:pPr>
          </w:p>
        </w:tc>
        <w:tc>
          <w:tcPr>
            <w:tcW w:w="1113" w:type="pct"/>
          </w:tcPr>
          <w:p w14:paraId="3C34C2FE">
            <w:pPr>
              <w:rPr>
                <w:rFonts w:ascii="宋体" w:hAnsi="宋体" w:eastAsia="宋体" w:cs="Times New Roman"/>
                <w:szCs w:val="21"/>
              </w:rPr>
            </w:pPr>
          </w:p>
        </w:tc>
        <w:tc>
          <w:tcPr>
            <w:tcW w:w="704" w:type="pct"/>
          </w:tcPr>
          <w:p w14:paraId="4F2970B3">
            <w:pPr>
              <w:rPr>
                <w:rFonts w:ascii="宋体" w:hAnsi="宋体" w:eastAsia="宋体" w:cs="Times New Roman"/>
                <w:szCs w:val="21"/>
              </w:rPr>
            </w:pPr>
          </w:p>
        </w:tc>
        <w:tc>
          <w:tcPr>
            <w:tcW w:w="627" w:type="pct"/>
          </w:tcPr>
          <w:p w14:paraId="6F850DDD">
            <w:pPr>
              <w:rPr>
                <w:rFonts w:ascii="宋体" w:hAnsi="宋体" w:eastAsia="宋体" w:cs="Times New Roman"/>
                <w:szCs w:val="21"/>
              </w:rPr>
            </w:pPr>
          </w:p>
        </w:tc>
        <w:tc>
          <w:tcPr>
            <w:tcW w:w="705" w:type="pct"/>
          </w:tcPr>
          <w:p w14:paraId="03D5687C">
            <w:pPr>
              <w:rPr>
                <w:rFonts w:ascii="宋体" w:hAnsi="宋体" w:eastAsia="宋体" w:cs="Times New Roman"/>
                <w:szCs w:val="21"/>
              </w:rPr>
            </w:pPr>
          </w:p>
        </w:tc>
        <w:tc>
          <w:tcPr>
            <w:tcW w:w="855" w:type="pct"/>
          </w:tcPr>
          <w:p w14:paraId="2D160E47">
            <w:pPr>
              <w:rPr>
                <w:rFonts w:ascii="宋体" w:hAnsi="宋体" w:eastAsia="宋体" w:cs="Times New Roman"/>
                <w:szCs w:val="21"/>
              </w:rPr>
            </w:pPr>
          </w:p>
        </w:tc>
      </w:tr>
      <w:tr w14:paraId="76220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0C140B5E">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w:t>
            </w:r>
          </w:p>
        </w:tc>
        <w:tc>
          <w:tcPr>
            <w:tcW w:w="644" w:type="pct"/>
          </w:tcPr>
          <w:p w14:paraId="7804D822">
            <w:pPr>
              <w:rPr>
                <w:rFonts w:ascii="宋体" w:hAnsi="宋体" w:eastAsia="宋体" w:cs="Times New Roman"/>
                <w:szCs w:val="21"/>
              </w:rPr>
            </w:pPr>
          </w:p>
        </w:tc>
        <w:tc>
          <w:tcPr>
            <w:tcW w:w="1113" w:type="pct"/>
          </w:tcPr>
          <w:p w14:paraId="6CE47906">
            <w:pPr>
              <w:rPr>
                <w:rFonts w:ascii="宋体" w:hAnsi="宋体" w:eastAsia="宋体" w:cs="Times New Roman"/>
                <w:szCs w:val="21"/>
              </w:rPr>
            </w:pPr>
          </w:p>
        </w:tc>
        <w:tc>
          <w:tcPr>
            <w:tcW w:w="704" w:type="pct"/>
          </w:tcPr>
          <w:p w14:paraId="1403D1F2">
            <w:pPr>
              <w:rPr>
                <w:rFonts w:ascii="宋体" w:hAnsi="宋体" w:eastAsia="宋体" w:cs="Times New Roman"/>
                <w:szCs w:val="21"/>
              </w:rPr>
            </w:pPr>
          </w:p>
        </w:tc>
        <w:tc>
          <w:tcPr>
            <w:tcW w:w="627" w:type="pct"/>
          </w:tcPr>
          <w:p w14:paraId="4BA1DEFE">
            <w:pPr>
              <w:rPr>
                <w:rFonts w:ascii="宋体" w:hAnsi="宋体" w:eastAsia="宋体" w:cs="Times New Roman"/>
                <w:szCs w:val="21"/>
              </w:rPr>
            </w:pPr>
          </w:p>
        </w:tc>
        <w:tc>
          <w:tcPr>
            <w:tcW w:w="705" w:type="pct"/>
          </w:tcPr>
          <w:p w14:paraId="7199E0A4">
            <w:pPr>
              <w:rPr>
                <w:rFonts w:ascii="宋体" w:hAnsi="宋体" w:eastAsia="宋体" w:cs="Times New Roman"/>
                <w:szCs w:val="21"/>
              </w:rPr>
            </w:pPr>
          </w:p>
        </w:tc>
        <w:tc>
          <w:tcPr>
            <w:tcW w:w="855" w:type="pct"/>
          </w:tcPr>
          <w:p w14:paraId="374BE878">
            <w:pPr>
              <w:rPr>
                <w:rFonts w:ascii="宋体" w:hAnsi="宋体" w:eastAsia="宋体" w:cs="Times New Roman"/>
                <w:szCs w:val="21"/>
              </w:rPr>
            </w:pPr>
          </w:p>
        </w:tc>
      </w:tr>
    </w:tbl>
    <w:p w14:paraId="1221276B">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根据上述业绩情况，按招标文件要求附销售或服务合同复印件及评审标准要求的证明材料。</w:t>
      </w:r>
    </w:p>
    <w:p w14:paraId="1CF1F00A">
      <w:pPr>
        <w:widowControl/>
        <w:jc w:val="left"/>
        <w:rPr>
          <w:rFonts w:ascii="Calibri" w:hAnsi="Calibri" w:eastAsia="宋体" w:cs="Times New Roman"/>
          <w:kern w:val="0"/>
          <w:sz w:val="20"/>
          <w:szCs w:val="20"/>
          <w:lang w:eastAsia="zh-Hans"/>
        </w:rPr>
      </w:pPr>
    </w:p>
    <w:p w14:paraId="7E992DC3">
      <w:pPr>
        <w:widowControl/>
        <w:jc w:val="left"/>
        <w:rPr>
          <w:rFonts w:ascii="Calibri" w:hAnsi="Calibri" w:eastAsia="宋体" w:cs="Times New Roman"/>
          <w:kern w:val="0"/>
          <w:sz w:val="20"/>
          <w:szCs w:val="20"/>
        </w:rPr>
      </w:pPr>
    </w:p>
    <w:p w14:paraId="5B3403C4">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4D0530F5">
      <w:pPr>
        <w:widowControl/>
        <w:jc w:val="left"/>
        <w:rPr>
          <w:rFonts w:ascii="Calibri" w:hAnsi="Calibri" w:eastAsia="宋体" w:cs="Times New Roman"/>
          <w:kern w:val="0"/>
          <w:sz w:val="20"/>
          <w:szCs w:val="20"/>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08928401">
      <w:pPr>
        <w:pageBreakBefore/>
        <w:rPr>
          <w:rFonts w:ascii="Calibri" w:hAnsi="Calibri" w:eastAsia="宋体" w:cs="Times New Roman"/>
          <w:kern w:val="0"/>
          <w:sz w:val="20"/>
          <w:szCs w:val="20"/>
          <w:lang w:eastAsia="zh-Hans"/>
        </w:rPr>
      </w:pPr>
      <w:bookmarkStart w:id="69" w:name="_Toc169799800"/>
      <w:r>
        <w:rPr>
          <w:rFonts w:ascii="宋体" w:hAnsi="宋体" w:eastAsia="宋体"/>
          <w:b/>
          <w:bCs/>
          <w:sz w:val="24"/>
          <w:szCs w:val="28"/>
        </w:rPr>
        <w:t>格式十</w:t>
      </w:r>
      <w:r>
        <w:rPr>
          <w:rFonts w:hint="eastAsia" w:ascii="宋体" w:hAnsi="宋体" w:eastAsia="宋体"/>
          <w:b/>
          <w:bCs/>
          <w:sz w:val="24"/>
          <w:szCs w:val="28"/>
        </w:rPr>
        <w:t>八</w:t>
      </w:r>
      <w:r>
        <w:rPr>
          <w:rFonts w:ascii="宋体" w:hAnsi="宋体" w:eastAsia="宋体"/>
          <w:b/>
          <w:bCs/>
          <w:sz w:val="24"/>
          <w:szCs w:val="28"/>
        </w:rPr>
        <w:t>：</w:t>
      </w:r>
      <w:bookmarkEnd w:id="69"/>
    </w:p>
    <w:p w14:paraId="77DEE211">
      <w:pPr>
        <w:widowControl/>
        <w:spacing w:after="435" w:afterLines="100"/>
        <w:jc w:val="center"/>
        <w:outlineLvl w:val="3"/>
        <w:rPr>
          <w:rFonts w:ascii="Calibri" w:hAnsi="Calibri" w:eastAsia="宋体" w:cs="Times New Roman"/>
          <w:kern w:val="0"/>
          <w:sz w:val="20"/>
          <w:szCs w:val="20"/>
        </w:rPr>
      </w:pPr>
      <w:r>
        <w:rPr>
          <w:rFonts w:ascii="Calibri" w:hAnsi="Calibri" w:eastAsia="宋体" w:cs="Times New Roman"/>
          <w:b/>
          <w:kern w:val="0"/>
          <w:sz w:val="32"/>
          <w:lang w:eastAsia="zh-Hans"/>
        </w:rPr>
        <w:t>技术和服务要求响应表</w:t>
      </w: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782"/>
        <w:gridCol w:w="1564"/>
        <w:gridCol w:w="1250"/>
        <w:gridCol w:w="1250"/>
        <w:gridCol w:w="1406"/>
        <w:gridCol w:w="1252"/>
        <w:gridCol w:w="845"/>
      </w:tblGrid>
      <w:tr w14:paraId="143FC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vAlign w:val="center"/>
          </w:tcPr>
          <w:p w14:paraId="3C939FDC">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序号</w:t>
            </w:r>
          </w:p>
        </w:tc>
        <w:tc>
          <w:tcPr>
            <w:tcW w:w="421" w:type="pct"/>
            <w:vAlign w:val="center"/>
          </w:tcPr>
          <w:p w14:paraId="7508CF8B">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参数性质</w:t>
            </w:r>
          </w:p>
        </w:tc>
        <w:tc>
          <w:tcPr>
            <w:tcW w:w="842" w:type="pct"/>
            <w:vAlign w:val="center"/>
          </w:tcPr>
          <w:p w14:paraId="6E0F01DA">
            <w:pPr>
              <w:widowControl/>
              <w:jc w:val="center"/>
              <w:rPr>
                <w:rFonts w:ascii="Calibri" w:hAnsi="Calibri" w:eastAsia="宋体" w:cs="Times New Roman"/>
                <w:b/>
                <w:bCs/>
                <w:kern w:val="0"/>
                <w:szCs w:val="21"/>
                <w:lang w:eastAsia="zh-Hans"/>
              </w:rPr>
            </w:pPr>
            <w:r>
              <w:rPr>
                <w:rFonts w:hint="eastAsia" w:ascii="Calibri" w:hAnsi="Calibri" w:eastAsia="宋体" w:cs="Times New Roman"/>
                <w:b/>
                <w:bCs/>
                <w:kern w:val="0"/>
                <w:szCs w:val="21"/>
                <w:lang w:eastAsia="zh-Hans"/>
              </w:rPr>
              <w:t>招标文件</w:t>
            </w:r>
            <w:r>
              <w:rPr>
                <w:rFonts w:ascii="Calibri" w:hAnsi="Calibri" w:eastAsia="宋体" w:cs="Times New Roman"/>
                <w:b/>
                <w:bCs/>
                <w:kern w:val="0"/>
                <w:szCs w:val="21"/>
                <w:lang w:eastAsia="zh-Hans"/>
              </w:rPr>
              <w:t>规定的技术和服务要求</w:t>
            </w:r>
          </w:p>
        </w:tc>
        <w:tc>
          <w:tcPr>
            <w:tcW w:w="673" w:type="pct"/>
            <w:vAlign w:val="center"/>
          </w:tcPr>
          <w:p w14:paraId="50C6F9DC">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投标文件响应的具体内容</w:t>
            </w:r>
          </w:p>
        </w:tc>
        <w:tc>
          <w:tcPr>
            <w:tcW w:w="673" w:type="pct"/>
            <w:vAlign w:val="center"/>
          </w:tcPr>
          <w:p w14:paraId="7C6C5BE3">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型号</w:t>
            </w:r>
          </w:p>
        </w:tc>
        <w:tc>
          <w:tcPr>
            <w:tcW w:w="757" w:type="pct"/>
            <w:vAlign w:val="center"/>
          </w:tcPr>
          <w:p w14:paraId="640E140A">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是否偏离</w:t>
            </w:r>
          </w:p>
        </w:tc>
        <w:tc>
          <w:tcPr>
            <w:tcW w:w="674" w:type="pct"/>
            <w:vAlign w:val="center"/>
          </w:tcPr>
          <w:p w14:paraId="0B23B826">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证明文件所在位置</w:t>
            </w:r>
          </w:p>
        </w:tc>
        <w:tc>
          <w:tcPr>
            <w:tcW w:w="455" w:type="pct"/>
            <w:vAlign w:val="center"/>
          </w:tcPr>
          <w:p w14:paraId="745C4E96">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备注</w:t>
            </w:r>
          </w:p>
        </w:tc>
      </w:tr>
      <w:tr w14:paraId="21673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6DC05F39">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421" w:type="pct"/>
          </w:tcPr>
          <w:p w14:paraId="32B30E9C">
            <w:pPr>
              <w:jc w:val="center"/>
              <w:rPr>
                <w:rFonts w:ascii="Calibri" w:hAnsi="Calibri" w:eastAsia="宋体" w:cs="Times New Roman"/>
                <w:szCs w:val="24"/>
              </w:rPr>
            </w:pPr>
          </w:p>
        </w:tc>
        <w:tc>
          <w:tcPr>
            <w:tcW w:w="842" w:type="pct"/>
          </w:tcPr>
          <w:p w14:paraId="1A444041">
            <w:pPr>
              <w:jc w:val="center"/>
              <w:rPr>
                <w:rFonts w:ascii="Calibri" w:hAnsi="Calibri" w:eastAsia="宋体" w:cs="Times New Roman"/>
                <w:szCs w:val="24"/>
              </w:rPr>
            </w:pPr>
          </w:p>
        </w:tc>
        <w:tc>
          <w:tcPr>
            <w:tcW w:w="673" w:type="pct"/>
          </w:tcPr>
          <w:p w14:paraId="4761BF53">
            <w:pPr>
              <w:jc w:val="center"/>
              <w:rPr>
                <w:rFonts w:ascii="Calibri" w:hAnsi="Calibri" w:eastAsia="宋体" w:cs="Times New Roman"/>
                <w:szCs w:val="24"/>
              </w:rPr>
            </w:pPr>
          </w:p>
        </w:tc>
        <w:tc>
          <w:tcPr>
            <w:tcW w:w="673" w:type="pct"/>
          </w:tcPr>
          <w:p w14:paraId="0BF5B875">
            <w:pPr>
              <w:jc w:val="center"/>
              <w:rPr>
                <w:rFonts w:ascii="Calibri" w:hAnsi="Calibri" w:eastAsia="宋体" w:cs="Times New Roman"/>
                <w:szCs w:val="24"/>
              </w:rPr>
            </w:pPr>
          </w:p>
        </w:tc>
        <w:tc>
          <w:tcPr>
            <w:tcW w:w="757" w:type="pct"/>
          </w:tcPr>
          <w:p w14:paraId="6CB22A28">
            <w:pPr>
              <w:jc w:val="center"/>
              <w:rPr>
                <w:rFonts w:ascii="Calibri" w:hAnsi="Calibri" w:eastAsia="宋体" w:cs="Times New Roman"/>
                <w:szCs w:val="24"/>
              </w:rPr>
            </w:pPr>
          </w:p>
        </w:tc>
        <w:tc>
          <w:tcPr>
            <w:tcW w:w="674" w:type="pct"/>
          </w:tcPr>
          <w:p w14:paraId="0A082F94">
            <w:pPr>
              <w:jc w:val="center"/>
              <w:rPr>
                <w:rFonts w:ascii="Calibri" w:hAnsi="Calibri" w:eastAsia="宋体" w:cs="Times New Roman"/>
                <w:szCs w:val="24"/>
              </w:rPr>
            </w:pPr>
          </w:p>
        </w:tc>
        <w:tc>
          <w:tcPr>
            <w:tcW w:w="455" w:type="pct"/>
          </w:tcPr>
          <w:p w14:paraId="7715FBBB">
            <w:pPr>
              <w:jc w:val="center"/>
              <w:rPr>
                <w:rFonts w:ascii="Calibri" w:hAnsi="Calibri" w:eastAsia="宋体" w:cs="Times New Roman"/>
                <w:szCs w:val="24"/>
              </w:rPr>
            </w:pPr>
          </w:p>
        </w:tc>
      </w:tr>
      <w:tr w14:paraId="0CE43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0F2674C6">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421" w:type="pct"/>
          </w:tcPr>
          <w:p w14:paraId="18A69C00">
            <w:pPr>
              <w:jc w:val="center"/>
              <w:rPr>
                <w:rFonts w:ascii="Calibri" w:hAnsi="Calibri" w:eastAsia="宋体" w:cs="Times New Roman"/>
                <w:szCs w:val="24"/>
              </w:rPr>
            </w:pPr>
          </w:p>
        </w:tc>
        <w:tc>
          <w:tcPr>
            <w:tcW w:w="842" w:type="pct"/>
          </w:tcPr>
          <w:p w14:paraId="4ABB5D74">
            <w:pPr>
              <w:jc w:val="center"/>
              <w:rPr>
                <w:rFonts w:ascii="Calibri" w:hAnsi="Calibri" w:eastAsia="宋体" w:cs="Times New Roman"/>
                <w:szCs w:val="24"/>
              </w:rPr>
            </w:pPr>
          </w:p>
        </w:tc>
        <w:tc>
          <w:tcPr>
            <w:tcW w:w="673" w:type="pct"/>
          </w:tcPr>
          <w:p w14:paraId="10FD007D">
            <w:pPr>
              <w:jc w:val="center"/>
              <w:rPr>
                <w:rFonts w:ascii="Calibri" w:hAnsi="Calibri" w:eastAsia="宋体" w:cs="Times New Roman"/>
                <w:szCs w:val="24"/>
              </w:rPr>
            </w:pPr>
          </w:p>
        </w:tc>
        <w:tc>
          <w:tcPr>
            <w:tcW w:w="673" w:type="pct"/>
          </w:tcPr>
          <w:p w14:paraId="55086A9D">
            <w:pPr>
              <w:jc w:val="center"/>
              <w:rPr>
                <w:rFonts w:ascii="Calibri" w:hAnsi="Calibri" w:eastAsia="宋体" w:cs="Times New Roman"/>
                <w:szCs w:val="24"/>
              </w:rPr>
            </w:pPr>
          </w:p>
        </w:tc>
        <w:tc>
          <w:tcPr>
            <w:tcW w:w="757" w:type="pct"/>
          </w:tcPr>
          <w:p w14:paraId="3EEEF382">
            <w:pPr>
              <w:jc w:val="center"/>
              <w:rPr>
                <w:rFonts w:ascii="Calibri" w:hAnsi="Calibri" w:eastAsia="宋体" w:cs="Times New Roman"/>
                <w:szCs w:val="24"/>
              </w:rPr>
            </w:pPr>
          </w:p>
        </w:tc>
        <w:tc>
          <w:tcPr>
            <w:tcW w:w="674" w:type="pct"/>
          </w:tcPr>
          <w:p w14:paraId="7000A055">
            <w:pPr>
              <w:jc w:val="center"/>
              <w:rPr>
                <w:rFonts w:ascii="Calibri" w:hAnsi="Calibri" w:eastAsia="宋体" w:cs="Times New Roman"/>
                <w:szCs w:val="24"/>
              </w:rPr>
            </w:pPr>
          </w:p>
        </w:tc>
        <w:tc>
          <w:tcPr>
            <w:tcW w:w="455" w:type="pct"/>
          </w:tcPr>
          <w:p w14:paraId="6313E279">
            <w:pPr>
              <w:jc w:val="center"/>
              <w:rPr>
                <w:rFonts w:ascii="Calibri" w:hAnsi="Calibri" w:eastAsia="宋体" w:cs="Times New Roman"/>
                <w:szCs w:val="24"/>
              </w:rPr>
            </w:pPr>
          </w:p>
        </w:tc>
      </w:tr>
      <w:tr w14:paraId="6C5B8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A214B5D">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421" w:type="pct"/>
          </w:tcPr>
          <w:p w14:paraId="0728229E">
            <w:pPr>
              <w:jc w:val="center"/>
              <w:rPr>
                <w:rFonts w:ascii="Calibri" w:hAnsi="Calibri" w:eastAsia="宋体" w:cs="Times New Roman"/>
                <w:szCs w:val="24"/>
              </w:rPr>
            </w:pPr>
          </w:p>
        </w:tc>
        <w:tc>
          <w:tcPr>
            <w:tcW w:w="842" w:type="pct"/>
          </w:tcPr>
          <w:p w14:paraId="29C4B615">
            <w:pPr>
              <w:jc w:val="center"/>
              <w:rPr>
                <w:rFonts w:ascii="Calibri" w:hAnsi="Calibri" w:eastAsia="宋体" w:cs="Times New Roman"/>
                <w:szCs w:val="24"/>
              </w:rPr>
            </w:pPr>
          </w:p>
        </w:tc>
        <w:tc>
          <w:tcPr>
            <w:tcW w:w="673" w:type="pct"/>
          </w:tcPr>
          <w:p w14:paraId="7A89FD52">
            <w:pPr>
              <w:jc w:val="center"/>
              <w:rPr>
                <w:rFonts w:ascii="Calibri" w:hAnsi="Calibri" w:eastAsia="宋体" w:cs="Times New Roman"/>
                <w:szCs w:val="24"/>
              </w:rPr>
            </w:pPr>
          </w:p>
        </w:tc>
        <w:tc>
          <w:tcPr>
            <w:tcW w:w="673" w:type="pct"/>
          </w:tcPr>
          <w:p w14:paraId="1AC82DC0">
            <w:pPr>
              <w:jc w:val="center"/>
              <w:rPr>
                <w:rFonts w:ascii="Calibri" w:hAnsi="Calibri" w:eastAsia="宋体" w:cs="Times New Roman"/>
                <w:szCs w:val="24"/>
              </w:rPr>
            </w:pPr>
          </w:p>
        </w:tc>
        <w:tc>
          <w:tcPr>
            <w:tcW w:w="757" w:type="pct"/>
          </w:tcPr>
          <w:p w14:paraId="0C8FD514">
            <w:pPr>
              <w:jc w:val="center"/>
              <w:rPr>
                <w:rFonts w:ascii="Calibri" w:hAnsi="Calibri" w:eastAsia="宋体" w:cs="Times New Roman"/>
                <w:szCs w:val="24"/>
              </w:rPr>
            </w:pPr>
          </w:p>
        </w:tc>
        <w:tc>
          <w:tcPr>
            <w:tcW w:w="674" w:type="pct"/>
          </w:tcPr>
          <w:p w14:paraId="04EE07D5">
            <w:pPr>
              <w:jc w:val="center"/>
              <w:rPr>
                <w:rFonts w:ascii="Calibri" w:hAnsi="Calibri" w:eastAsia="宋体" w:cs="Times New Roman"/>
                <w:szCs w:val="24"/>
              </w:rPr>
            </w:pPr>
          </w:p>
        </w:tc>
        <w:tc>
          <w:tcPr>
            <w:tcW w:w="455" w:type="pct"/>
          </w:tcPr>
          <w:p w14:paraId="3AAF2642">
            <w:pPr>
              <w:jc w:val="center"/>
              <w:rPr>
                <w:rFonts w:ascii="Calibri" w:hAnsi="Calibri" w:eastAsia="宋体" w:cs="Times New Roman"/>
                <w:szCs w:val="24"/>
              </w:rPr>
            </w:pPr>
          </w:p>
        </w:tc>
      </w:tr>
      <w:tr w14:paraId="625FF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0F743E13">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421" w:type="pct"/>
          </w:tcPr>
          <w:p w14:paraId="75E715A6">
            <w:pPr>
              <w:jc w:val="center"/>
              <w:rPr>
                <w:rFonts w:ascii="Calibri" w:hAnsi="Calibri" w:eastAsia="宋体" w:cs="Times New Roman"/>
                <w:szCs w:val="24"/>
              </w:rPr>
            </w:pPr>
          </w:p>
        </w:tc>
        <w:tc>
          <w:tcPr>
            <w:tcW w:w="842" w:type="pct"/>
          </w:tcPr>
          <w:p w14:paraId="3D366722">
            <w:pPr>
              <w:jc w:val="center"/>
              <w:rPr>
                <w:rFonts w:ascii="Calibri" w:hAnsi="Calibri" w:eastAsia="宋体" w:cs="Times New Roman"/>
                <w:szCs w:val="24"/>
              </w:rPr>
            </w:pPr>
          </w:p>
        </w:tc>
        <w:tc>
          <w:tcPr>
            <w:tcW w:w="673" w:type="pct"/>
          </w:tcPr>
          <w:p w14:paraId="6B1F577E">
            <w:pPr>
              <w:jc w:val="center"/>
              <w:rPr>
                <w:rFonts w:ascii="Calibri" w:hAnsi="Calibri" w:eastAsia="宋体" w:cs="Times New Roman"/>
                <w:szCs w:val="24"/>
              </w:rPr>
            </w:pPr>
          </w:p>
        </w:tc>
        <w:tc>
          <w:tcPr>
            <w:tcW w:w="673" w:type="pct"/>
          </w:tcPr>
          <w:p w14:paraId="2C6C7C4E">
            <w:pPr>
              <w:jc w:val="center"/>
              <w:rPr>
                <w:rFonts w:ascii="Calibri" w:hAnsi="Calibri" w:eastAsia="宋体" w:cs="Times New Roman"/>
                <w:szCs w:val="24"/>
              </w:rPr>
            </w:pPr>
          </w:p>
        </w:tc>
        <w:tc>
          <w:tcPr>
            <w:tcW w:w="757" w:type="pct"/>
          </w:tcPr>
          <w:p w14:paraId="58E975CE">
            <w:pPr>
              <w:jc w:val="center"/>
              <w:rPr>
                <w:rFonts w:ascii="Calibri" w:hAnsi="Calibri" w:eastAsia="宋体" w:cs="Times New Roman"/>
                <w:szCs w:val="24"/>
              </w:rPr>
            </w:pPr>
          </w:p>
        </w:tc>
        <w:tc>
          <w:tcPr>
            <w:tcW w:w="674" w:type="pct"/>
          </w:tcPr>
          <w:p w14:paraId="0F5945E4">
            <w:pPr>
              <w:jc w:val="center"/>
              <w:rPr>
                <w:rFonts w:ascii="Calibri" w:hAnsi="Calibri" w:eastAsia="宋体" w:cs="Times New Roman"/>
                <w:szCs w:val="24"/>
              </w:rPr>
            </w:pPr>
          </w:p>
        </w:tc>
        <w:tc>
          <w:tcPr>
            <w:tcW w:w="455" w:type="pct"/>
          </w:tcPr>
          <w:p w14:paraId="6EDAFE70">
            <w:pPr>
              <w:jc w:val="center"/>
              <w:rPr>
                <w:rFonts w:ascii="Calibri" w:hAnsi="Calibri" w:eastAsia="宋体" w:cs="Times New Roman"/>
                <w:szCs w:val="24"/>
              </w:rPr>
            </w:pPr>
          </w:p>
        </w:tc>
      </w:tr>
      <w:tr w14:paraId="5B969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17289508">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421" w:type="pct"/>
          </w:tcPr>
          <w:p w14:paraId="5303FFEA">
            <w:pPr>
              <w:jc w:val="center"/>
              <w:rPr>
                <w:rFonts w:ascii="Calibri" w:hAnsi="Calibri" w:eastAsia="宋体" w:cs="Times New Roman"/>
                <w:szCs w:val="24"/>
              </w:rPr>
            </w:pPr>
          </w:p>
        </w:tc>
        <w:tc>
          <w:tcPr>
            <w:tcW w:w="842" w:type="pct"/>
          </w:tcPr>
          <w:p w14:paraId="5B7D9351">
            <w:pPr>
              <w:jc w:val="center"/>
              <w:rPr>
                <w:rFonts w:ascii="Calibri" w:hAnsi="Calibri" w:eastAsia="宋体" w:cs="Times New Roman"/>
                <w:szCs w:val="24"/>
              </w:rPr>
            </w:pPr>
          </w:p>
        </w:tc>
        <w:tc>
          <w:tcPr>
            <w:tcW w:w="673" w:type="pct"/>
          </w:tcPr>
          <w:p w14:paraId="7B89660F">
            <w:pPr>
              <w:jc w:val="center"/>
              <w:rPr>
                <w:rFonts w:ascii="Calibri" w:hAnsi="Calibri" w:eastAsia="宋体" w:cs="Times New Roman"/>
                <w:szCs w:val="24"/>
              </w:rPr>
            </w:pPr>
          </w:p>
        </w:tc>
        <w:tc>
          <w:tcPr>
            <w:tcW w:w="673" w:type="pct"/>
          </w:tcPr>
          <w:p w14:paraId="611D5345">
            <w:pPr>
              <w:jc w:val="center"/>
              <w:rPr>
                <w:rFonts w:ascii="Calibri" w:hAnsi="Calibri" w:eastAsia="宋体" w:cs="Times New Roman"/>
                <w:szCs w:val="24"/>
              </w:rPr>
            </w:pPr>
          </w:p>
        </w:tc>
        <w:tc>
          <w:tcPr>
            <w:tcW w:w="757" w:type="pct"/>
          </w:tcPr>
          <w:p w14:paraId="3D1067CA">
            <w:pPr>
              <w:jc w:val="center"/>
              <w:rPr>
                <w:rFonts w:ascii="Calibri" w:hAnsi="Calibri" w:eastAsia="宋体" w:cs="Times New Roman"/>
                <w:szCs w:val="24"/>
              </w:rPr>
            </w:pPr>
          </w:p>
        </w:tc>
        <w:tc>
          <w:tcPr>
            <w:tcW w:w="674" w:type="pct"/>
          </w:tcPr>
          <w:p w14:paraId="396A9589">
            <w:pPr>
              <w:jc w:val="center"/>
              <w:rPr>
                <w:rFonts w:ascii="Calibri" w:hAnsi="Calibri" w:eastAsia="宋体" w:cs="Times New Roman"/>
                <w:szCs w:val="24"/>
              </w:rPr>
            </w:pPr>
          </w:p>
        </w:tc>
        <w:tc>
          <w:tcPr>
            <w:tcW w:w="455" w:type="pct"/>
          </w:tcPr>
          <w:p w14:paraId="48F78ADA">
            <w:pPr>
              <w:jc w:val="center"/>
              <w:rPr>
                <w:rFonts w:ascii="Calibri" w:hAnsi="Calibri" w:eastAsia="宋体" w:cs="Times New Roman"/>
                <w:szCs w:val="24"/>
              </w:rPr>
            </w:pPr>
          </w:p>
        </w:tc>
      </w:tr>
      <w:tr w14:paraId="27638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3C3CC555">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6</w:t>
            </w:r>
          </w:p>
        </w:tc>
        <w:tc>
          <w:tcPr>
            <w:tcW w:w="421" w:type="pct"/>
          </w:tcPr>
          <w:p w14:paraId="628F3EA5">
            <w:pPr>
              <w:jc w:val="center"/>
              <w:rPr>
                <w:rFonts w:ascii="Calibri" w:hAnsi="Calibri" w:eastAsia="宋体" w:cs="Times New Roman"/>
                <w:szCs w:val="24"/>
              </w:rPr>
            </w:pPr>
          </w:p>
        </w:tc>
        <w:tc>
          <w:tcPr>
            <w:tcW w:w="842" w:type="pct"/>
          </w:tcPr>
          <w:p w14:paraId="2C632F24">
            <w:pPr>
              <w:jc w:val="center"/>
              <w:rPr>
                <w:rFonts w:ascii="Calibri" w:hAnsi="Calibri" w:eastAsia="宋体" w:cs="Times New Roman"/>
                <w:szCs w:val="24"/>
              </w:rPr>
            </w:pPr>
          </w:p>
        </w:tc>
        <w:tc>
          <w:tcPr>
            <w:tcW w:w="673" w:type="pct"/>
          </w:tcPr>
          <w:p w14:paraId="74143178">
            <w:pPr>
              <w:jc w:val="center"/>
              <w:rPr>
                <w:rFonts w:ascii="Calibri" w:hAnsi="Calibri" w:eastAsia="宋体" w:cs="Times New Roman"/>
                <w:szCs w:val="24"/>
              </w:rPr>
            </w:pPr>
          </w:p>
        </w:tc>
        <w:tc>
          <w:tcPr>
            <w:tcW w:w="673" w:type="pct"/>
          </w:tcPr>
          <w:p w14:paraId="45BACE0B">
            <w:pPr>
              <w:jc w:val="center"/>
              <w:rPr>
                <w:rFonts w:ascii="Calibri" w:hAnsi="Calibri" w:eastAsia="宋体" w:cs="Times New Roman"/>
                <w:szCs w:val="24"/>
              </w:rPr>
            </w:pPr>
          </w:p>
        </w:tc>
        <w:tc>
          <w:tcPr>
            <w:tcW w:w="757" w:type="pct"/>
          </w:tcPr>
          <w:p w14:paraId="2A7F42CE">
            <w:pPr>
              <w:jc w:val="center"/>
              <w:rPr>
                <w:rFonts w:ascii="Calibri" w:hAnsi="Calibri" w:eastAsia="宋体" w:cs="Times New Roman"/>
                <w:szCs w:val="24"/>
              </w:rPr>
            </w:pPr>
          </w:p>
        </w:tc>
        <w:tc>
          <w:tcPr>
            <w:tcW w:w="674" w:type="pct"/>
          </w:tcPr>
          <w:p w14:paraId="6F32A543">
            <w:pPr>
              <w:jc w:val="center"/>
              <w:rPr>
                <w:rFonts w:ascii="Calibri" w:hAnsi="Calibri" w:eastAsia="宋体" w:cs="Times New Roman"/>
                <w:szCs w:val="24"/>
              </w:rPr>
            </w:pPr>
          </w:p>
        </w:tc>
        <w:tc>
          <w:tcPr>
            <w:tcW w:w="455" w:type="pct"/>
          </w:tcPr>
          <w:p w14:paraId="04FADFAC">
            <w:pPr>
              <w:jc w:val="center"/>
              <w:rPr>
                <w:rFonts w:ascii="Calibri" w:hAnsi="Calibri" w:eastAsia="宋体" w:cs="Times New Roman"/>
                <w:szCs w:val="24"/>
              </w:rPr>
            </w:pPr>
          </w:p>
        </w:tc>
      </w:tr>
      <w:tr w14:paraId="29E25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FFFAC8E">
            <w:pPr>
              <w:widowControl/>
              <w:jc w:val="center"/>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w:t>
            </w:r>
          </w:p>
        </w:tc>
        <w:tc>
          <w:tcPr>
            <w:tcW w:w="421" w:type="pct"/>
          </w:tcPr>
          <w:p w14:paraId="4CE3F31D">
            <w:pPr>
              <w:jc w:val="center"/>
              <w:rPr>
                <w:rFonts w:ascii="Calibri" w:hAnsi="Calibri" w:eastAsia="宋体" w:cs="Times New Roman"/>
                <w:szCs w:val="24"/>
              </w:rPr>
            </w:pPr>
          </w:p>
        </w:tc>
        <w:tc>
          <w:tcPr>
            <w:tcW w:w="842" w:type="pct"/>
          </w:tcPr>
          <w:p w14:paraId="5FF286DC">
            <w:pPr>
              <w:jc w:val="center"/>
              <w:rPr>
                <w:rFonts w:ascii="Calibri" w:hAnsi="Calibri" w:eastAsia="宋体" w:cs="Times New Roman"/>
                <w:szCs w:val="24"/>
              </w:rPr>
            </w:pPr>
          </w:p>
        </w:tc>
        <w:tc>
          <w:tcPr>
            <w:tcW w:w="673" w:type="pct"/>
          </w:tcPr>
          <w:p w14:paraId="762C9244">
            <w:pPr>
              <w:jc w:val="center"/>
              <w:rPr>
                <w:rFonts w:ascii="Calibri" w:hAnsi="Calibri" w:eastAsia="宋体" w:cs="Times New Roman"/>
                <w:szCs w:val="24"/>
              </w:rPr>
            </w:pPr>
          </w:p>
        </w:tc>
        <w:tc>
          <w:tcPr>
            <w:tcW w:w="673" w:type="pct"/>
          </w:tcPr>
          <w:p w14:paraId="26F42D92">
            <w:pPr>
              <w:jc w:val="center"/>
              <w:rPr>
                <w:rFonts w:ascii="Calibri" w:hAnsi="Calibri" w:eastAsia="宋体" w:cs="Times New Roman"/>
                <w:szCs w:val="24"/>
              </w:rPr>
            </w:pPr>
          </w:p>
        </w:tc>
        <w:tc>
          <w:tcPr>
            <w:tcW w:w="757" w:type="pct"/>
          </w:tcPr>
          <w:p w14:paraId="0084FF0D">
            <w:pPr>
              <w:jc w:val="center"/>
              <w:rPr>
                <w:rFonts w:ascii="Calibri" w:hAnsi="Calibri" w:eastAsia="宋体" w:cs="Times New Roman"/>
                <w:szCs w:val="24"/>
              </w:rPr>
            </w:pPr>
          </w:p>
        </w:tc>
        <w:tc>
          <w:tcPr>
            <w:tcW w:w="674" w:type="pct"/>
          </w:tcPr>
          <w:p w14:paraId="0939545E">
            <w:pPr>
              <w:jc w:val="center"/>
              <w:rPr>
                <w:rFonts w:ascii="Calibri" w:hAnsi="Calibri" w:eastAsia="宋体" w:cs="Times New Roman"/>
                <w:szCs w:val="24"/>
              </w:rPr>
            </w:pPr>
          </w:p>
        </w:tc>
        <w:tc>
          <w:tcPr>
            <w:tcW w:w="455" w:type="pct"/>
          </w:tcPr>
          <w:p w14:paraId="776647EE">
            <w:pPr>
              <w:jc w:val="center"/>
              <w:rPr>
                <w:rFonts w:ascii="Calibri" w:hAnsi="Calibri" w:eastAsia="宋体" w:cs="Times New Roman"/>
                <w:szCs w:val="24"/>
              </w:rPr>
            </w:pPr>
          </w:p>
        </w:tc>
      </w:tr>
    </w:tbl>
    <w:p w14:paraId="6BA86BFE">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说明：</w:t>
      </w:r>
    </w:p>
    <w:p w14:paraId="4BB1D7AB">
      <w:pPr>
        <w:widowControl/>
        <w:jc w:val="left"/>
        <w:rPr>
          <w:rFonts w:ascii="宋体" w:hAnsi="宋体" w:eastAsia="宋体" w:cs="Times New Roman"/>
          <w:kern w:val="0"/>
          <w:szCs w:val="21"/>
        </w:rPr>
      </w:pPr>
      <w:r>
        <w:rPr>
          <w:rFonts w:ascii="宋体" w:hAnsi="宋体" w:eastAsia="宋体" w:cs="Times New Roman"/>
          <w:kern w:val="0"/>
          <w:szCs w:val="21"/>
          <w:lang w:eastAsia="zh-Hans"/>
        </w:rPr>
        <w:t>1.“</w:t>
      </w:r>
      <w:r>
        <w:rPr>
          <w:rFonts w:hint="eastAsia" w:ascii="宋体" w:hAnsi="宋体" w:eastAsia="宋体" w:cs="Times New Roman"/>
          <w:kern w:val="0"/>
          <w:szCs w:val="21"/>
          <w:lang w:eastAsia="zh-Hans"/>
        </w:rPr>
        <w:t>招标文</w:t>
      </w:r>
      <w:r>
        <w:rPr>
          <w:rFonts w:ascii="宋体" w:hAnsi="宋体" w:eastAsia="宋体" w:cs="Times New Roman"/>
          <w:kern w:val="0"/>
          <w:szCs w:val="21"/>
          <w:lang w:eastAsia="zh-Hans"/>
        </w:rPr>
        <w:t>件规定的技术和服务要求”项下填写的内容应与招标文件中采购需求的“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w:t>
      </w:r>
    </w:p>
    <w:p w14:paraId="41BA6A59">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2.参数性质栏目按招标文件有标注的“</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号条款进行填写，打“</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号条款为实质性条款，若有任何一条负偏离或不满足则导致投标无效。打“▲</w:t>
      </w:r>
      <w:r>
        <w:rPr>
          <w:rFonts w:ascii="宋体" w:hAnsi="宋体" w:eastAsia="宋体" w:cs="Calibri"/>
          <w:kern w:val="0"/>
          <w:szCs w:val="21"/>
          <w:lang w:eastAsia="zh-Hans"/>
        </w:rPr>
        <w:t>”</w:t>
      </w:r>
      <w:r>
        <w:rPr>
          <w:rFonts w:ascii="宋体" w:hAnsi="宋体" w:eastAsia="宋体" w:cs="Times New Roman"/>
          <w:kern w:val="0"/>
          <w:szCs w:val="21"/>
          <w:lang w:eastAsia="zh-Hans"/>
        </w:rPr>
        <w:t>号条款为重要技术参数（如有），若有部分“▲</w:t>
      </w:r>
      <w:r>
        <w:rPr>
          <w:rFonts w:ascii="宋体" w:hAnsi="宋体" w:eastAsia="宋体" w:cs="Calibri"/>
          <w:kern w:val="0"/>
          <w:szCs w:val="21"/>
          <w:lang w:eastAsia="zh-Hans"/>
        </w:rPr>
        <w:t>”</w:t>
      </w:r>
      <w:r>
        <w:rPr>
          <w:rFonts w:ascii="宋体" w:hAnsi="宋体" w:eastAsia="宋体" w:cs="Times New Roman"/>
          <w:kern w:val="0"/>
          <w:szCs w:val="21"/>
          <w:lang w:eastAsia="zh-Hans"/>
        </w:rPr>
        <w:t>条款未响应或不满足，将根据评审要求影响其得分，但不作为无效投标条款。</w:t>
      </w:r>
    </w:p>
    <w:p w14:paraId="0AA621EE">
      <w:pPr>
        <w:widowControl/>
        <w:jc w:val="left"/>
        <w:rPr>
          <w:rFonts w:ascii="宋体" w:hAnsi="宋体" w:eastAsia="宋体" w:cs="Times New Roman"/>
          <w:kern w:val="0"/>
          <w:szCs w:val="21"/>
        </w:rPr>
      </w:pPr>
      <w:r>
        <w:rPr>
          <w:rFonts w:hint="eastAsia" w:ascii="宋体" w:hAnsi="宋体" w:eastAsia="宋体" w:cs="Times New Roman"/>
          <w:kern w:val="0"/>
          <w:szCs w:val="21"/>
        </w:rPr>
        <w:t>3.</w:t>
      </w:r>
      <w:r>
        <w:rPr>
          <w:rFonts w:ascii="宋体" w:hAnsi="宋体" w:eastAsia="宋体" w:cs="Times New Roman"/>
          <w:kern w:val="0"/>
          <w:szCs w:val="21"/>
          <w:lang w:eastAsia="zh-Hans"/>
        </w:rPr>
        <w:t>“型号</w:t>
      </w:r>
      <w:r>
        <w:rPr>
          <w:rFonts w:ascii="宋体" w:hAnsi="宋体" w:eastAsia="宋体" w:cs="Calibri"/>
          <w:kern w:val="0"/>
          <w:szCs w:val="21"/>
          <w:lang w:eastAsia="zh-Hans"/>
        </w:rPr>
        <w:t>”</w:t>
      </w:r>
      <w:r>
        <w:rPr>
          <w:rFonts w:hint="eastAsia" w:ascii="宋体" w:hAnsi="宋体" w:eastAsia="宋体" w:cs="Calibri"/>
          <w:kern w:val="0"/>
          <w:szCs w:val="21"/>
          <w:lang w:eastAsia="zh-Hans"/>
        </w:rPr>
        <w:t>项，若无，填写：</w:t>
      </w:r>
      <w:r>
        <w:rPr>
          <w:rFonts w:ascii="宋体" w:hAnsi="宋体" w:eastAsia="宋体" w:cs="Times New Roman"/>
          <w:kern w:val="0"/>
          <w:szCs w:val="21"/>
          <w:lang w:eastAsia="zh-Hans"/>
        </w:rPr>
        <w:t>“</w:t>
      </w:r>
      <w:r>
        <w:rPr>
          <w:rFonts w:hint="eastAsia" w:ascii="宋体" w:hAnsi="宋体" w:eastAsia="宋体" w:cs="Times New Roman"/>
          <w:kern w:val="0"/>
          <w:szCs w:val="21"/>
        </w:rPr>
        <w:t xml:space="preserve"> </w:t>
      </w:r>
      <w:r>
        <w:rPr>
          <w:rStyle w:val="18"/>
          <w:rFonts w:ascii="宋体" w:hAnsi="宋体" w:eastAsia="宋体" w:cs="Arial"/>
          <w:i w:val="0"/>
          <w:iCs w:val="0"/>
          <w:szCs w:val="21"/>
          <w:shd w:val="clear" w:color="auto" w:fill="FFFFFF"/>
        </w:rPr>
        <w:t>/</w:t>
      </w:r>
      <w:r>
        <w:rPr>
          <w:rStyle w:val="18"/>
          <w:rFonts w:hint="eastAsia" w:ascii="宋体" w:hAnsi="宋体" w:eastAsia="宋体" w:cs="Arial"/>
          <w:i w:val="0"/>
          <w:iCs w:val="0"/>
          <w:szCs w:val="21"/>
          <w:shd w:val="clear" w:color="auto" w:fill="FFFFFF"/>
        </w:rPr>
        <w:t xml:space="preserve"> </w:t>
      </w:r>
      <w:r>
        <w:rPr>
          <w:rFonts w:ascii="宋体" w:hAnsi="宋体" w:eastAsia="宋体" w:cs="Calibri"/>
          <w:kern w:val="0"/>
          <w:szCs w:val="21"/>
          <w:lang w:eastAsia="zh-Hans"/>
        </w:rPr>
        <w:t>”</w:t>
      </w:r>
      <w:r>
        <w:rPr>
          <w:rStyle w:val="18"/>
          <w:rFonts w:ascii="宋体" w:hAnsi="宋体" w:eastAsia="宋体" w:cs="Arial"/>
          <w:i w:val="0"/>
          <w:iCs w:val="0"/>
          <w:szCs w:val="21"/>
          <w:shd w:val="clear" w:color="auto" w:fill="FFFFFF"/>
        </w:rPr>
        <w:t>。</w:t>
      </w:r>
    </w:p>
    <w:p w14:paraId="278EC07C">
      <w:pPr>
        <w:widowControl/>
        <w:jc w:val="left"/>
        <w:rPr>
          <w:rFonts w:ascii="宋体" w:hAnsi="宋体" w:eastAsia="宋体" w:cs="Times New Roman"/>
          <w:kern w:val="0"/>
          <w:szCs w:val="21"/>
          <w:lang w:eastAsia="zh-Hans"/>
        </w:rPr>
      </w:pPr>
      <w:r>
        <w:rPr>
          <w:rFonts w:hint="eastAsia" w:ascii="宋体" w:hAnsi="宋体" w:eastAsia="宋体" w:cs="Times New Roman"/>
          <w:kern w:val="0"/>
          <w:szCs w:val="21"/>
        </w:rPr>
        <w:t>4</w:t>
      </w:r>
      <w:r>
        <w:rPr>
          <w:rFonts w:ascii="宋体" w:hAnsi="宋体" w:eastAsia="宋体" w:cs="Times New Roman"/>
          <w:kern w:val="0"/>
          <w:szCs w:val="21"/>
          <w:lang w:eastAsia="zh-Hans"/>
        </w:rPr>
        <w:t>.“是否偏离”项下应按下列规定填写：优于的，填写“正偏离”；符合的，填写“无偏离”；低于的，填写“负偏离”。</w:t>
      </w:r>
    </w:p>
    <w:p w14:paraId="2A7B1AF5">
      <w:pPr>
        <w:widowControl/>
        <w:jc w:val="left"/>
        <w:rPr>
          <w:rFonts w:ascii="Calibri" w:hAnsi="Calibri" w:eastAsia="宋体" w:cs="Times New Roman"/>
          <w:kern w:val="0"/>
          <w:sz w:val="20"/>
          <w:szCs w:val="20"/>
          <w:lang w:eastAsia="zh-Hans"/>
        </w:rPr>
      </w:pPr>
      <w:r>
        <w:rPr>
          <w:rFonts w:hint="eastAsia" w:ascii="宋体" w:hAnsi="宋体" w:eastAsia="宋体" w:cs="Times New Roman"/>
          <w:kern w:val="0"/>
          <w:szCs w:val="21"/>
        </w:rPr>
        <w:t>5</w:t>
      </w:r>
      <w:r>
        <w:rPr>
          <w:rFonts w:ascii="宋体" w:hAnsi="宋体" w:eastAsia="宋体" w:cs="Times New Roman"/>
          <w:kern w:val="0"/>
          <w:szCs w:val="21"/>
          <w:lang w:eastAsia="zh-Hans"/>
        </w:rPr>
        <w:t>.</w:t>
      </w:r>
      <w:bookmarkStart w:id="70" w:name="_Hlk169717981"/>
      <w:r>
        <w:rPr>
          <w:rFonts w:ascii="宋体" w:hAnsi="宋体" w:eastAsia="宋体" w:cs="Times New Roman"/>
          <w:kern w:val="0"/>
          <w:szCs w:val="21"/>
          <w:lang w:eastAsia="zh-Hans"/>
        </w:rPr>
        <w:t>“备注”</w:t>
      </w:r>
      <w:bookmarkEnd w:id="70"/>
      <w:r>
        <w:rPr>
          <w:rFonts w:ascii="宋体" w:hAnsi="宋体" w:eastAsia="宋体" w:cs="Times New Roman"/>
          <w:kern w:val="0"/>
          <w:szCs w:val="21"/>
          <w:lang w:eastAsia="zh-Hans"/>
        </w:rPr>
        <w:t>处可填写偏离情况的说明。</w:t>
      </w:r>
    </w:p>
    <w:p w14:paraId="4BA0B682">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4FC5EE89">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775CED2F">
      <w:pPr>
        <w:pageBreakBefore/>
        <w:rPr>
          <w:rFonts w:ascii="Calibri" w:hAnsi="Calibri" w:eastAsia="宋体" w:cs="Times New Roman"/>
          <w:kern w:val="0"/>
          <w:sz w:val="20"/>
          <w:szCs w:val="20"/>
          <w:lang w:eastAsia="zh-Hans"/>
        </w:rPr>
      </w:pPr>
      <w:bookmarkStart w:id="71" w:name="_Toc169799801"/>
      <w:r>
        <w:rPr>
          <w:rFonts w:ascii="宋体" w:hAnsi="宋体" w:eastAsia="宋体"/>
          <w:b/>
          <w:bCs/>
          <w:sz w:val="24"/>
          <w:szCs w:val="28"/>
        </w:rPr>
        <w:t>格式十</w:t>
      </w:r>
      <w:r>
        <w:rPr>
          <w:rFonts w:hint="eastAsia" w:ascii="宋体" w:hAnsi="宋体" w:eastAsia="宋体"/>
          <w:b/>
          <w:bCs/>
          <w:sz w:val="24"/>
          <w:szCs w:val="28"/>
        </w:rPr>
        <w:t>九</w:t>
      </w:r>
      <w:r>
        <w:rPr>
          <w:rFonts w:ascii="宋体" w:hAnsi="宋体" w:eastAsia="宋体"/>
          <w:b/>
          <w:bCs/>
          <w:sz w:val="24"/>
          <w:szCs w:val="28"/>
        </w:rPr>
        <w:t>：</w:t>
      </w:r>
      <w:bookmarkEnd w:id="71"/>
    </w:p>
    <w:p w14:paraId="43042819">
      <w:pPr>
        <w:widowControl/>
        <w:spacing w:after="435" w:afterLines="100"/>
        <w:jc w:val="center"/>
        <w:outlineLvl w:val="3"/>
        <w:rPr>
          <w:rFonts w:ascii="Calibri" w:hAnsi="Calibri" w:eastAsia="宋体" w:cs="Times New Roman"/>
          <w:kern w:val="0"/>
          <w:sz w:val="20"/>
          <w:szCs w:val="20"/>
        </w:rPr>
      </w:pPr>
      <w:r>
        <w:rPr>
          <w:rFonts w:ascii="Calibri" w:hAnsi="Calibri" w:eastAsia="宋体" w:cs="Times New Roman"/>
          <w:b/>
          <w:kern w:val="0"/>
          <w:sz w:val="32"/>
          <w:lang w:eastAsia="zh-Hans"/>
        </w:rPr>
        <w:t>商务条件响应表</w:t>
      </w: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5"/>
        <w:gridCol w:w="1255"/>
        <w:gridCol w:w="1579"/>
        <w:gridCol w:w="1664"/>
        <w:gridCol w:w="1322"/>
        <w:gridCol w:w="1322"/>
        <w:gridCol w:w="1319"/>
      </w:tblGrid>
      <w:tr w14:paraId="3F327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vAlign w:val="center"/>
          </w:tcPr>
          <w:p w14:paraId="11832306">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序号</w:t>
            </w:r>
          </w:p>
        </w:tc>
        <w:tc>
          <w:tcPr>
            <w:tcW w:w="676" w:type="pct"/>
            <w:vAlign w:val="center"/>
          </w:tcPr>
          <w:p w14:paraId="6EE34BC8">
            <w:pPr>
              <w:widowControl/>
              <w:jc w:val="center"/>
              <w:rPr>
                <w:rFonts w:ascii="宋体" w:hAnsi="宋体" w:eastAsia="宋体" w:cs="Times New Roman"/>
                <w:b/>
                <w:bCs/>
                <w:kern w:val="0"/>
                <w:szCs w:val="21"/>
              </w:rPr>
            </w:pPr>
            <w:r>
              <w:rPr>
                <w:rFonts w:ascii="宋体" w:hAnsi="宋体" w:eastAsia="宋体" w:cs="Times New Roman"/>
                <w:b/>
                <w:bCs/>
                <w:kern w:val="0"/>
                <w:szCs w:val="21"/>
                <w:lang w:eastAsia="zh-Hans"/>
              </w:rPr>
              <w:t>参数性质</w:t>
            </w:r>
          </w:p>
        </w:tc>
        <w:tc>
          <w:tcPr>
            <w:tcW w:w="850" w:type="pct"/>
            <w:vAlign w:val="center"/>
          </w:tcPr>
          <w:p w14:paraId="20DF371D">
            <w:pPr>
              <w:widowControl/>
              <w:jc w:val="center"/>
              <w:rPr>
                <w:rFonts w:ascii="宋体" w:hAnsi="宋体" w:eastAsia="宋体" w:cs="Times New Roman"/>
                <w:b/>
                <w:bCs/>
                <w:kern w:val="0"/>
                <w:szCs w:val="21"/>
                <w:lang w:eastAsia="zh-Hans"/>
              </w:rPr>
            </w:pPr>
            <w:r>
              <w:rPr>
                <w:rFonts w:hint="eastAsia" w:ascii="宋体" w:hAnsi="宋体" w:eastAsia="宋体" w:cs="Times New Roman"/>
                <w:b/>
                <w:bCs/>
                <w:kern w:val="0"/>
                <w:szCs w:val="21"/>
                <w:lang w:eastAsia="zh-Hans"/>
              </w:rPr>
              <w:t>招标</w:t>
            </w:r>
            <w:r>
              <w:rPr>
                <w:rFonts w:ascii="宋体" w:hAnsi="宋体" w:eastAsia="宋体" w:cs="Times New Roman"/>
                <w:b/>
                <w:bCs/>
                <w:kern w:val="0"/>
                <w:szCs w:val="21"/>
                <w:lang w:eastAsia="zh-Hans"/>
              </w:rPr>
              <w:t>文件规定的商务条件</w:t>
            </w:r>
          </w:p>
        </w:tc>
        <w:tc>
          <w:tcPr>
            <w:tcW w:w="896" w:type="pct"/>
            <w:vAlign w:val="center"/>
          </w:tcPr>
          <w:p w14:paraId="2E5205F7">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投标文件响应的具体内容</w:t>
            </w:r>
          </w:p>
        </w:tc>
        <w:tc>
          <w:tcPr>
            <w:tcW w:w="712" w:type="pct"/>
            <w:vAlign w:val="center"/>
          </w:tcPr>
          <w:p w14:paraId="1BBB9193">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是否偏离</w:t>
            </w:r>
          </w:p>
        </w:tc>
        <w:tc>
          <w:tcPr>
            <w:tcW w:w="712" w:type="pct"/>
            <w:vAlign w:val="center"/>
          </w:tcPr>
          <w:p w14:paraId="05CC7AC4">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证明文件所在位置</w:t>
            </w:r>
          </w:p>
        </w:tc>
        <w:tc>
          <w:tcPr>
            <w:tcW w:w="712" w:type="pct"/>
            <w:vAlign w:val="center"/>
          </w:tcPr>
          <w:p w14:paraId="108E53D3">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备注</w:t>
            </w:r>
          </w:p>
        </w:tc>
      </w:tr>
      <w:tr w14:paraId="5F381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DE4FE18">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676" w:type="pct"/>
          </w:tcPr>
          <w:p w14:paraId="24F4A561">
            <w:pPr>
              <w:rPr>
                <w:rFonts w:ascii="宋体" w:hAnsi="宋体" w:eastAsia="宋体" w:cs="Times New Roman"/>
                <w:szCs w:val="21"/>
              </w:rPr>
            </w:pPr>
          </w:p>
        </w:tc>
        <w:tc>
          <w:tcPr>
            <w:tcW w:w="850" w:type="pct"/>
          </w:tcPr>
          <w:p w14:paraId="587938BA">
            <w:pPr>
              <w:rPr>
                <w:rFonts w:ascii="宋体" w:hAnsi="宋体" w:eastAsia="宋体" w:cs="Times New Roman"/>
                <w:szCs w:val="21"/>
              </w:rPr>
            </w:pPr>
          </w:p>
        </w:tc>
        <w:tc>
          <w:tcPr>
            <w:tcW w:w="896" w:type="pct"/>
          </w:tcPr>
          <w:p w14:paraId="3D822424">
            <w:pPr>
              <w:rPr>
                <w:rFonts w:ascii="宋体" w:hAnsi="宋体" w:eastAsia="宋体" w:cs="Times New Roman"/>
                <w:szCs w:val="21"/>
              </w:rPr>
            </w:pPr>
          </w:p>
        </w:tc>
        <w:tc>
          <w:tcPr>
            <w:tcW w:w="712" w:type="pct"/>
          </w:tcPr>
          <w:p w14:paraId="44B15A7C">
            <w:pPr>
              <w:rPr>
                <w:rFonts w:ascii="宋体" w:hAnsi="宋体" w:eastAsia="宋体" w:cs="Times New Roman"/>
                <w:szCs w:val="21"/>
              </w:rPr>
            </w:pPr>
          </w:p>
        </w:tc>
        <w:tc>
          <w:tcPr>
            <w:tcW w:w="712" w:type="pct"/>
          </w:tcPr>
          <w:p w14:paraId="62E925FB">
            <w:pPr>
              <w:rPr>
                <w:rFonts w:ascii="宋体" w:hAnsi="宋体" w:eastAsia="宋体" w:cs="Times New Roman"/>
                <w:szCs w:val="21"/>
              </w:rPr>
            </w:pPr>
          </w:p>
        </w:tc>
        <w:tc>
          <w:tcPr>
            <w:tcW w:w="712" w:type="pct"/>
          </w:tcPr>
          <w:p w14:paraId="2562ED58">
            <w:pPr>
              <w:rPr>
                <w:rFonts w:ascii="宋体" w:hAnsi="宋体" w:eastAsia="宋体" w:cs="Times New Roman"/>
                <w:szCs w:val="21"/>
              </w:rPr>
            </w:pPr>
          </w:p>
        </w:tc>
      </w:tr>
      <w:tr w14:paraId="6DE4E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5CA85D3">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676" w:type="pct"/>
          </w:tcPr>
          <w:p w14:paraId="457CB21D">
            <w:pPr>
              <w:rPr>
                <w:rFonts w:ascii="宋体" w:hAnsi="宋体" w:eastAsia="宋体" w:cs="Times New Roman"/>
                <w:szCs w:val="21"/>
              </w:rPr>
            </w:pPr>
          </w:p>
        </w:tc>
        <w:tc>
          <w:tcPr>
            <w:tcW w:w="850" w:type="pct"/>
          </w:tcPr>
          <w:p w14:paraId="5BC9E0CB">
            <w:pPr>
              <w:rPr>
                <w:rFonts w:ascii="宋体" w:hAnsi="宋体" w:eastAsia="宋体" w:cs="Times New Roman"/>
                <w:szCs w:val="21"/>
              </w:rPr>
            </w:pPr>
          </w:p>
        </w:tc>
        <w:tc>
          <w:tcPr>
            <w:tcW w:w="896" w:type="pct"/>
          </w:tcPr>
          <w:p w14:paraId="6AC1B8EA">
            <w:pPr>
              <w:rPr>
                <w:rFonts w:ascii="宋体" w:hAnsi="宋体" w:eastAsia="宋体" w:cs="Times New Roman"/>
                <w:szCs w:val="21"/>
              </w:rPr>
            </w:pPr>
          </w:p>
        </w:tc>
        <w:tc>
          <w:tcPr>
            <w:tcW w:w="712" w:type="pct"/>
          </w:tcPr>
          <w:p w14:paraId="24DFDBCD">
            <w:pPr>
              <w:rPr>
                <w:rFonts w:ascii="宋体" w:hAnsi="宋体" w:eastAsia="宋体" w:cs="Times New Roman"/>
                <w:szCs w:val="21"/>
              </w:rPr>
            </w:pPr>
          </w:p>
        </w:tc>
        <w:tc>
          <w:tcPr>
            <w:tcW w:w="712" w:type="pct"/>
          </w:tcPr>
          <w:p w14:paraId="3B000570">
            <w:pPr>
              <w:rPr>
                <w:rFonts w:ascii="宋体" w:hAnsi="宋体" w:eastAsia="宋体" w:cs="Times New Roman"/>
                <w:szCs w:val="21"/>
              </w:rPr>
            </w:pPr>
          </w:p>
        </w:tc>
        <w:tc>
          <w:tcPr>
            <w:tcW w:w="712" w:type="pct"/>
          </w:tcPr>
          <w:p w14:paraId="0ADD7BD9">
            <w:pPr>
              <w:rPr>
                <w:rFonts w:ascii="宋体" w:hAnsi="宋体" w:eastAsia="宋体" w:cs="Times New Roman"/>
                <w:szCs w:val="21"/>
              </w:rPr>
            </w:pPr>
          </w:p>
        </w:tc>
      </w:tr>
      <w:tr w14:paraId="6B49D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13FD6BD">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676" w:type="pct"/>
          </w:tcPr>
          <w:p w14:paraId="091DBBBF">
            <w:pPr>
              <w:rPr>
                <w:rFonts w:ascii="宋体" w:hAnsi="宋体" w:eastAsia="宋体" w:cs="Times New Roman"/>
                <w:szCs w:val="21"/>
              </w:rPr>
            </w:pPr>
          </w:p>
        </w:tc>
        <w:tc>
          <w:tcPr>
            <w:tcW w:w="850" w:type="pct"/>
          </w:tcPr>
          <w:p w14:paraId="54B852DF">
            <w:pPr>
              <w:rPr>
                <w:rFonts w:ascii="宋体" w:hAnsi="宋体" w:eastAsia="宋体" w:cs="Times New Roman"/>
                <w:szCs w:val="21"/>
              </w:rPr>
            </w:pPr>
          </w:p>
        </w:tc>
        <w:tc>
          <w:tcPr>
            <w:tcW w:w="896" w:type="pct"/>
          </w:tcPr>
          <w:p w14:paraId="3E501B1A">
            <w:pPr>
              <w:rPr>
                <w:rFonts w:ascii="宋体" w:hAnsi="宋体" w:eastAsia="宋体" w:cs="Times New Roman"/>
                <w:szCs w:val="21"/>
              </w:rPr>
            </w:pPr>
          </w:p>
        </w:tc>
        <w:tc>
          <w:tcPr>
            <w:tcW w:w="712" w:type="pct"/>
          </w:tcPr>
          <w:p w14:paraId="222C8DC3">
            <w:pPr>
              <w:rPr>
                <w:rFonts w:ascii="宋体" w:hAnsi="宋体" w:eastAsia="宋体" w:cs="Times New Roman"/>
                <w:szCs w:val="21"/>
              </w:rPr>
            </w:pPr>
          </w:p>
        </w:tc>
        <w:tc>
          <w:tcPr>
            <w:tcW w:w="712" w:type="pct"/>
          </w:tcPr>
          <w:p w14:paraId="22473919">
            <w:pPr>
              <w:rPr>
                <w:rFonts w:ascii="宋体" w:hAnsi="宋体" w:eastAsia="宋体" w:cs="Times New Roman"/>
                <w:szCs w:val="21"/>
              </w:rPr>
            </w:pPr>
          </w:p>
        </w:tc>
        <w:tc>
          <w:tcPr>
            <w:tcW w:w="712" w:type="pct"/>
          </w:tcPr>
          <w:p w14:paraId="216643F5">
            <w:pPr>
              <w:rPr>
                <w:rFonts w:ascii="宋体" w:hAnsi="宋体" w:eastAsia="宋体" w:cs="Times New Roman"/>
                <w:szCs w:val="21"/>
              </w:rPr>
            </w:pPr>
          </w:p>
        </w:tc>
      </w:tr>
      <w:tr w14:paraId="00D74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B2DF3B7">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676" w:type="pct"/>
          </w:tcPr>
          <w:p w14:paraId="7CEB763D">
            <w:pPr>
              <w:rPr>
                <w:rFonts w:ascii="宋体" w:hAnsi="宋体" w:eastAsia="宋体" w:cs="Times New Roman"/>
                <w:szCs w:val="21"/>
              </w:rPr>
            </w:pPr>
          </w:p>
        </w:tc>
        <w:tc>
          <w:tcPr>
            <w:tcW w:w="850" w:type="pct"/>
          </w:tcPr>
          <w:p w14:paraId="7023FC4A">
            <w:pPr>
              <w:rPr>
                <w:rFonts w:ascii="宋体" w:hAnsi="宋体" w:eastAsia="宋体" w:cs="Times New Roman"/>
                <w:szCs w:val="21"/>
              </w:rPr>
            </w:pPr>
          </w:p>
        </w:tc>
        <w:tc>
          <w:tcPr>
            <w:tcW w:w="896" w:type="pct"/>
          </w:tcPr>
          <w:p w14:paraId="2F92A615">
            <w:pPr>
              <w:rPr>
                <w:rFonts w:ascii="宋体" w:hAnsi="宋体" w:eastAsia="宋体" w:cs="Times New Roman"/>
                <w:szCs w:val="21"/>
              </w:rPr>
            </w:pPr>
          </w:p>
        </w:tc>
        <w:tc>
          <w:tcPr>
            <w:tcW w:w="712" w:type="pct"/>
          </w:tcPr>
          <w:p w14:paraId="27FA4F91">
            <w:pPr>
              <w:rPr>
                <w:rFonts w:ascii="宋体" w:hAnsi="宋体" w:eastAsia="宋体" w:cs="Times New Roman"/>
                <w:szCs w:val="21"/>
              </w:rPr>
            </w:pPr>
          </w:p>
        </w:tc>
        <w:tc>
          <w:tcPr>
            <w:tcW w:w="712" w:type="pct"/>
          </w:tcPr>
          <w:p w14:paraId="48CB42A5">
            <w:pPr>
              <w:rPr>
                <w:rFonts w:ascii="宋体" w:hAnsi="宋体" w:eastAsia="宋体" w:cs="Times New Roman"/>
                <w:szCs w:val="21"/>
              </w:rPr>
            </w:pPr>
          </w:p>
        </w:tc>
        <w:tc>
          <w:tcPr>
            <w:tcW w:w="712" w:type="pct"/>
          </w:tcPr>
          <w:p w14:paraId="38C88D08">
            <w:pPr>
              <w:rPr>
                <w:rFonts w:ascii="宋体" w:hAnsi="宋体" w:eastAsia="宋体" w:cs="Times New Roman"/>
                <w:szCs w:val="21"/>
              </w:rPr>
            </w:pPr>
          </w:p>
        </w:tc>
      </w:tr>
      <w:tr w14:paraId="505A4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44" w:type="pct"/>
          </w:tcPr>
          <w:p w14:paraId="5D7063FF">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676" w:type="pct"/>
          </w:tcPr>
          <w:p w14:paraId="3BB91E7B">
            <w:pPr>
              <w:rPr>
                <w:rFonts w:ascii="宋体" w:hAnsi="宋体" w:eastAsia="宋体" w:cs="Times New Roman"/>
                <w:szCs w:val="21"/>
              </w:rPr>
            </w:pPr>
          </w:p>
        </w:tc>
        <w:tc>
          <w:tcPr>
            <w:tcW w:w="850" w:type="pct"/>
          </w:tcPr>
          <w:p w14:paraId="47D328C1">
            <w:pPr>
              <w:rPr>
                <w:rFonts w:ascii="宋体" w:hAnsi="宋体" w:eastAsia="宋体" w:cs="Times New Roman"/>
                <w:szCs w:val="21"/>
              </w:rPr>
            </w:pPr>
          </w:p>
        </w:tc>
        <w:tc>
          <w:tcPr>
            <w:tcW w:w="896" w:type="pct"/>
          </w:tcPr>
          <w:p w14:paraId="0ACF4650">
            <w:pPr>
              <w:rPr>
                <w:rFonts w:ascii="宋体" w:hAnsi="宋体" w:eastAsia="宋体" w:cs="Times New Roman"/>
                <w:szCs w:val="21"/>
              </w:rPr>
            </w:pPr>
          </w:p>
        </w:tc>
        <w:tc>
          <w:tcPr>
            <w:tcW w:w="712" w:type="pct"/>
          </w:tcPr>
          <w:p w14:paraId="4CC92881">
            <w:pPr>
              <w:rPr>
                <w:rFonts w:ascii="宋体" w:hAnsi="宋体" w:eastAsia="宋体" w:cs="Times New Roman"/>
                <w:szCs w:val="21"/>
              </w:rPr>
            </w:pPr>
          </w:p>
        </w:tc>
        <w:tc>
          <w:tcPr>
            <w:tcW w:w="712" w:type="pct"/>
          </w:tcPr>
          <w:p w14:paraId="5C23B49A">
            <w:pPr>
              <w:rPr>
                <w:rFonts w:ascii="宋体" w:hAnsi="宋体" w:eastAsia="宋体" w:cs="Times New Roman"/>
                <w:szCs w:val="21"/>
              </w:rPr>
            </w:pPr>
          </w:p>
        </w:tc>
        <w:tc>
          <w:tcPr>
            <w:tcW w:w="712" w:type="pct"/>
          </w:tcPr>
          <w:p w14:paraId="60D46CAF">
            <w:pPr>
              <w:rPr>
                <w:rFonts w:ascii="宋体" w:hAnsi="宋体" w:eastAsia="宋体" w:cs="Times New Roman"/>
                <w:szCs w:val="21"/>
              </w:rPr>
            </w:pPr>
          </w:p>
        </w:tc>
      </w:tr>
      <w:tr w14:paraId="6AF85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39FA770">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6</w:t>
            </w:r>
          </w:p>
        </w:tc>
        <w:tc>
          <w:tcPr>
            <w:tcW w:w="676" w:type="pct"/>
          </w:tcPr>
          <w:p w14:paraId="0EE75553">
            <w:pPr>
              <w:rPr>
                <w:rFonts w:ascii="宋体" w:hAnsi="宋体" w:eastAsia="宋体" w:cs="Times New Roman"/>
                <w:szCs w:val="21"/>
              </w:rPr>
            </w:pPr>
          </w:p>
        </w:tc>
        <w:tc>
          <w:tcPr>
            <w:tcW w:w="850" w:type="pct"/>
          </w:tcPr>
          <w:p w14:paraId="5BC0F843">
            <w:pPr>
              <w:rPr>
                <w:rFonts w:ascii="宋体" w:hAnsi="宋体" w:eastAsia="宋体" w:cs="Times New Roman"/>
                <w:szCs w:val="21"/>
              </w:rPr>
            </w:pPr>
          </w:p>
        </w:tc>
        <w:tc>
          <w:tcPr>
            <w:tcW w:w="896" w:type="pct"/>
          </w:tcPr>
          <w:p w14:paraId="15011B80">
            <w:pPr>
              <w:rPr>
                <w:rFonts w:ascii="宋体" w:hAnsi="宋体" w:eastAsia="宋体" w:cs="Times New Roman"/>
                <w:szCs w:val="21"/>
              </w:rPr>
            </w:pPr>
          </w:p>
        </w:tc>
        <w:tc>
          <w:tcPr>
            <w:tcW w:w="712" w:type="pct"/>
          </w:tcPr>
          <w:p w14:paraId="6688CC53">
            <w:pPr>
              <w:rPr>
                <w:rFonts w:ascii="宋体" w:hAnsi="宋体" w:eastAsia="宋体" w:cs="Times New Roman"/>
                <w:szCs w:val="21"/>
              </w:rPr>
            </w:pPr>
          </w:p>
        </w:tc>
        <w:tc>
          <w:tcPr>
            <w:tcW w:w="712" w:type="pct"/>
          </w:tcPr>
          <w:p w14:paraId="2913694A">
            <w:pPr>
              <w:rPr>
                <w:rFonts w:ascii="宋体" w:hAnsi="宋体" w:eastAsia="宋体" w:cs="Times New Roman"/>
                <w:szCs w:val="21"/>
              </w:rPr>
            </w:pPr>
          </w:p>
        </w:tc>
        <w:tc>
          <w:tcPr>
            <w:tcW w:w="712" w:type="pct"/>
          </w:tcPr>
          <w:p w14:paraId="68BB0D41">
            <w:pPr>
              <w:rPr>
                <w:rFonts w:ascii="宋体" w:hAnsi="宋体" w:eastAsia="宋体" w:cs="Times New Roman"/>
                <w:szCs w:val="21"/>
              </w:rPr>
            </w:pPr>
          </w:p>
        </w:tc>
      </w:tr>
      <w:tr w14:paraId="7D0B8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54B4727B">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7</w:t>
            </w:r>
          </w:p>
        </w:tc>
        <w:tc>
          <w:tcPr>
            <w:tcW w:w="676" w:type="pct"/>
          </w:tcPr>
          <w:p w14:paraId="2998C94D">
            <w:pPr>
              <w:rPr>
                <w:rFonts w:ascii="宋体" w:hAnsi="宋体" w:eastAsia="宋体" w:cs="Times New Roman"/>
                <w:szCs w:val="21"/>
              </w:rPr>
            </w:pPr>
          </w:p>
        </w:tc>
        <w:tc>
          <w:tcPr>
            <w:tcW w:w="850" w:type="pct"/>
          </w:tcPr>
          <w:p w14:paraId="656F6909">
            <w:pPr>
              <w:rPr>
                <w:rFonts w:ascii="宋体" w:hAnsi="宋体" w:eastAsia="宋体" w:cs="Times New Roman"/>
                <w:szCs w:val="21"/>
              </w:rPr>
            </w:pPr>
          </w:p>
        </w:tc>
        <w:tc>
          <w:tcPr>
            <w:tcW w:w="896" w:type="pct"/>
          </w:tcPr>
          <w:p w14:paraId="7E1D64D8">
            <w:pPr>
              <w:rPr>
                <w:rFonts w:ascii="宋体" w:hAnsi="宋体" w:eastAsia="宋体" w:cs="Times New Roman"/>
                <w:szCs w:val="21"/>
              </w:rPr>
            </w:pPr>
          </w:p>
        </w:tc>
        <w:tc>
          <w:tcPr>
            <w:tcW w:w="712" w:type="pct"/>
          </w:tcPr>
          <w:p w14:paraId="48B2A5DC">
            <w:pPr>
              <w:rPr>
                <w:rFonts w:ascii="宋体" w:hAnsi="宋体" w:eastAsia="宋体" w:cs="Times New Roman"/>
                <w:szCs w:val="21"/>
              </w:rPr>
            </w:pPr>
          </w:p>
        </w:tc>
        <w:tc>
          <w:tcPr>
            <w:tcW w:w="712" w:type="pct"/>
          </w:tcPr>
          <w:p w14:paraId="0891B846">
            <w:pPr>
              <w:rPr>
                <w:rFonts w:ascii="宋体" w:hAnsi="宋体" w:eastAsia="宋体" w:cs="Times New Roman"/>
                <w:szCs w:val="21"/>
              </w:rPr>
            </w:pPr>
          </w:p>
        </w:tc>
        <w:tc>
          <w:tcPr>
            <w:tcW w:w="712" w:type="pct"/>
          </w:tcPr>
          <w:p w14:paraId="5957169E">
            <w:pPr>
              <w:rPr>
                <w:rFonts w:ascii="宋体" w:hAnsi="宋体" w:eastAsia="宋体" w:cs="Times New Roman"/>
                <w:szCs w:val="21"/>
              </w:rPr>
            </w:pPr>
          </w:p>
        </w:tc>
      </w:tr>
      <w:tr w14:paraId="54FE9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E2B8506">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8</w:t>
            </w:r>
          </w:p>
        </w:tc>
        <w:tc>
          <w:tcPr>
            <w:tcW w:w="676" w:type="pct"/>
          </w:tcPr>
          <w:p w14:paraId="269AFD3D">
            <w:pPr>
              <w:rPr>
                <w:rFonts w:ascii="宋体" w:hAnsi="宋体" w:eastAsia="宋体" w:cs="Times New Roman"/>
                <w:szCs w:val="21"/>
              </w:rPr>
            </w:pPr>
          </w:p>
        </w:tc>
        <w:tc>
          <w:tcPr>
            <w:tcW w:w="850" w:type="pct"/>
          </w:tcPr>
          <w:p w14:paraId="22F1E0A2">
            <w:pPr>
              <w:rPr>
                <w:rFonts w:ascii="宋体" w:hAnsi="宋体" w:eastAsia="宋体" w:cs="Times New Roman"/>
                <w:szCs w:val="21"/>
              </w:rPr>
            </w:pPr>
          </w:p>
        </w:tc>
        <w:tc>
          <w:tcPr>
            <w:tcW w:w="896" w:type="pct"/>
          </w:tcPr>
          <w:p w14:paraId="344367AA">
            <w:pPr>
              <w:rPr>
                <w:rFonts w:ascii="宋体" w:hAnsi="宋体" w:eastAsia="宋体" w:cs="Times New Roman"/>
                <w:szCs w:val="21"/>
              </w:rPr>
            </w:pPr>
          </w:p>
        </w:tc>
        <w:tc>
          <w:tcPr>
            <w:tcW w:w="712" w:type="pct"/>
          </w:tcPr>
          <w:p w14:paraId="18ECC32C">
            <w:pPr>
              <w:rPr>
                <w:rFonts w:ascii="宋体" w:hAnsi="宋体" w:eastAsia="宋体" w:cs="Times New Roman"/>
                <w:szCs w:val="21"/>
              </w:rPr>
            </w:pPr>
          </w:p>
        </w:tc>
        <w:tc>
          <w:tcPr>
            <w:tcW w:w="712" w:type="pct"/>
          </w:tcPr>
          <w:p w14:paraId="4E081D5D">
            <w:pPr>
              <w:rPr>
                <w:rFonts w:ascii="宋体" w:hAnsi="宋体" w:eastAsia="宋体" w:cs="Times New Roman"/>
                <w:szCs w:val="21"/>
              </w:rPr>
            </w:pPr>
          </w:p>
        </w:tc>
        <w:tc>
          <w:tcPr>
            <w:tcW w:w="712" w:type="pct"/>
          </w:tcPr>
          <w:p w14:paraId="285B6356">
            <w:pPr>
              <w:rPr>
                <w:rFonts w:ascii="宋体" w:hAnsi="宋体" w:eastAsia="宋体" w:cs="Times New Roman"/>
                <w:szCs w:val="21"/>
              </w:rPr>
            </w:pPr>
          </w:p>
        </w:tc>
      </w:tr>
      <w:tr w14:paraId="0A605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463ECA1E">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9</w:t>
            </w:r>
          </w:p>
        </w:tc>
        <w:tc>
          <w:tcPr>
            <w:tcW w:w="676" w:type="pct"/>
          </w:tcPr>
          <w:p w14:paraId="71DCB5F0">
            <w:pPr>
              <w:rPr>
                <w:rFonts w:ascii="宋体" w:hAnsi="宋体" w:eastAsia="宋体" w:cs="Times New Roman"/>
                <w:szCs w:val="21"/>
              </w:rPr>
            </w:pPr>
          </w:p>
        </w:tc>
        <w:tc>
          <w:tcPr>
            <w:tcW w:w="850" w:type="pct"/>
          </w:tcPr>
          <w:p w14:paraId="3B3CBE9C">
            <w:pPr>
              <w:rPr>
                <w:rFonts w:ascii="宋体" w:hAnsi="宋体" w:eastAsia="宋体" w:cs="Times New Roman"/>
                <w:szCs w:val="21"/>
              </w:rPr>
            </w:pPr>
          </w:p>
        </w:tc>
        <w:tc>
          <w:tcPr>
            <w:tcW w:w="896" w:type="pct"/>
          </w:tcPr>
          <w:p w14:paraId="24693B6B">
            <w:pPr>
              <w:rPr>
                <w:rFonts w:ascii="宋体" w:hAnsi="宋体" w:eastAsia="宋体" w:cs="Times New Roman"/>
                <w:szCs w:val="21"/>
              </w:rPr>
            </w:pPr>
          </w:p>
        </w:tc>
        <w:tc>
          <w:tcPr>
            <w:tcW w:w="712" w:type="pct"/>
          </w:tcPr>
          <w:p w14:paraId="74193C0E">
            <w:pPr>
              <w:rPr>
                <w:rFonts w:ascii="宋体" w:hAnsi="宋体" w:eastAsia="宋体" w:cs="Times New Roman"/>
                <w:szCs w:val="21"/>
              </w:rPr>
            </w:pPr>
          </w:p>
        </w:tc>
        <w:tc>
          <w:tcPr>
            <w:tcW w:w="712" w:type="pct"/>
          </w:tcPr>
          <w:p w14:paraId="0721CA2B">
            <w:pPr>
              <w:rPr>
                <w:rFonts w:ascii="宋体" w:hAnsi="宋体" w:eastAsia="宋体" w:cs="Times New Roman"/>
                <w:szCs w:val="21"/>
              </w:rPr>
            </w:pPr>
          </w:p>
        </w:tc>
        <w:tc>
          <w:tcPr>
            <w:tcW w:w="712" w:type="pct"/>
          </w:tcPr>
          <w:p w14:paraId="36558872">
            <w:pPr>
              <w:rPr>
                <w:rFonts w:ascii="宋体" w:hAnsi="宋体" w:eastAsia="宋体" w:cs="Times New Roman"/>
                <w:szCs w:val="21"/>
              </w:rPr>
            </w:pPr>
          </w:p>
        </w:tc>
      </w:tr>
      <w:tr w14:paraId="3C005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2D538689">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w:t>
            </w:r>
          </w:p>
        </w:tc>
        <w:tc>
          <w:tcPr>
            <w:tcW w:w="676" w:type="pct"/>
          </w:tcPr>
          <w:p w14:paraId="785D0ABC">
            <w:pPr>
              <w:rPr>
                <w:rFonts w:ascii="宋体" w:hAnsi="宋体" w:eastAsia="宋体" w:cs="Times New Roman"/>
                <w:szCs w:val="21"/>
              </w:rPr>
            </w:pPr>
          </w:p>
        </w:tc>
        <w:tc>
          <w:tcPr>
            <w:tcW w:w="850" w:type="pct"/>
          </w:tcPr>
          <w:p w14:paraId="2471CDC0">
            <w:pPr>
              <w:rPr>
                <w:rFonts w:ascii="宋体" w:hAnsi="宋体" w:eastAsia="宋体" w:cs="Times New Roman"/>
                <w:szCs w:val="21"/>
              </w:rPr>
            </w:pPr>
          </w:p>
        </w:tc>
        <w:tc>
          <w:tcPr>
            <w:tcW w:w="896" w:type="pct"/>
          </w:tcPr>
          <w:p w14:paraId="3CEF178A">
            <w:pPr>
              <w:rPr>
                <w:rFonts w:ascii="宋体" w:hAnsi="宋体" w:eastAsia="宋体" w:cs="Times New Roman"/>
                <w:szCs w:val="21"/>
              </w:rPr>
            </w:pPr>
          </w:p>
        </w:tc>
        <w:tc>
          <w:tcPr>
            <w:tcW w:w="712" w:type="pct"/>
          </w:tcPr>
          <w:p w14:paraId="3B66EC57">
            <w:pPr>
              <w:rPr>
                <w:rFonts w:ascii="宋体" w:hAnsi="宋体" w:eastAsia="宋体" w:cs="Times New Roman"/>
                <w:szCs w:val="21"/>
              </w:rPr>
            </w:pPr>
          </w:p>
        </w:tc>
        <w:tc>
          <w:tcPr>
            <w:tcW w:w="712" w:type="pct"/>
          </w:tcPr>
          <w:p w14:paraId="76858BF6">
            <w:pPr>
              <w:rPr>
                <w:rFonts w:ascii="宋体" w:hAnsi="宋体" w:eastAsia="宋体" w:cs="Times New Roman"/>
                <w:szCs w:val="21"/>
              </w:rPr>
            </w:pPr>
          </w:p>
        </w:tc>
        <w:tc>
          <w:tcPr>
            <w:tcW w:w="712" w:type="pct"/>
          </w:tcPr>
          <w:p w14:paraId="7C574BB5">
            <w:pPr>
              <w:rPr>
                <w:rFonts w:ascii="宋体" w:hAnsi="宋体" w:eastAsia="宋体" w:cs="Times New Roman"/>
                <w:szCs w:val="21"/>
              </w:rPr>
            </w:pPr>
          </w:p>
        </w:tc>
      </w:tr>
    </w:tbl>
    <w:p w14:paraId="74D4B3EC">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说明：</w:t>
      </w:r>
    </w:p>
    <w:p w14:paraId="1F07507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1.“</w:t>
      </w:r>
      <w:r>
        <w:rPr>
          <w:rFonts w:hint="eastAsia" w:ascii="宋体" w:hAnsi="宋体" w:eastAsia="宋体" w:cs="Times New Roman"/>
          <w:kern w:val="0"/>
          <w:szCs w:val="21"/>
          <w:lang w:eastAsia="zh-Hans"/>
        </w:rPr>
        <w:t>招标</w:t>
      </w:r>
      <w:r>
        <w:rPr>
          <w:rFonts w:ascii="宋体" w:hAnsi="宋体" w:eastAsia="宋体" w:cs="Times New Roman"/>
          <w:kern w:val="0"/>
          <w:szCs w:val="21"/>
          <w:lang w:eastAsia="zh-Hans"/>
        </w:rPr>
        <w:t>文件规定的商务条件”项下填写的内容应与招标文件中采购需求的“商务要求”的内容保持一致。</w:t>
      </w:r>
    </w:p>
    <w:p w14:paraId="76A76050">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2.投标人应当如实填写上表“投标文件响应的具体内容”处内容，对采购文件规定的商务条件作出明确响应，并列明具体响应数值或内容，只注明符合、满足等无具体内容表述的，将视为未实质性满足招标文件要求。投标人需要说明的内容若需特殊表达，应先在本表中进行相应说明，再另页应答。</w:t>
      </w:r>
    </w:p>
    <w:p w14:paraId="0E26D0E8">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3.参数性质栏目按招标文件有标注的“</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号条款进行填写，打“</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号条款为实质性条款，若有任何一条负偏离或不满足则导致投标无效。打“▲</w:t>
      </w:r>
      <w:r>
        <w:rPr>
          <w:rFonts w:ascii="宋体" w:hAnsi="宋体" w:eastAsia="宋体" w:cs="Calibri"/>
          <w:kern w:val="0"/>
          <w:szCs w:val="21"/>
          <w:lang w:eastAsia="zh-Hans"/>
        </w:rPr>
        <w:t>”</w:t>
      </w:r>
      <w:r>
        <w:rPr>
          <w:rFonts w:ascii="宋体" w:hAnsi="宋体" w:eastAsia="宋体" w:cs="Times New Roman"/>
          <w:kern w:val="0"/>
          <w:szCs w:val="21"/>
          <w:lang w:eastAsia="zh-Hans"/>
        </w:rPr>
        <w:t>号条款为重要技术参数（如有），若有部分“▲</w:t>
      </w:r>
      <w:r>
        <w:rPr>
          <w:rFonts w:ascii="宋体" w:hAnsi="宋体" w:eastAsia="宋体" w:cs="Calibri"/>
          <w:kern w:val="0"/>
          <w:szCs w:val="21"/>
          <w:lang w:eastAsia="zh-Hans"/>
        </w:rPr>
        <w:t>”</w:t>
      </w:r>
      <w:r>
        <w:rPr>
          <w:rFonts w:ascii="宋体" w:hAnsi="宋体" w:eastAsia="宋体" w:cs="Times New Roman"/>
          <w:kern w:val="0"/>
          <w:szCs w:val="21"/>
          <w:lang w:eastAsia="zh-Hans"/>
        </w:rPr>
        <w:t>条款未响应或不满足，将根据评审要求影响其得分，但不作为无效投标条款。</w:t>
      </w:r>
    </w:p>
    <w:p w14:paraId="022900DE">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4.“是否偏离”项下应按下列规定填写：优于的，填写“正偏离”；符合的，填写“无偏离”；低于的，填写“负偏离”。</w:t>
      </w:r>
    </w:p>
    <w:p w14:paraId="7A12FB0B">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5.“备注”处可填写偏离情况的说明。</w:t>
      </w:r>
    </w:p>
    <w:p w14:paraId="7C2AD033">
      <w:pPr>
        <w:widowControl/>
        <w:spacing w:before="435" w:beforeLines="1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29B70F4B">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6ED281EA">
      <w:pPr>
        <w:pageBreakBefore/>
        <w:rPr>
          <w:rFonts w:ascii="Calibri" w:hAnsi="Calibri" w:eastAsia="宋体" w:cs="Times New Roman"/>
          <w:kern w:val="0"/>
          <w:sz w:val="20"/>
          <w:szCs w:val="20"/>
          <w:lang w:eastAsia="zh-Hans"/>
        </w:rPr>
      </w:pPr>
      <w:bookmarkStart w:id="72" w:name="_Toc169799802"/>
      <w:r>
        <w:rPr>
          <w:rFonts w:ascii="宋体" w:hAnsi="宋体" w:eastAsia="宋体"/>
          <w:b/>
          <w:bCs/>
          <w:sz w:val="24"/>
          <w:szCs w:val="28"/>
        </w:rPr>
        <w:t>格式</w:t>
      </w:r>
      <w:r>
        <w:rPr>
          <w:rFonts w:hint="eastAsia" w:ascii="宋体" w:hAnsi="宋体" w:eastAsia="宋体"/>
          <w:b/>
          <w:bCs/>
          <w:sz w:val="24"/>
          <w:szCs w:val="28"/>
        </w:rPr>
        <w:t>二十</w:t>
      </w:r>
      <w:r>
        <w:rPr>
          <w:rFonts w:ascii="宋体" w:hAnsi="宋体" w:eastAsia="宋体"/>
          <w:b/>
          <w:bCs/>
          <w:sz w:val="24"/>
          <w:szCs w:val="28"/>
        </w:rPr>
        <w:t>：</w:t>
      </w:r>
      <w:bookmarkEnd w:id="72"/>
    </w:p>
    <w:p w14:paraId="1CCEEDC3">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（以下格式文件由供应商根据需要选用）</w:t>
      </w:r>
    </w:p>
    <w:p w14:paraId="49842024">
      <w:pPr>
        <w:widowControl/>
        <w:spacing w:before="217" w:beforeLines="50" w:after="435" w:afterLines="10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各类证明材料</w:t>
      </w:r>
    </w:p>
    <w:p w14:paraId="6CD1D7C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1.招标文件要求提供的其他资料。</w:t>
      </w:r>
    </w:p>
    <w:p w14:paraId="49509B5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2.投标人认为需提供的其他资料。</w:t>
      </w:r>
    </w:p>
    <w:p w14:paraId="3463C6D9">
      <w:pPr>
        <w:widowControl/>
        <w:jc w:val="left"/>
        <w:rPr>
          <w:rFonts w:ascii="Calibri" w:hAnsi="Calibri" w:eastAsia="宋体" w:cs="Times New Roman"/>
          <w:kern w:val="0"/>
          <w:sz w:val="20"/>
          <w:szCs w:val="20"/>
          <w:lang w:eastAsia="zh-Hans"/>
        </w:rPr>
      </w:pPr>
    </w:p>
    <w:p w14:paraId="72D04ACC">
      <w:pPr>
        <w:pageBreakBefore/>
        <w:rPr>
          <w:rFonts w:ascii="Calibri" w:hAnsi="Calibri" w:eastAsia="宋体" w:cs="Times New Roman"/>
          <w:kern w:val="0"/>
          <w:sz w:val="20"/>
          <w:szCs w:val="20"/>
          <w:lang w:eastAsia="zh-Hans"/>
        </w:rPr>
      </w:pPr>
      <w:bookmarkStart w:id="73" w:name="_Toc169799803"/>
      <w:r>
        <w:rPr>
          <w:rFonts w:ascii="宋体" w:hAnsi="宋体" w:eastAsia="宋体"/>
          <w:b/>
          <w:bCs/>
          <w:sz w:val="24"/>
          <w:szCs w:val="28"/>
        </w:rPr>
        <w:t>格式二十</w:t>
      </w:r>
      <w:r>
        <w:rPr>
          <w:rFonts w:hint="eastAsia" w:ascii="宋体" w:hAnsi="宋体" w:eastAsia="宋体"/>
          <w:b/>
          <w:bCs/>
          <w:sz w:val="24"/>
          <w:szCs w:val="28"/>
        </w:rPr>
        <w:t>一</w:t>
      </w:r>
      <w:r>
        <w:rPr>
          <w:rFonts w:ascii="宋体" w:hAnsi="宋体" w:eastAsia="宋体"/>
          <w:b/>
          <w:bCs/>
          <w:sz w:val="24"/>
          <w:szCs w:val="28"/>
        </w:rPr>
        <w:t>：</w:t>
      </w:r>
      <w:bookmarkEnd w:id="73"/>
    </w:p>
    <w:p w14:paraId="3BD25764">
      <w:pPr>
        <w:widowControl/>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采购代理服务费支付承诺书</w:t>
      </w:r>
    </w:p>
    <w:p w14:paraId="0F6F64BB">
      <w:pPr>
        <w:widowControl/>
        <w:spacing w:before="217" w:beforeLines="50" w:after="217" w:afterLines="50"/>
        <w:jc w:val="left"/>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广东智汇城市招标采购有限公司</w:t>
      </w:r>
    </w:p>
    <w:p w14:paraId="3F7825C3">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如果我方在贵采购代理机构组织的</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u w:val="single"/>
          <w:lang w:eastAsia="zh-Hans"/>
        </w:rPr>
        <w:t>（采购项目名称）</w:t>
      </w:r>
      <w:r>
        <w:rPr>
          <w:rFonts w:hint="eastAsia" w:ascii="宋体" w:hAnsi="宋体" w:eastAsia="宋体" w:cs="Times New Roman"/>
          <w:kern w:val="0"/>
          <w:szCs w:val="21"/>
          <w:u w:val="single"/>
        </w:rPr>
        <w:t>、（项目编号：   ）</w:t>
      </w:r>
      <w:r>
        <w:rPr>
          <w:rFonts w:ascii="宋体" w:hAnsi="宋体" w:eastAsia="宋体" w:cs="Times New Roman"/>
          <w:kern w:val="0"/>
          <w:szCs w:val="21"/>
          <w:lang w:eastAsia="zh-Hans"/>
        </w:rPr>
        <w:t>招标中获中标，我方保证在收取《中标通知书》时，按招标文件对代理服务费支付方式的约定，承担本项目代理服务费。</w:t>
      </w:r>
    </w:p>
    <w:p w14:paraId="5AB907C8">
      <w:pPr>
        <w:widowControl/>
        <w:spacing w:before="217" w:beforeLines="50"/>
        <w:jc w:val="left"/>
        <w:rPr>
          <w:rFonts w:ascii="宋体" w:hAnsi="宋体" w:eastAsia="宋体" w:cs="Times New Roman"/>
          <w:kern w:val="0"/>
          <w:szCs w:val="21"/>
          <w:lang w:eastAsia="zh-Hans"/>
        </w:rPr>
      </w:pPr>
      <w:r>
        <w:rPr>
          <w:rFonts w:ascii="宋体" w:hAnsi="宋体" w:eastAsia="宋体" w:cs="Times New Roman"/>
          <w:kern w:val="0"/>
          <w:szCs w:val="21"/>
          <w:lang w:eastAsia="zh-Hans"/>
        </w:rPr>
        <w:t>特此承诺！</w:t>
      </w:r>
    </w:p>
    <w:p w14:paraId="076C58B4">
      <w:pPr>
        <w:widowControl/>
        <w:spacing w:before="1087" w:beforeLines="250"/>
        <w:ind w:firstLine="3542" w:firstLineChars="1687"/>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投标人名称（公章）</w:t>
      </w:r>
      <w:r>
        <w:rPr>
          <w:rFonts w:hint="eastAsia" w:ascii="宋体" w:hAnsi="宋体" w:eastAsia="宋体" w:cs="Times New Roman"/>
          <w:kern w:val="0"/>
          <w:szCs w:val="21"/>
          <w:lang w:eastAsia="zh-Hans"/>
        </w:rPr>
        <w:t>：</w:t>
      </w:r>
    </w:p>
    <w:p w14:paraId="6293AB15">
      <w:pPr>
        <w:widowControl/>
        <w:ind w:firstLine="3542" w:firstLineChars="1687"/>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投标人地址：</w:t>
      </w:r>
    </w:p>
    <w:p w14:paraId="56173F96">
      <w:pPr>
        <w:widowControl/>
        <w:ind w:firstLine="3542" w:firstLineChars="1687"/>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投标人授权代表（签字或盖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p>
    <w:p w14:paraId="54EF3A1A">
      <w:pPr>
        <w:widowControl/>
        <w:ind w:firstLine="3542" w:firstLineChars="1687"/>
        <w:jc w:val="left"/>
        <w:rPr>
          <w:rFonts w:ascii="宋体" w:hAnsi="宋体" w:eastAsia="宋体" w:cs="Times New Roman"/>
          <w:kern w:val="0"/>
          <w:szCs w:val="21"/>
        </w:rPr>
      </w:pPr>
      <w:r>
        <w:rPr>
          <w:rFonts w:ascii="宋体" w:hAnsi="宋体" w:eastAsia="宋体" w:cs="Times New Roman"/>
          <w:kern w:val="0"/>
          <w:szCs w:val="21"/>
          <w:lang w:eastAsia="zh-Hans"/>
        </w:rPr>
        <w:t>电 话：</w:t>
      </w:r>
    </w:p>
    <w:p w14:paraId="03190D92">
      <w:pPr>
        <w:widowControl/>
        <w:ind w:firstLine="3542" w:firstLineChars="1687"/>
        <w:jc w:val="left"/>
        <w:rPr>
          <w:rFonts w:ascii="Calibri" w:hAnsi="Calibri" w:eastAsia="宋体" w:cs="Times New Roman"/>
          <w:kern w:val="0"/>
          <w:sz w:val="20"/>
          <w:szCs w:val="20"/>
        </w:rPr>
      </w:pPr>
      <w:r>
        <w:rPr>
          <w:rFonts w:ascii="宋体" w:hAnsi="宋体" w:eastAsia="宋体" w:cs="Times New Roman"/>
          <w:kern w:val="0"/>
          <w:szCs w:val="21"/>
          <w:lang w:eastAsia="zh-Hans"/>
        </w:rPr>
        <w:t>承诺日期：</w:t>
      </w:r>
    </w:p>
    <w:p w14:paraId="7A1D1B5B">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 xml:space="preserve"> </w:t>
      </w:r>
    </w:p>
    <w:p w14:paraId="49AF5F61">
      <w:pPr>
        <w:pageBreakBefore/>
        <w:rPr>
          <w:rFonts w:ascii="Calibri" w:hAnsi="Calibri" w:eastAsia="宋体" w:cs="Times New Roman"/>
          <w:kern w:val="0"/>
          <w:sz w:val="20"/>
          <w:szCs w:val="20"/>
          <w:lang w:eastAsia="zh-Hans"/>
        </w:rPr>
      </w:pPr>
      <w:bookmarkStart w:id="74" w:name="_Toc169799804"/>
      <w:r>
        <w:rPr>
          <w:rFonts w:ascii="宋体" w:hAnsi="宋体" w:eastAsia="宋体"/>
          <w:b/>
          <w:bCs/>
          <w:sz w:val="24"/>
          <w:szCs w:val="28"/>
        </w:rPr>
        <w:t>格式二十二：</w:t>
      </w:r>
      <w:bookmarkEnd w:id="74"/>
    </w:p>
    <w:p w14:paraId="67EAE6AD">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（以下格式文件由供应商根据需要选用）</w:t>
      </w:r>
    </w:p>
    <w:p w14:paraId="39A05DE7">
      <w:pPr>
        <w:widowControl/>
        <w:spacing w:before="435" w:beforeLines="100"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询问函、质疑函、投诉书格式</w:t>
      </w:r>
    </w:p>
    <w:p w14:paraId="583F45B3">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说明：本部分格式为投标人提交询问函、质疑函、投诉函时使用，不属于投标文件格式的组成部分。</w:t>
      </w:r>
    </w:p>
    <w:p w14:paraId="0E61DB9E">
      <w:pPr>
        <w:widowControl/>
        <w:spacing w:before="435" w:beforeLines="100"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询问函</w:t>
      </w:r>
    </w:p>
    <w:p w14:paraId="5B32EBFA">
      <w:pPr>
        <w:widowControl/>
        <w:spacing w:after="217" w:afterLines="50"/>
        <w:jc w:val="left"/>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广东智汇城市招标采购有限公司</w:t>
      </w:r>
    </w:p>
    <w:p w14:paraId="5BAB6C7E">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我单位已获取招标文件并准备参与</w:t>
      </w:r>
      <w:r>
        <w:rPr>
          <w:rFonts w:ascii="宋体" w:hAnsi="宋体" w:eastAsia="宋体"/>
          <w:i/>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项目（项目编号</w:t>
      </w:r>
      <w:r>
        <w:rPr>
          <w:rFonts w:hint="eastAsia" w:ascii="宋体" w:hAnsi="宋体" w:eastAsia="宋体"/>
          <w:color w:val="000000" w:themeColor="text1"/>
          <w:szCs w:val="21"/>
          <w:u w:val="single"/>
          <w14:textFill>
            <w14:solidFill>
              <w14:schemeClr w14:val="tx1"/>
            </w14:solidFill>
          </w14:textFill>
        </w:rPr>
        <w:t>：</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）的投标（或报价）活动，现有以下几个内容（或条款）存在疑问（或无法理解），特提出询问。</w:t>
      </w:r>
    </w:p>
    <w:p w14:paraId="5A6DFEE1">
      <w:pPr>
        <w:widowControl/>
        <w:tabs>
          <w:tab w:val="center" w:pos="5019"/>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一、</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（事项一）</w:t>
      </w:r>
      <w:r>
        <w:rPr>
          <w:rFonts w:ascii="宋体" w:hAnsi="宋体" w:eastAsia="宋体"/>
          <w:color w:val="000000" w:themeColor="text1"/>
          <w:szCs w:val="21"/>
          <w14:textFill>
            <w14:solidFill>
              <w14:schemeClr w14:val="tx1"/>
            </w14:solidFill>
          </w14:textFill>
        </w:rPr>
        <w:tab/>
      </w:r>
    </w:p>
    <w:p w14:paraId="48D7E72A">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w:t>
      </w:r>
      <w:r>
        <w:rPr>
          <w:rFonts w:ascii="宋体" w:hAnsi="宋体" w:eastAsia="宋体"/>
          <w:color w:val="000000" w:themeColor="text1"/>
          <w:szCs w:val="21"/>
          <w14:textFill>
            <w14:solidFill>
              <w14:schemeClr w14:val="tx1"/>
            </w14:solidFill>
          </w14:textFill>
        </w:rPr>
        <w:t>1）</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（问题或条款内容）</w:t>
      </w:r>
    </w:p>
    <w:p w14:paraId="1DCBFF8A">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w:t>
      </w:r>
      <w:r>
        <w:rPr>
          <w:rFonts w:ascii="宋体" w:hAnsi="宋体" w:eastAsia="宋体"/>
          <w:color w:val="000000" w:themeColor="text1"/>
          <w:szCs w:val="21"/>
          <w14:textFill>
            <w14:solidFill>
              <w14:schemeClr w14:val="tx1"/>
            </w14:solidFill>
          </w14:textFill>
        </w:rPr>
        <w:t>2）</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（说明疑问或无法理解原因）</w:t>
      </w:r>
    </w:p>
    <w:p w14:paraId="36171D56">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w:t>
      </w:r>
      <w:r>
        <w:rPr>
          <w:rFonts w:ascii="宋体" w:hAnsi="宋体" w:eastAsia="宋体"/>
          <w:color w:val="000000" w:themeColor="text1"/>
          <w:szCs w:val="21"/>
          <w14:textFill>
            <w14:solidFill>
              <w14:schemeClr w14:val="tx1"/>
            </w14:solidFill>
          </w14:textFill>
        </w:rPr>
        <w:t>3）</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（建议）</w:t>
      </w:r>
    </w:p>
    <w:p w14:paraId="2FCD3BAB">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二、</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 xml:space="preserve"> （事项二）</w:t>
      </w:r>
    </w:p>
    <w:p w14:paraId="6F76D746">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w:t>
      </w:r>
    </w:p>
    <w:p w14:paraId="3D2D958F">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随附相关证明材料如下：（目录）。</w:t>
      </w:r>
    </w:p>
    <w:p w14:paraId="18CF75FA">
      <w:pPr>
        <w:widowControl/>
        <w:tabs>
          <w:tab w:val="left" w:pos="6300"/>
        </w:tabs>
        <w:adjustRightInd w:val="0"/>
        <w:spacing w:line="360" w:lineRule="auto"/>
        <w:ind w:firstLine="1260" w:firstLineChars="6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询问人：（公章）</w:t>
      </w:r>
    </w:p>
    <w:p w14:paraId="69EDC84B">
      <w:pPr>
        <w:widowControl/>
        <w:tabs>
          <w:tab w:val="left" w:pos="6300"/>
        </w:tabs>
        <w:adjustRightInd w:val="0"/>
        <w:spacing w:line="360" w:lineRule="auto"/>
        <w:ind w:firstLine="1260" w:firstLineChars="6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法定代表人（授权代表）：</w:t>
      </w:r>
    </w:p>
    <w:p w14:paraId="6229C23B">
      <w:pPr>
        <w:tabs>
          <w:tab w:val="left" w:pos="6300"/>
        </w:tabs>
        <w:adjustRightInd w:val="0"/>
        <w:spacing w:line="360" w:lineRule="auto"/>
        <w:ind w:firstLine="1260" w:firstLineChars="6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地址</w:t>
      </w:r>
      <w:r>
        <w:rPr>
          <w:rFonts w:ascii="宋体" w:hAnsi="宋体" w:eastAsia="宋体"/>
          <w:color w:val="000000" w:themeColor="text1"/>
          <w:szCs w:val="21"/>
          <w14:textFill>
            <w14:solidFill>
              <w14:schemeClr w14:val="tx1"/>
            </w14:solidFill>
          </w14:textFill>
        </w:rPr>
        <w:t>/邮编：</w:t>
      </w:r>
    </w:p>
    <w:p w14:paraId="770D3B3B">
      <w:pPr>
        <w:tabs>
          <w:tab w:val="left" w:pos="6300"/>
        </w:tabs>
        <w:adjustRightInd w:val="0"/>
        <w:spacing w:line="360" w:lineRule="auto"/>
        <w:ind w:firstLine="1260" w:firstLineChars="6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电话</w:t>
      </w:r>
      <w:r>
        <w:rPr>
          <w:rFonts w:ascii="宋体" w:hAnsi="宋体" w:eastAsia="宋体"/>
          <w:color w:val="000000" w:themeColor="text1"/>
          <w:szCs w:val="21"/>
          <w14:textFill>
            <w14:solidFill>
              <w14:schemeClr w14:val="tx1"/>
            </w14:solidFill>
          </w14:textFill>
        </w:rPr>
        <w:t>/传真：</w:t>
      </w:r>
    </w:p>
    <w:p w14:paraId="51A6328E">
      <w:pPr>
        <w:adjustRightInd w:val="0"/>
        <w:spacing w:before="435" w:beforeLines="100" w:line="360" w:lineRule="auto"/>
        <w:jc w:val="righ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年</w:t>
      </w:r>
      <w:r>
        <w:rPr>
          <w:rFonts w:ascii="宋体" w:hAnsi="宋体" w:eastAsia="宋体"/>
          <w:color w:val="000000" w:themeColor="text1"/>
          <w:szCs w:val="21"/>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月</w:t>
      </w:r>
      <w:r>
        <w:rPr>
          <w:rFonts w:ascii="宋体" w:hAnsi="宋体" w:eastAsia="宋体"/>
          <w:color w:val="000000" w:themeColor="text1"/>
          <w:szCs w:val="21"/>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日</w:t>
      </w:r>
    </w:p>
    <w:p w14:paraId="01286613">
      <w:pPr>
        <w:pageBreakBefore/>
        <w:spacing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质疑函</w:t>
      </w:r>
    </w:p>
    <w:p w14:paraId="05E0A0E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一、质疑供应商基本信息</w:t>
      </w:r>
    </w:p>
    <w:p w14:paraId="158961AA">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质疑供应商：</w:t>
      </w:r>
    </w:p>
    <w:p w14:paraId="5274680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56C7574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联系：</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11ADF3E7">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授权代表：</w:t>
      </w:r>
      <w:r>
        <w:rPr>
          <w:rFonts w:hint="eastAsia" w:ascii="宋体" w:hAnsi="宋体" w:eastAsia="宋体" w:cs="Times New Roman"/>
          <w:kern w:val="0"/>
          <w:szCs w:val="21"/>
          <w:u w:val="single"/>
        </w:rPr>
        <w:t xml:space="preserve">                        </w:t>
      </w:r>
    </w:p>
    <w:p w14:paraId="424B4A5D">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5D70AE52">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46DC662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二、质疑项目基本情况</w:t>
      </w:r>
    </w:p>
    <w:p w14:paraId="1047519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质疑项目的名称：</w:t>
      </w:r>
      <w:r>
        <w:rPr>
          <w:rFonts w:hint="eastAsia" w:ascii="宋体" w:hAnsi="宋体" w:eastAsia="宋体" w:cs="Times New Roman"/>
          <w:kern w:val="0"/>
          <w:szCs w:val="21"/>
          <w:u w:val="single"/>
        </w:rPr>
        <w:t xml:space="preserve">                                                        </w:t>
      </w:r>
    </w:p>
    <w:p w14:paraId="1B10DD0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质疑项目的编号：</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包号：</w:t>
      </w:r>
      <w:r>
        <w:rPr>
          <w:rFonts w:hint="eastAsia" w:ascii="宋体" w:hAnsi="宋体" w:eastAsia="宋体" w:cs="Times New Roman"/>
          <w:kern w:val="0"/>
          <w:szCs w:val="21"/>
          <w:u w:val="single"/>
        </w:rPr>
        <w:t xml:space="preserve">                       </w:t>
      </w:r>
    </w:p>
    <w:p w14:paraId="70FC159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采购人名称：</w:t>
      </w:r>
      <w:r>
        <w:rPr>
          <w:rFonts w:hint="eastAsia" w:ascii="宋体" w:hAnsi="宋体" w:eastAsia="宋体" w:cs="Times New Roman"/>
          <w:kern w:val="0"/>
          <w:szCs w:val="21"/>
          <w:u w:val="single"/>
        </w:rPr>
        <w:t xml:space="preserve">                                                            </w:t>
      </w:r>
    </w:p>
    <w:p w14:paraId="11D5C0C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采购文件获取日期：</w:t>
      </w:r>
      <w:r>
        <w:rPr>
          <w:rFonts w:hint="eastAsia" w:ascii="宋体" w:hAnsi="宋体" w:eastAsia="宋体" w:cs="Times New Roman"/>
          <w:kern w:val="0"/>
          <w:szCs w:val="21"/>
          <w:u w:val="single"/>
        </w:rPr>
        <w:t xml:space="preserve">                                                      </w:t>
      </w:r>
    </w:p>
    <w:p w14:paraId="5050D09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三、质疑事项具体内容</w:t>
      </w:r>
    </w:p>
    <w:p w14:paraId="475EB28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质疑事项1：</w:t>
      </w:r>
      <w:r>
        <w:rPr>
          <w:rFonts w:hint="eastAsia" w:ascii="宋体" w:hAnsi="宋体" w:eastAsia="宋体" w:cs="Times New Roman"/>
          <w:kern w:val="0"/>
          <w:szCs w:val="21"/>
          <w:u w:val="single"/>
        </w:rPr>
        <w:t xml:space="preserve">                                                             </w:t>
      </w:r>
    </w:p>
    <w:p w14:paraId="16F2D88E">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事实依据：</w:t>
      </w:r>
      <w:r>
        <w:rPr>
          <w:rFonts w:hint="eastAsia" w:ascii="宋体" w:hAnsi="宋体" w:eastAsia="宋体" w:cs="Times New Roman"/>
          <w:kern w:val="0"/>
          <w:szCs w:val="21"/>
          <w:u w:val="single"/>
        </w:rPr>
        <w:t xml:space="preserve">                                                               </w:t>
      </w:r>
    </w:p>
    <w:p w14:paraId="7D6A835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法律依据：</w:t>
      </w:r>
      <w:r>
        <w:rPr>
          <w:rFonts w:hint="eastAsia" w:ascii="宋体" w:hAnsi="宋体" w:eastAsia="宋体" w:cs="Times New Roman"/>
          <w:kern w:val="0"/>
          <w:szCs w:val="21"/>
          <w:u w:val="single"/>
        </w:rPr>
        <w:t xml:space="preserve">                                                               </w:t>
      </w:r>
    </w:p>
    <w:p w14:paraId="7A3CC26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质疑事项2：</w:t>
      </w:r>
      <w:r>
        <w:rPr>
          <w:rFonts w:hint="eastAsia" w:ascii="宋体" w:hAnsi="宋体" w:eastAsia="宋体" w:cs="Times New Roman"/>
          <w:kern w:val="0"/>
          <w:szCs w:val="21"/>
          <w:u w:val="single"/>
        </w:rPr>
        <w:t xml:space="preserve">                                                              </w:t>
      </w:r>
    </w:p>
    <w:p w14:paraId="07FB76CA">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w:t>
      </w:r>
    </w:p>
    <w:p w14:paraId="5508D6D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四、与质疑事项相关的质疑请求</w:t>
      </w:r>
    </w:p>
    <w:p w14:paraId="4F278798">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请求：</w:t>
      </w:r>
      <w:r>
        <w:rPr>
          <w:rFonts w:hint="eastAsia" w:ascii="宋体" w:hAnsi="宋体" w:eastAsia="宋体" w:cs="Times New Roman"/>
          <w:kern w:val="0"/>
          <w:szCs w:val="21"/>
          <w:u w:val="single"/>
        </w:rPr>
        <w:t xml:space="preserve">                                                                   </w:t>
      </w:r>
    </w:p>
    <w:p w14:paraId="3A89AB9C">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签字(签章)：</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 xml:space="preserve"> 公章：</w:t>
      </w:r>
      <w:r>
        <w:rPr>
          <w:rFonts w:hint="eastAsia" w:ascii="宋体" w:hAnsi="宋体" w:eastAsia="宋体" w:cs="Times New Roman"/>
          <w:kern w:val="0"/>
          <w:szCs w:val="21"/>
          <w:u w:val="single"/>
        </w:rPr>
        <w:t xml:space="preserve">                           </w:t>
      </w:r>
    </w:p>
    <w:p w14:paraId="4E894DE5">
      <w:pPr>
        <w:widowControl/>
        <w:spacing w:before="217" w:beforeLines="50"/>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日期： 年 月 日</w:t>
      </w:r>
    </w:p>
    <w:p w14:paraId="047E3C50">
      <w:pPr>
        <w:widowControl/>
        <w:spacing w:before="217" w:beforeLines="50"/>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质疑函制作说明：</w:t>
      </w:r>
    </w:p>
    <w:p w14:paraId="79DC6EA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1.供应商提出质疑时，应提交质疑函和必要的证明材料。</w:t>
      </w:r>
    </w:p>
    <w:p w14:paraId="188EC3B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37F7B18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3.质疑供应商若对项目的某一分包进行质疑，质疑函中应列明具体采购包号。</w:t>
      </w:r>
    </w:p>
    <w:p w14:paraId="346264A8">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4.质疑函的质疑事项应具体、明确，并有必要的事实依据和法律依据。</w:t>
      </w:r>
    </w:p>
    <w:p w14:paraId="3DBC47FD">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5.质疑函的质疑请求应与质疑事项相关。</w:t>
      </w:r>
    </w:p>
    <w:p w14:paraId="7B228F45">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6.质疑供应商为自然人的，质疑函应由本人签字；质疑供应商为法人或者其他组织的，质疑函应由法定代表人、主要负责人，或者其授权代表签字或者盖章，并加盖公章。</w:t>
      </w:r>
    </w:p>
    <w:p w14:paraId="4C8746EF">
      <w:pPr>
        <w:widowControl/>
        <w:spacing w:before="1087" w:beforeLines="250" w:after="435" w:afterLines="100"/>
        <w:jc w:val="center"/>
        <w:outlineLvl w:val="3"/>
        <w:rPr>
          <w:rFonts w:ascii="Calibri" w:hAnsi="Calibri" w:eastAsia="宋体" w:cs="Times New Roman"/>
          <w:kern w:val="0"/>
          <w:szCs w:val="21"/>
          <w:lang w:eastAsia="zh-Hans"/>
        </w:rPr>
      </w:pPr>
      <w:r>
        <w:rPr>
          <w:rFonts w:ascii="Calibri" w:hAnsi="Calibri" w:eastAsia="宋体" w:cs="Times New Roman"/>
          <w:b/>
          <w:kern w:val="0"/>
          <w:sz w:val="32"/>
          <w:lang w:eastAsia="zh-Hans"/>
        </w:rPr>
        <w:t>投诉书</w:t>
      </w:r>
    </w:p>
    <w:p w14:paraId="7CB916B6">
      <w:pPr>
        <w:widowControl/>
        <w:jc w:val="left"/>
        <w:rPr>
          <w:rFonts w:ascii="宋体" w:hAnsi="宋体" w:eastAsia="宋体" w:cs="Times New Roman"/>
          <w:kern w:val="0"/>
          <w:szCs w:val="21"/>
          <w:lang w:eastAsia="zh-Hans"/>
        </w:rPr>
      </w:pPr>
      <w:bookmarkStart w:id="75" w:name="_Hlk170136144"/>
      <w:r>
        <w:rPr>
          <w:rFonts w:ascii="宋体" w:hAnsi="宋体" w:eastAsia="宋体" w:cs="Times New Roman"/>
          <w:kern w:val="0"/>
          <w:szCs w:val="21"/>
          <w:lang w:eastAsia="zh-Hans"/>
        </w:rPr>
        <w:t>一、投诉相关主体基本情况</w:t>
      </w:r>
    </w:p>
    <w:p w14:paraId="63A946CA">
      <w:pPr>
        <w:widowControl/>
        <w:jc w:val="left"/>
        <w:rPr>
          <w:rFonts w:ascii="宋体" w:hAnsi="宋体" w:eastAsia="宋体" w:cs="Times New Roman"/>
          <w:kern w:val="0"/>
          <w:szCs w:val="21"/>
        </w:rPr>
      </w:pPr>
      <w:r>
        <w:rPr>
          <w:rFonts w:ascii="宋体" w:hAnsi="宋体" w:eastAsia="宋体" w:cs="Times New Roman"/>
          <w:kern w:val="0"/>
          <w:szCs w:val="21"/>
          <w:lang w:eastAsia="zh-Hans"/>
        </w:rPr>
        <w:t>投诉人：</w:t>
      </w:r>
      <w:r>
        <w:rPr>
          <w:rFonts w:hint="eastAsia" w:ascii="宋体" w:hAnsi="宋体" w:eastAsia="宋体" w:cs="Times New Roman"/>
          <w:kern w:val="0"/>
          <w:szCs w:val="21"/>
          <w:u w:val="single"/>
        </w:rPr>
        <w:t xml:space="preserve">                                                                      </w:t>
      </w:r>
    </w:p>
    <w:p w14:paraId="700DAB31">
      <w:pPr>
        <w:widowControl/>
        <w:jc w:val="left"/>
        <w:rPr>
          <w:rFonts w:ascii="宋体" w:hAnsi="宋体" w:eastAsia="宋体" w:cs="Times New Roman"/>
          <w:kern w:val="0"/>
          <w:szCs w:val="21"/>
        </w:rPr>
      </w:pPr>
      <w:r>
        <w:rPr>
          <w:rFonts w:ascii="宋体" w:hAnsi="宋体" w:eastAsia="宋体" w:cs="Times New Roman"/>
          <w:kern w:val="0"/>
          <w:szCs w:val="21"/>
          <w:lang w:eastAsia="zh-Hans"/>
        </w:rPr>
        <w:t>地 址：</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576D61A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法定代表人/主要负责人：</w:t>
      </w:r>
      <w:r>
        <w:rPr>
          <w:rFonts w:hint="eastAsia" w:ascii="宋体" w:hAnsi="宋体" w:eastAsia="宋体" w:cs="Times New Roman"/>
          <w:kern w:val="0"/>
          <w:szCs w:val="21"/>
          <w:u w:val="single"/>
        </w:rPr>
        <w:t xml:space="preserve">                                                       </w:t>
      </w:r>
    </w:p>
    <w:p w14:paraId="1A47F80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5603968F">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授权代表：</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62B3E09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 址：</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29BCB9C2">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被投诉人1：</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lang w:eastAsia="zh-Hans"/>
        </w:rPr>
        <w:t xml:space="preserve">     </w:t>
      </w:r>
    </w:p>
    <w:p w14:paraId="482F0F5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r>
        <w:rPr>
          <w:rFonts w:ascii="宋体" w:hAnsi="宋体" w:eastAsia="宋体" w:cs="Times New Roman"/>
          <w:kern w:val="0"/>
          <w:szCs w:val="21"/>
          <w:u w:val="single"/>
          <w:lang w:eastAsia="zh-Hans"/>
        </w:rPr>
        <w:t>_</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506C1123">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联系人：</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5CDA3CB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被投诉人2：</w:t>
      </w:r>
      <w:r>
        <w:rPr>
          <w:rFonts w:hint="eastAsia" w:ascii="宋体" w:hAnsi="宋体" w:eastAsia="宋体" w:cs="Times New Roman"/>
          <w:kern w:val="0"/>
          <w:szCs w:val="21"/>
          <w:u w:val="single"/>
        </w:rPr>
        <w:t xml:space="preserve">                                                                   </w:t>
      </w:r>
    </w:p>
    <w:p w14:paraId="3B57F98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w:t>
      </w:r>
    </w:p>
    <w:p w14:paraId="390C304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相关供应商：</w:t>
      </w:r>
      <w:r>
        <w:rPr>
          <w:rFonts w:hint="eastAsia" w:ascii="宋体" w:hAnsi="宋体" w:eastAsia="宋体" w:cs="Times New Roman"/>
          <w:kern w:val="0"/>
          <w:szCs w:val="21"/>
          <w:u w:val="single"/>
        </w:rPr>
        <w:t xml:space="preserve">                                                                   </w:t>
      </w:r>
    </w:p>
    <w:p w14:paraId="23A48F73">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7B1FF41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联系人：</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13E3CA82">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二、投诉项目基本情况</w:t>
      </w:r>
    </w:p>
    <w:p w14:paraId="24DCA0E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采购项目名称：</w:t>
      </w:r>
      <w:r>
        <w:rPr>
          <w:rFonts w:hint="eastAsia" w:ascii="宋体" w:hAnsi="宋体" w:eastAsia="宋体" w:cs="Times New Roman"/>
          <w:kern w:val="0"/>
          <w:szCs w:val="21"/>
          <w:u w:val="single"/>
        </w:rPr>
        <w:t xml:space="preserve">                                                                 </w:t>
      </w:r>
    </w:p>
    <w:p w14:paraId="3F14FF2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采购项目编号：</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包号：</w:t>
      </w:r>
      <w:r>
        <w:rPr>
          <w:rFonts w:hint="eastAsia" w:ascii="宋体" w:hAnsi="宋体" w:eastAsia="宋体" w:cs="Times New Roman"/>
          <w:kern w:val="0"/>
          <w:szCs w:val="21"/>
          <w:u w:val="single"/>
        </w:rPr>
        <w:t xml:space="preserve">                          </w:t>
      </w:r>
    </w:p>
    <w:p w14:paraId="238C669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采购人名称：</w:t>
      </w:r>
      <w:r>
        <w:rPr>
          <w:rFonts w:hint="eastAsia" w:ascii="宋体" w:hAnsi="宋体" w:eastAsia="宋体" w:cs="Times New Roman"/>
          <w:kern w:val="0"/>
          <w:szCs w:val="21"/>
          <w:u w:val="single"/>
        </w:rPr>
        <w:t xml:space="preserve">                                                                   </w:t>
      </w:r>
    </w:p>
    <w:p w14:paraId="25840424">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代理机构名称：</w:t>
      </w:r>
      <w:r>
        <w:rPr>
          <w:rFonts w:hint="eastAsia" w:ascii="宋体" w:hAnsi="宋体" w:eastAsia="宋体" w:cs="Times New Roman"/>
          <w:kern w:val="0"/>
          <w:szCs w:val="21"/>
          <w:u w:val="single"/>
        </w:rPr>
        <w:t xml:space="preserve">                                                                 </w:t>
      </w:r>
    </w:p>
    <w:p w14:paraId="5ED4955A">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采购文件公告:</w:t>
      </w:r>
      <w:r>
        <w:rPr>
          <w:rFonts w:ascii="宋体" w:hAnsi="宋体" w:eastAsia="宋体" w:cs="Times New Roman"/>
          <w:kern w:val="0"/>
          <w:szCs w:val="21"/>
          <w:u w:val="single"/>
          <w:lang w:eastAsia="zh-Hans"/>
        </w:rPr>
        <w:t>是/否</w:t>
      </w:r>
      <w:r>
        <w:rPr>
          <w:rFonts w:ascii="宋体" w:hAnsi="宋体" w:eastAsia="宋体" w:cs="Times New Roman"/>
          <w:kern w:val="0"/>
          <w:szCs w:val="21"/>
          <w:lang w:eastAsia="zh-Hans"/>
        </w:rPr>
        <w:t xml:space="preserve"> 公告期限：</w:t>
      </w:r>
      <w:r>
        <w:rPr>
          <w:rFonts w:hint="eastAsia" w:ascii="宋体" w:hAnsi="宋体" w:eastAsia="宋体" w:cs="Times New Roman"/>
          <w:kern w:val="0"/>
          <w:szCs w:val="21"/>
          <w:u w:val="single"/>
        </w:rPr>
        <w:t xml:space="preserve">                                                   </w:t>
      </w:r>
    </w:p>
    <w:p w14:paraId="56E61E86">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采购结果公告:</w:t>
      </w:r>
      <w:r>
        <w:rPr>
          <w:rFonts w:ascii="宋体" w:hAnsi="宋体" w:eastAsia="宋体" w:cs="Times New Roman"/>
          <w:kern w:val="0"/>
          <w:szCs w:val="21"/>
          <w:u w:val="single"/>
          <w:lang w:eastAsia="zh-Hans"/>
        </w:rPr>
        <w:t>是/否</w:t>
      </w:r>
      <w:r>
        <w:rPr>
          <w:rFonts w:ascii="宋体" w:hAnsi="宋体" w:eastAsia="宋体" w:cs="Times New Roman"/>
          <w:kern w:val="0"/>
          <w:szCs w:val="21"/>
          <w:lang w:eastAsia="zh-Hans"/>
        </w:rPr>
        <w:t xml:space="preserve"> 公告期限：</w:t>
      </w:r>
      <w:r>
        <w:rPr>
          <w:rFonts w:hint="eastAsia" w:ascii="宋体" w:hAnsi="宋体" w:eastAsia="宋体" w:cs="Times New Roman"/>
          <w:kern w:val="0"/>
          <w:szCs w:val="21"/>
          <w:u w:val="single"/>
        </w:rPr>
        <w:t xml:space="preserve">                                                   </w:t>
      </w:r>
    </w:p>
    <w:p w14:paraId="71F58B2F">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三、质疑基本情况</w:t>
      </w:r>
    </w:p>
    <w:p w14:paraId="73E97F8F">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投诉人于 ____年____月____日,向提出质疑，质疑事项为：</w:t>
      </w:r>
      <w:r>
        <w:rPr>
          <w:rFonts w:hint="eastAsia" w:ascii="宋体" w:hAnsi="宋体" w:eastAsia="宋体" w:cs="Times New Roman"/>
          <w:kern w:val="0"/>
          <w:szCs w:val="21"/>
          <w:u w:val="single"/>
        </w:rPr>
        <w:t xml:space="preserve">                            </w:t>
      </w:r>
    </w:p>
    <w:p w14:paraId="5FCF89F5">
      <w:pPr>
        <w:widowControl/>
        <w:jc w:val="left"/>
        <w:rPr>
          <w:rFonts w:ascii="宋体" w:hAnsi="宋体" w:eastAsia="宋体" w:cs="Times New Roman"/>
          <w:kern w:val="0"/>
          <w:szCs w:val="21"/>
          <w:lang w:eastAsia="zh-Hans"/>
        </w:rPr>
      </w:pPr>
      <w:r>
        <w:rPr>
          <w:rFonts w:ascii="宋体" w:hAnsi="宋体" w:eastAsia="宋体" w:cs="Times New Roman"/>
          <w:kern w:val="0"/>
          <w:szCs w:val="21"/>
          <w:u w:val="single"/>
          <w:lang w:eastAsia="zh-Hans"/>
        </w:rPr>
        <w:t>采购人/代理机构</w:t>
      </w:r>
      <w:r>
        <w:rPr>
          <w:rFonts w:ascii="宋体" w:hAnsi="宋体" w:eastAsia="宋体" w:cs="Times New Roman"/>
          <w:kern w:val="0"/>
          <w:szCs w:val="21"/>
          <w:lang w:eastAsia="zh-Hans"/>
        </w:rPr>
        <w:t>于____年____月____日,就质疑事项作出了答复/没有在法定期限内作出答复。</w:t>
      </w:r>
    </w:p>
    <w:p w14:paraId="37EC635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四、投诉事项具体内容</w:t>
      </w:r>
    </w:p>
    <w:p w14:paraId="02AB79DE">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投诉事项1：</w:t>
      </w:r>
      <w:r>
        <w:rPr>
          <w:rFonts w:hint="eastAsia" w:ascii="宋体" w:hAnsi="宋体" w:eastAsia="宋体" w:cs="Times New Roman"/>
          <w:kern w:val="0"/>
          <w:szCs w:val="21"/>
          <w:u w:val="single"/>
        </w:rPr>
        <w:t xml:space="preserve">                                                                    </w:t>
      </w:r>
    </w:p>
    <w:p w14:paraId="076EDFCA">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事实依据：</w:t>
      </w:r>
      <w:r>
        <w:rPr>
          <w:rFonts w:hint="eastAsia" w:ascii="宋体" w:hAnsi="宋体" w:eastAsia="宋体" w:cs="Times New Roman"/>
          <w:kern w:val="0"/>
          <w:szCs w:val="21"/>
          <w:u w:val="single"/>
        </w:rPr>
        <w:t xml:space="preserve">                                                                     </w:t>
      </w:r>
    </w:p>
    <w:p w14:paraId="438C0D52">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法律依据：</w:t>
      </w:r>
      <w:r>
        <w:rPr>
          <w:rFonts w:hint="eastAsia" w:ascii="宋体" w:hAnsi="宋体" w:eastAsia="宋体" w:cs="Times New Roman"/>
          <w:kern w:val="0"/>
          <w:szCs w:val="21"/>
          <w:u w:val="single"/>
        </w:rPr>
        <w:t xml:space="preserve">                                                                     </w:t>
      </w:r>
    </w:p>
    <w:p w14:paraId="6EE7D17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投诉事项2：</w:t>
      </w:r>
      <w:r>
        <w:rPr>
          <w:rFonts w:hint="eastAsia" w:ascii="宋体" w:hAnsi="宋体" w:eastAsia="宋体" w:cs="Times New Roman"/>
          <w:kern w:val="0"/>
          <w:szCs w:val="21"/>
          <w:u w:val="single"/>
        </w:rPr>
        <w:t xml:space="preserve">                                                                    </w:t>
      </w:r>
    </w:p>
    <w:p w14:paraId="4E5B356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w:t>
      </w:r>
    </w:p>
    <w:p w14:paraId="1C1D217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五、与投诉事项相关的投诉请求</w:t>
      </w:r>
    </w:p>
    <w:p w14:paraId="249992A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请求：</w:t>
      </w:r>
      <w:r>
        <w:rPr>
          <w:rFonts w:hint="eastAsia" w:ascii="宋体" w:hAnsi="宋体" w:eastAsia="宋体" w:cs="Times New Roman"/>
          <w:kern w:val="0"/>
          <w:szCs w:val="21"/>
          <w:u w:val="single"/>
        </w:rPr>
        <w:t xml:space="preserve">                                                                          </w:t>
      </w:r>
    </w:p>
    <w:p w14:paraId="329C8C0E">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签字(签章)： </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公章</w:t>
      </w:r>
      <w:r>
        <w:rPr>
          <w:rFonts w:hint="eastAsia" w:ascii="宋体" w:hAnsi="宋体" w:eastAsia="宋体" w:cs="Times New Roman"/>
          <w:kern w:val="0"/>
          <w:szCs w:val="21"/>
          <w:u w:val="single"/>
        </w:rPr>
        <w:t xml:space="preserve">                                      </w:t>
      </w:r>
    </w:p>
    <w:p w14:paraId="3AB5B813">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日期：____年____月____日</w:t>
      </w:r>
    </w:p>
    <w:p w14:paraId="6863733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投诉书制作说明：</w:t>
      </w:r>
    </w:p>
    <w:p w14:paraId="4A47D54E">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1.投诉人提起投诉时，应当提交投诉书和必要的证明材料，并按照被投诉人和与投诉事项有关的供应商数量提供投诉书副本。</w:t>
      </w:r>
    </w:p>
    <w:p w14:paraId="40CEE063">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5B8301A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3.投诉人若对项目的某一分包进行投诉，投诉书应列明具体分包号。</w:t>
      </w:r>
    </w:p>
    <w:p w14:paraId="4BE2DBF3">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4.投诉书应简要列明质疑事项，质疑函、质疑答复等作为附件材料提供。</w:t>
      </w:r>
    </w:p>
    <w:p w14:paraId="591CDE48">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5.投诉书的投诉事项应具体、明确，并有必要的事实依据和法律依据。</w:t>
      </w:r>
    </w:p>
    <w:p w14:paraId="4388444D">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6.投诉书的投诉请求应与投诉事项相关。</w:t>
      </w:r>
    </w:p>
    <w:p w14:paraId="5DB11723">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7.投诉人为自然人的，投诉书应当由本人签字；投诉人为法人或者其他组织的，投诉书应当由法定代表人、主要负责人，或者其授权代表签字或者盖章，并加盖公章。</w:t>
      </w:r>
    </w:p>
    <w:bookmarkEnd w:id="75"/>
    <w:p w14:paraId="6DD17965">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 xml:space="preserve">  </w:t>
      </w:r>
    </w:p>
    <w:p w14:paraId="04D5DD31">
      <w:pPr>
        <w:widowControl/>
        <w:jc w:val="left"/>
        <w:rPr>
          <w:rFonts w:ascii="Calibri" w:hAnsi="Calibri" w:eastAsia="宋体" w:cs="Times New Roman"/>
          <w:kern w:val="0"/>
          <w:sz w:val="20"/>
          <w:szCs w:val="20"/>
          <w:lang w:eastAsia="zh-Hans"/>
        </w:rPr>
      </w:pPr>
    </w:p>
    <w:p w14:paraId="1B936669">
      <w:pPr>
        <w:widowControl/>
        <w:jc w:val="left"/>
        <w:rPr>
          <w:rFonts w:ascii="Calibri" w:hAnsi="Calibri" w:eastAsia="宋体" w:cs="Times New Roman"/>
          <w:kern w:val="0"/>
          <w:sz w:val="20"/>
          <w:szCs w:val="20"/>
          <w:lang w:eastAsia="zh-Hans"/>
        </w:rPr>
      </w:pPr>
    </w:p>
    <w:p w14:paraId="00CC9A2C">
      <w:pPr>
        <w:pageBreakBefore/>
        <w:rPr>
          <w:rFonts w:ascii="Calibri" w:hAnsi="Calibri" w:eastAsia="宋体" w:cs="Times New Roman"/>
          <w:kern w:val="0"/>
          <w:sz w:val="20"/>
          <w:szCs w:val="20"/>
          <w:lang w:eastAsia="zh-Hans"/>
        </w:rPr>
      </w:pPr>
      <w:bookmarkStart w:id="76" w:name="_Toc169799805"/>
      <w:r>
        <w:rPr>
          <w:rFonts w:ascii="宋体" w:hAnsi="宋体" w:eastAsia="宋体"/>
          <w:b/>
          <w:bCs/>
          <w:sz w:val="24"/>
          <w:szCs w:val="28"/>
        </w:rPr>
        <w:t>格式二十</w:t>
      </w:r>
      <w:r>
        <w:rPr>
          <w:rFonts w:hint="eastAsia" w:ascii="宋体" w:hAnsi="宋体" w:eastAsia="宋体"/>
          <w:b/>
          <w:bCs/>
          <w:sz w:val="24"/>
          <w:szCs w:val="28"/>
        </w:rPr>
        <w:t>三</w:t>
      </w:r>
      <w:r>
        <w:rPr>
          <w:rFonts w:ascii="宋体" w:hAnsi="宋体" w:eastAsia="宋体"/>
          <w:b/>
          <w:bCs/>
          <w:sz w:val="24"/>
          <w:szCs w:val="28"/>
        </w:rPr>
        <w:t>：</w:t>
      </w:r>
      <w:bookmarkEnd w:id="76"/>
    </w:p>
    <w:p w14:paraId="44433D29">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附件（以下格式文件由供应商根据需要选用）</w:t>
      </w:r>
    </w:p>
    <w:p w14:paraId="4879B51C">
      <w:pPr>
        <w:spacing w:before="435" w:beforeLines="100"/>
        <w:jc w:val="center"/>
        <w:rPr>
          <w:rFonts w:ascii="宋体" w:hAnsi="宋体" w:eastAsia="宋体"/>
          <w:b/>
          <w:color w:val="000000" w:themeColor="text1"/>
          <w:spacing w:val="20"/>
          <w:sz w:val="28"/>
          <w:szCs w:val="28"/>
          <w14:textFill>
            <w14:solidFill>
              <w14:schemeClr w14:val="tx1"/>
            </w14:solidFill>
          </w14:textFill>
        </w:rPr>
      </w:pPr>
      <w:r>
        <w:rPr>
          <w:rFonts w:hint="eastAsia" w:ascii="宋体" w:hAnsi="宋体" w:eastAsia="宋体"/>
          <w:b/>
          <w:color w:val="000000" w:themeColor="text1"/>
          <w:spacing w:val="20"/>
          <w:sz w:val="32"/>
          <w:szCs w:val="32"/>
          <w14:textFill>
            <w14:solidFill>
              <w14:schemeClr w14:val="tx1"/>
            </w14:solidFill>
          </w14:textFill>
        </w:rPr>
        <w:t>投标担保函</w:t>
      </w:r>
    </w:p>
    <w:p w14:paraId="0025CB71">
      <w:pPr>
        <w:ind w:firstLine="6261" w:firstLineChars="2970"/>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编号：</w:t>
      </w:r>
    </w:p>
    <w:p w14:paraId="44FA607A">
      <w:pPr>
        <w:rPr>
          <w:rFonts w:ascii="宋体" w:hAnsi="宋体" w:eastAsia="宋体"/>
          <w:color w:val="000000" w:themeColor="text1"/>
          <w:szCs w:val="21"/>
          <w:u w:val="single"/>
          <w14:textFill>
            <w14:solidFill>
              <w14:schemeClr w14:val="tx1"/>
            </w14:solidFill>
          </w14:textFill>
        </w:rPr>
      </w:pP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(采购人或采购代理机构)：</w:t>
      </w:r>
    </w:p>
    <w:p w14:paraId="54540B87">
      <w:pPr>
        <w:ind w:firstLine="420" w:firstLineChars="200"/>
        <w:rPr>
          <w:rFonts w:ascii="宋体" w:hAnsi="宋体" w:eastAsia="宋体"/>
          <w:color w:val="000000" w:themeColor="text1"/>
          <w:szCs w:val="21"/>
          <w:u w:val="single"/>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鉴于</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(以下简称“投标人”)拟参加编号为</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的</w:t>
      </w:r>
      <w:r>
        <w:rPr>
          <w:rFonts w:hint="eastAsia" w:ascii="宋体" w:hAnsi="宋体" w:eastAsia="宋体"/>
          <w:color w:val="000000" w:themeColor="text1"/>
          <w:szCs w:val="21"/>
          <w:u w:val="single"/>
          <w14:textFill>
            <w14:solidFill>
              <w14:schemeClr w14:val="tx1"/>
            </w14:solidFill>
          </w14:textFill>
        </w:rPr>
        <w:t xml:space="preserve">      </w:t>
      </w:r>
    </w:p>
    <w:p w14:paraId="374B0ECA">
      <w:pPr>
        <w:ind w:firstLine="420" w:firstLineChars="200"/>
        <w:rPr>
          <w:rFonts w:ascii="宋体" w:hAnsi="宋体" w:eastAsia="宋体"/>
          <w:color w:val="000000" w:themeColor="text1"/>
          <w:szCs w:val="21"/>
          <w:u w:val="single"/>
          <w14:textFill>
            <w14:solidFill>
              <w14:schemeClr w14:val="tx1"/>
            </w14:solidFill>
          </w14:textFill>
        </w:rPr>
      </w:pP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 xml:space="preserve"> 项目(以下简称“本项目”)投标，根据本项目招标文件，供应商参加投标时应向你方交纳投标保证金,且可以投标担保函的形式交纳投标保证金。应供应商的申请，我方以保证的方式向你方提供如下投标保证金担保：</w:t>
      </w:r>
    </w:p>
    <w:p w14:paraId="55831F91">
      <w:pP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一、保证责任的情形及保证金额</w:t>
      </w:r>
    </w:p>
    <w:p w14:paraId="225EE2C2">
      <w:pPr>
        <w:tabs>
          <w:tab w:val="left" w:pos="284"/>
        </w:tabs>
        <w:ind w:left="283" w:leftChars="135"/>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(一)在投标人出现下列情形之一时,，我方承担保证责任：</w:t>
      </w:r>
    </w:p>
    <w:p w14:paraId="2D2DE13A">
      <w:pPr>
        <w:tabs>
          <w:tab w:val="left" w:pos="284"/>
        </w:tabs>
        <w:ind w:left="283" w:leftChars="135"/>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1.中标后投标人无正当理由不与采购人或者采购代理机构签订《采购合同》；</w:t>
      </w:r>
    </w:p>
    <w:p w14:paraId="5426431D">
      <w:pPr>
        <w:tabs>
          <w:tab w:val="left" w:pos="284"/>
        </w:tabs>
        <w:ind w:left="283" w:leftChars="135"/>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2.招标文件规定的投标人应当缴纳保证金的其他情形。</w:t>
      </w:r>
    </w:p>
    <w:p w14:paraId="5AE98F98">
      <w:pPr>
        <w:tabs>
          <w:tab w:val="left" w:pos="284"/>
        </w:tabs>
        <w:ind w:left="283" w:leftChars="135"/>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(二)我方承担保证责任的最高金额为人民币</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元(大写：</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 xml:space="preserve"> )；即本项目的投标保证金金额。</w:t>
      </w:r>
    </w:p>
    <w:p w14:paraId="4D368ED0">
      <w:pP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二、保证的方式及保证期间</w:t>
      </w:r>
    </w:p>
    <w:p w14:paraId="41119E2D">
      <w:pPr>
        <w:tabs>
          <w:tab w:val="left" w:pos="142"/>
          <w:tab w:val="left" w:pos="284"/>
        </w:tabs>
        <w:ind w:left="283" w:leftChars="135"/>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我方保证的方式为：连带责任保证。</w:t>
      </w:r>
    </w:p>
    <w:p w14:paraId="5BEDEB4E">
      <w:pPr>
        <w:ind w:left="283" w:leftChars="135"/>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我方的保证期间为：自本保函生效之日起</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个月止。</w:t>
      </w:r>
    </w:p>
    <w:p w14:paraId="5168E9B3">
      <w:pP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三、承担保证责任的程序</w:t>
      </w:r>
    </w:p>
    <w:p w14:paraId="40DA541D">
      <w:pPr>
        <w:ind w:left="281" w:leftChars="134"/>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1.你方要求我方承担保证责任的，应在本保函保证期间内向我方发出书面索赔通知,索赔通知应写明要求索赔的金额，支付款项应到达的账号。并附有证明投标人发生我方应承担保证责任情形的事实材料。</w:t>
      </w:r>
    </w:p>
    <w:p w14:paraId="12D9BF72">
      <w:pPr>
        <w:ind w:left="281" w:leftChars="134"/>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2.我方在收到索赔通知及相关证明材料后，在</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个工作日内进行审查，符合应承担保证责任情形的，我方应按照你方的要求代投标人向你方支付投标保证金。</w:t>
      </w:r>
    </w:p>
    <w:p w14:paraId="469222E6">
      <w:pP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四、保证责任的终止</w:t>
      </w:r>
    </w:p>
    <w:p w14:paraId="6F51AB04">
      <w:pPr>
        <w:ind w:left="283" w:leftChars="135"/>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1.保证期间届满你方未向我方书面主张保证责任的，自保证期间届满次日起，我方保证责任自动终止。</w:t>
      </w:r>
    </w:p>
    <w:p w14:paraId="2B1AB403">
      <w:pPr>
        <w:ind w:left="283" w:leftChars="135"/>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2.我方按照本保函向你贵方履行了保证责任后，自我方向你贵方支付款项(支付款项从我方账户划出)之日起,保证责任终止。</w:t>
      </w:r>
    </w:p>
    <w:p w14:paraId="3A789ECC">
      <w:pPr>
        <w:ind w:left="283" w:leftChars="135"/>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3.按照法律法规的规定或出现我方保证责任终止的其它情形的，我方在本保函项下的保证责任亦终止。</w:t>
      </w:r>
    </w:p>
    <w:p w14:paraId="4070CB6E">
      <w:pP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五、免责条款</w:t>
      </w:r>
    </w:p>
    <w:p w14:paraId="42391433">
      <w:pPr>
        <w:ind w:left="283" w:leftChars="135"/>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1.依照法律规定或你方与投标人的另行约定，全部或者部分免除投标人投标保证金义务时，我方亦免除相应的保证责任。</w:t>
      </w:r>
    </w:p>
    <w:p w14:paraId="22C8CF2E">
      <w:pPr>
        <w:ind w:left="283" w:leftChars="135"/>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2.因你方原因致使投标人发生本保函第一条第（一）款约定情形的，我方不承担保证责任。</w:t>
      </w:r>
    </w:p>
    <w:p w14:paraId="0CC0EBB6">
      <w:pPr>
        <w:ind w:left="283" w:leftChars="135"/>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3.因不可抗力造成投标人发生本保函第一条约定情形的，我方不承担保证责任。</w:t>
      </w:r>
    </w:p>
    <w:p w14:paraId="601F49FB">
      <w:pPr>
        <w:ind w:left="283" w:leftChars="135"/>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4.你方或其他有权机关对招标文件进行任何澄清或修改，加重我方保证责任的，我方对加重部分不承担保证责任，但该澄清或修改经我方事先书面同意的除外。</w:t>
      </w:r>
    </w:p>
    <w:p w14:paraId="2B660A1C">
      <w:pP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六、争议的解决</w:t>
      </w:r>
    </w:p>
    <w:p w14:paraId="049EAB8B">
      <w:pPr>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因本保函发生的纠纷，由你我双方协商解决，协商不成的，通过诉讼程序解决,诉讼管辖地法院为</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法院。</w:t>
      </w:r>
    </w:p>
    <w:p w14:paraId="56279F07">
      <w:pP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七、保函的生效</w:t>
      </w:r>
    </w:p>
    <w:p w14:paraId="490CBDD6">
      <w:pPr>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本保函自我方加盖公章之日起生效。</w:t>
      </w:r>
    </w:p>
    <w:p w14:paraId="08DBA2F9">
      <w:pPr>
        <w:spacing w:before="435" w:beforeLines="100"/>
        <w:jc w:val="righ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保证人：(公章)</w:t>
      </w:r>
    </w:p>
    <w:p w14:paraId="6D07D0F8">
      <w:pPr>
        <w:jc w:val="righ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年   月   日</w:t>
      </w:r>
    </w:p>
    <w:p w14:paraId="5FE8A1DE">
      <w:pPr>
        <w:rPr>
          <w:rFonts w:ascii="宋体" w:hAnsi="宋体" w:eastAsia="宋体"/>
          <w:color w:val="000000" w:themeColor="text1"/>
          <w:szCs w:val="21"/>
          <w14:textFill>
            <w14:solidFill>
              <w14:schemeClr w14:val="tx1"/>
            </w14:solidFill>
          </w14:textFill>
        </w:rPr>
      </w:pPr>
    </w:p>
    <w:p w14:paraId="7A96B183">
      <w:pPr>
        <w:pageBreakBefore/>
        <w:spacing w:before="435" w:beforeLines="100" w:after="435" w:afterLines="100" w:line="360" w:lineRule="auto"/>
        <w:jc w:val="center"/>
        <w:rPr>
          <w:rFonts w:ascii="宋体" w:hAnsi="宋体" w:eastAsia="宋体"/>
          <w:b/>
          <w:color w:val="000000" w:themeColor="text1"/>
          <w:spacing w:val="20"/>
          <w:sz w:val="30"/>
          <w:szCs w:val="30"/>
          <w14:textFill>
            <w14:solidFill>
              <w14:schemeClr w14:val="tx1"/>
            </w14:solidFill>
          </w14:textFill>
        </w:rPr>
      </w:pPr>
      <w:r>
        <w:rPr>
          <w:rFonts w:hint="eastAsia" w:ascii="宋体" w:hAnsi="宋体" w:eastAsia="宋体"/>
          <w:b/>
          <w:color w:val="000000" w:themeColor="text1"/>
          <w:spacing w:val="20"/>
          <w:sz w:val="32"/>
          <w:szCs w:val="32"/>
          <w14:textFill>
            <w14:solidFill>
              <w14:schemeClr w14:val="tx1"/>
            </w14:solidFill>
          </w14:textFill>
        </w:rPr>
        <w:t>履约担保</w:t>
      </w:r>
    </w:p>
    <w:p w14:paraId="0224F610">
      <w:pPr>
        <w:ind w:firstLine="6261" w:firstLineChars="2970"/>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编号：</w:t>
      </w:r>
    </w:p>
    <w:p w14:paraId="5F0086DF">
      <w:pP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(采购人)：</w:t>
      </w:r>
    </w:p>
    <w:p w14:paraId="324308A9">
      <w:pPr>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鉴于你方与</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（以下简称供应商）于</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年</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月</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日 自签定编号为</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的《</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采购合同》 (以下简称主合同)，且依据该合同的约定，供应商应在</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年</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月</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日前向你方交纳履约保证金，且可以履约担保函的形式交纳厦约保证金。应供应商的申请，我方以保证的方式向你方提供如下履约保证金担保：</w:t>
      </w:r>
    </w:p>
    <w:p w14:paraId="50AFF83C">
      <w:pP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一、保证责任的情形及保证金额</w:t>
      </w:r>
    </w:p>
    <w:p w14:paraId="09D30285">
      <w:pPr>
        <w:ind w:left="141" w:leftChars="67"/>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（一）在供应商出现下列情形之一时，我方承担保证责任：</w:t>
      </w:r>
    </w:p>
    <w:p w14:paraId="7F14714B">
      <w:pPr>
        <w:ind w:left="283" w:leftChars="135"/>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1.将中标项目转让给他人，或者在投标文件中未说明，且未经采购招标机构人同意,将中标项目分包给他人的；</w:t>
      </w:r>
    </w:p>
    <w:p w14:paraId="4E4B474D">
      <w:pPr>
        <w:ind w:left="283" w:leftChars="135"/>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2.主合同约定的应当缴约履约保证金的情形</w:t>
      </w:r>
    </w:p>
    <w:p w14:paraId="38FB34F5">
      <w:pPr>
        <w:ind w:left="283" w:leftChars="135"/>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(1)未按主合同约定的质量、数量和期限供应货物/提供服务/完成工程的；</w:t>
      </w:r>
    </w:p>
    <w:p w14:paraId="182B68A2">
      <w:pPr>
        <w:ind w:left="283" w:leftChars="135"/>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(2)</w:t>
      </w:r>
      <w:r>
        <w:rPr>
          <w:rFonts w:hint="eastAsia" w:ascii="宋体" w:hAnsi="宋体" w:eastAsia="宋体"/>
          <w:color w:val="000000" w:themeColor="text1"/>
          <w:szCs w:val="21"/>
          <w:u w:val="single"/>
          <w14:textFill>
            <w14:solidFill>
              <w14:schemeClr w14:val="tx1"/>
            </w14:solidFill>
          </w14:textFill>
        </w:rPr>
        <w:t xml:space="preserve">                                                            。</w:t>
      </w:r>
    </w:p>
    <w:p w14:paraId="5459C938">
      <w:pPr>
        <w:ind w:left="283" w:leftChars="135"/>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(二)我方的保证范围是主合同约定的合同价款总额的</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%数额为</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元(大写：</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)，币种为</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（即主合同履约保证金金额）</w:t>
      </w:r>
    </w:p>
    <w:p w14:paraId="1389564B">
      <w:pP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二、保证的方式及保证期间</w:t>
      </w:r>
    </w:p>
    <w:p w14:paraId="16C032C5">
      <w:pPr>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我方保证的方式为：连带责任保证。</w:t>
      </w:r>
    </w:p>
    <w:p w14:paraId="666879E5">
      <w:pPr>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我方保证的期间为：自本合同生效之日起至供应商按照主合同约定的供货/完工期限届满后</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日内。</w:t>
      </w:r>
    </w:p>
    <w:p w14:paraId="51192739">
      <w:pPr>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如果供应商未按主合同约定向贵方供应货物/提供服务/完成工程的，由我方在保证金额内向你方支付上述款项。</w:t>
      </w:r>
    </w:p>
    <w:p w14:paraId="4D02982A">
      <w:pP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三、承担保证责任的程序</w:t>
      </w:r>
    </w:p>
    <w:p w14:paraId="779450A8">
      <w:pPr>
        <w:ind w:left="283" w:leftChars="135"/>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1.你方要求我方承担保证责任的，应在本保函保证期间内向我方发出书面索赔通知，索赔通知应写明要求索赔的金额，支付款项应到达的账号并附有证明供应商违约事实的证明材料。</w:t>
      </w:r>
    </w:p>
    <w:p w14:paraId="0FE72F3A">
      <w:pPr>
        <w:ind w:left="283" w:leftChars="135"/>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如果你方与供应商因货物质量问题产生争议，你方还需同时提供</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部门出具的质量检测报告，或经诉讼(仲裁)程序裁决后的裁决书、调解书，本保证人即按照检测结果或裁决书、调解书决定是否承担保证责任。</w:t>
      </w:r>
    </w:p>
    <w:p w14:paraId="330B70A7">
      <w:pPr>
        <w:ind w:left="283" w:leftChars="135"/>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2.我方收到你方的书面索赔通知及相应证明材料，在</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工作日内进行核定后按照本保函的承诺承担保证责任。</w:t>
      </w:r>
    </w:p>
    <w:p w14:paraId="58ED936E">
      <w:pP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四、保证责任的终止</w:t>
      </w:r>
    </w:p>
    <w:p w14:paraId="2D3DB7DB">
      <w:pPr>
        <w:ind w:left="281" w:leftChars="134"/>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1.保证期间届满你方未向我方书面主张保证责任的，自保证期间届满次日超，我方保证责任自动终止。保证期间届满前，主合同约定的货物\工程\服务全部验收合格的，自验收合格日起，我方保证责任自动终止。</w:t>
      </w:r>
    </w:p>
    <w:p w14:paraId="33C31EAE">
      <w:pPr>
        <w:ind w:left="281" w:leftChars="134"/>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2.我方按照本保函向你方履行了保证责任后，自我方向你方支付款项(支付款项从我方账户划出)之日起，保证责任即终止。</w:t>
      </w:r>
    </w:p>
    <w:p w14:paraId="5F7CD60C">
      <w:pPr>
        <w:ind w:left="281" w:leftChars="134"/>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3.按照法律法规的规定或出现应终止我方保证责任的其它情形的，我方在本保函项下的保证责任亦终止。</w:t>
      </w:r>
    </w:p>
    <w:p w14:paraId="532C6638">
      <w:pPr>
        <w:ind w:left="281" w:leftChars="134"/>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4.你方与供应商修改主合同，加重我方保证责任的，我方对加重部分不承担保证责任，但该等修改事先经我方书面同意的除外；你方与供应商修改主合同履行期限，我方保证期间仍依修改前的履行期限计算，但该等修改事先经我方书面同意的除外。</w:t>
      </w:r>
    </w:p>
    <w:p w14:paraId="695A66B5">
      <w:pP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五,免责条款</w:t>
      </w:r>
    </w:p>
    <w:p w14:paraId="4C230AF7">
      <w:pPr>
        <w:ind w:left="283" w:leftChars="135"/>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1.因你方违反主合同约定致使供应商不能履行义务的，我方不承担保证责任。</w:t>
      </w:r>
    </w:p>
    <w:p w14:paraId="77687E11">
      <w:pPr>
        <w:ind w:left="283" w:leftChars="135"/>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2.依照法律法规的规定或你方与供应商的另行约定,全部或者部分免除供应商应缴纳的保证金义务的，我方亦免除相应的保证责任。</w:t>
      </w:r>
    </w:p>
    <w:p w14:paraId="7EB9584B">
      <w:pPr>
        <w:ind w:left="283" w:leftChars="135"/>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3.因不可抗力造成供应商不能履行供货义务的，我方不承担保证责任。</w:t>
      </w:r>
    </w:p>
    <w:p w14:paraId="277D3AD8">
      <w:pP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六、争议的解决</w:t>
      </w:r>
    </w:p>
    <w:p w14:paraId="0A474537">
      <w:pPr>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因本保函发生的纠纷,由你我双方协商解决，协商不成的，通过诉讼程序解决，诉讼管辖地法院为</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法院。</w:t>
      </w:r>
    </w:p>
    <w:p w14:paraId="6B37132A">
      <w:pP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七、保函的生效</w:t>
      </w:r>
    </w:p>
    <w:p w14:paraId="3AE71756">
      <w:pPr>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本保函自我方加盖公章之日起生效。</w:t>
      </w:r>
    </w:p>
    <w:p w14:paraId="4E77196E">
      <w:pPr>
        <w:spacing w:before="435" w:beforeLines="100"/>
        <w:jc w:val="righ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保证人：(公章)</w:t>
      </w:r>
    </w:p>
    <w:p w14:paraId="4A176CF9">
      <w:pPr>
        <w:ind w:firstLine="420" w:firstLineChars="200"/>
        <w:jc w:val="righ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年   月   日</w:t>
      </w:r>
    </w:p>
    <w:p w14:paraId="7FBC6864">
      <w:pPr>
        <w:rPr>
          <w:rFonts w:ascii="宋体" w:hAnsi="宋体" w:eastAsia="宋体"/>
          <w:color w:val="000000" w:themeColor="text1"/>
          <w14:textFill>
            <w14:solidFill>
              <w14:schemeClr w14:val="tx1"/>
            </w14:solidFill>
          </w14:textFill>
        </w:rPr>
      </w:pPr>
    </w:p>
    <w:p w14:paraId="63C66609">
      <w:pPr>
        <w:widowControl/>
        <w:jc w:val="left"/>
        <w:rPr>
          <w:rFonts w:ascii="宋体" w:hAnsi="宋体" w:eastAsia="宋体" w:cs="Times New Roman"/>
          <w:kern w:val="0"/>
          <w:sz w:val="20"/>
          <w:szCs w:val="20"/>
          <w:lang w:eastAsia="zh-Hans"/>
        </w:rPr>
      </w:pPr>
    </w:p>
    <w:p w14:paraId="10008520">
      <w:pPr>
        <w:pageBreakBefore/>
        <w:rPr>
          <w:rFonts w:ascii="Calibri" w:hAnsi="Calibri" w:eastAsia="宋体" w:cs="Times New Roman"/>
          <w:kern w:val="0"/>
          <w:sz w:val="20"/>
          <w:szCs w:val="20"/>
          <w:lang w:eastAsia="zh-Hans"/>
        </w:rPr>
      </w:pPr>
      <w:bookmarkStart w:id="77" w:name="_Toc169799806"/>
      <w:r>
        <w:rPr>
          <w:rFonts w:ascii="宋体" w:hAnsi="宋体" w:eastAsia="宋体"/>
          <w:b/>
          <w:bCs/>
          <w:sz w:val="24"/>
          <w:szCs w:val="28"/>
        </w:rPr>
        <w:t>格式二十</w:t>
      </w:r>
      <w:r>
        <w:rPr>
          <w:rFonts w:hint="eastAsia" w:ascii="宋体" w:hAnsi="宋体" w:eastAsia="宋体"/>
          <w:b/>
          <w:bCs/>
          <w:sz w:val="24"/>
          <w:szCs w:val="28"/>
        </w:rPr>
        <w:t>四</w:t>
      </w:r>
      <w:r>
        <w:rPr>
          <w:rFonts w:ascii="宋体" w:hAnsi="宋体" w:eastAsia="宋体"/>
          <w:b/>
          <w:bCs/>
          <w:sz w:val="24"/>
          <w:szCs w:val="28"/>
        </w:rPr>
        <w:t>：</w:t>
      </w:r>
      <w:bookmarkEnd w:id="77"/>
    </w:p>
    <w:p w14:paraId="7EFFC828">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（以下格式文件由供应商根据需要选用）</w:t>
      </w:r>
    </w:p>
    <w:p w14:paraId="55BBCC38">
      <w:pPr>
        <w:pStyle w:val="21"/>
        <w:rPr>
          <w:rFonts w:hint="default" w:ascii="Calibri" w:hAnsi="Calibri" w:eastAsia="宋体" w:cs="Times New Roman"/>
        </w:rPr>
      </w:pPr>
      <w:r>
        <w:rPr>
          <w:rFonts w:ascii="Calibri" w:hAnsi="Calibri" w:eastAsia="宋体" w:cs="Times New Roman"/>
        </w:rPr>
        <w:t>项目实施方案、质量保证及售后服务承诺等内容和格式自拟。</w:t>
      </w:r>
    </w:p>
    <w:p w14:paraId="718F3F21"/>
    <w:p w14:paraId="0524BA46">
      <w:pPr>
        <w:rPr>
          <w:rFonts w:ascii="Calibri" w:hAnsi="Calibri" w:eastAsia="宋体" w:cs="Times New Roman"/>
          <w:kern w:val="0"/>
          <w:sz w:val="20"/>
          <w:szCs w:val="20"/>
          <w:lang w:eastAsia="zh-Hans"/>
        </w:rPr>
      </w:pPr>
    </w:p>
    <w:p w14:paraId="7380E788">
      <w:pPr>
        <w:pageBreakBefore/>
        <w:rPr>
          <w:bCs/>
        </w:rPr>
      </w:pPr>
      <w:r>
        <w:rPr>
          <w:rFonts w:hint="eastAsia" w:ascii="宋体" w:hAnsi="宋体" w:eastAsia="宋体"/>
          <w:b/>
          <w:bCs/>
          <w:sz w:val="24"/>
          <w:szCs w:val="28"/>
        </w:rPr>
        <w:t>唱标信封格式</w:t>
      </w:r>
    </w:p>
    <w:p w14:paraId="333F3E4C">
      <w:pPr>
        <w:spacing w:before="652" w:beforeLines="150"/>
        <w:jc w:val="center"/>
        <w:rPr>
          <w:rFonts w:hint="eastAsia" w:ascii="宋体" w:hAnsi="宋体" w:eastAsia="宋体"/>
          <w:b/>
          <w:bCs/>
          <w:sz w:val="80"/>
          <w:szCs w:val="80"/>
          <w:lang w:eastAsia="zh-CN"/>
        </w:rPr>
      </w:pPr>
      <w:r>
        <w:rPr>
          <w:rFonts w:hint="eastAsia" w:ascii="宋体" w:hAnsi="宋体" w:eastAsia="宋体"/>
          <w:b/>
          <w:bCs/>
          <w:sz w:val="80"/>
          <w:szCs w:val="80"/>
          <w:lang w:eastAsia="zh-CN"/>
        </w:rPr>
        <w:t>虎门镇黄村社区环卫保洁服务项目</w:t>
      </w:r>
    </w:p>
    <w:p w14:paraId="1C45C70C">
      <w:pPr>
        <w:spacing w:before="652" w:beforeLines="150"/>
        <w:jc w:val="center"/>
        <w:rPr>
          <w:rFonts w:ascii="宋体" w:hAnsi="宋体" w:eastAsia="宋体"/>
          <w:b/>
          <w:bCs/>
          <w:sz w:val="80"/>
          <w:szCs w:val="80"/>
        </w:rPr>
      </w:pPr>
      <w:r>
        <w:rPr>
          <w:rFonts w:hint="eastAsia" w:ascii="宋体" w:hAnsi="宋体" w:eastAsia="宋体"/>
          <w:b/>
          <w:bCs/>
          <w:sz w:val="80"/>
          <w:szCs w:val="80"/>
        </w:rPr>
        <w:t>唱标信封</w:t>
      </w:r>
    </w:p>
    <w:p w14:paraId="3BF1DE3E">
      <w:pPr>
        <w:jc w:val="center"/>
        <w:rPr>
          <w:rFonts w:ascii="宋体" w:hAnsi="宋体" w:eastAsia="宋体"/>
          <w:b/>
          <w:bCs/>
        </w:rPr>
      </w:pPr>
      <w:r>
        <w:rPr>
          <w:rFonts w:ascii="宋体" w:hAnsi="宋体" w:eastAsia="宋体"/>
          <w:b/>
          <w:bCs/>
        </w:rPr>
        <w:br w:type="textWrapping"/>
      </w:r>
    </w:p>
    <w:p w14:paraId="48E7C3EB">
      <w:pPr>
        <w:keepNext w:val="0"/>
        <w:keepLines w:val="0"/>
        <w:pageBreakBefore w:val="0"/>
        <w:widowControl/>
        <w:kinsoku/>
        <w:wordWrap/>
        <w:overflowPunct/>
        <w:topLinePunct w:val="0"/>
        <w:autoSpaceDE/>
        <w:autoSpaceDN/>
        <w:bidi w:val="0"/>
        <w:adjustRightInd/>
        <w:snapToGrid/>
        <w:spacing w:before="3482" w:beforeLines="800" w:line="360" w:lineRule="auto"/>
        <w:ind w:firstLine="1558" w:firstLineChars="485"/>
        <w:jc w:val="left"/>
        <w:textAlignment w:val="auto"/>
        <w:outlineLvl w:val="3"/>
        <w:rPr>
          <w:rFonts w:ascii="宋体" w:hAnsi="宋体" w:eastAsia="宋体" w:cs="Times New Roman"/>
          <w:kern w:val="0"/>
          <w:sz w:val="32"/>
          <w:szCs w:val="32"/>
        </w:rPr>
      </w:pPr>
      <w:r>
        <w:rPr>
          <w:rFonts w:ascii="宋体" w:hAnsi="宋体" w:eastAsia="宋体" w:cs="Times New Roman"/>
          <w:b/>
          <w:kern w:val="0"/>
          <w:sz w:val="32"/>
          <w:szCs w:val="32"/>
          <w:lang w:eastAsia="zh-Hans"/>
        </w:rPr>
        <w:t>项目编号：</w:t>
      </w:r>
    </w:p>
    <w:p w14:paraId="7E53EE93">
      <w:pPr>
        <w:widowControl/>
        <w:spacing w:line="360" w:lineRule="auto"/>
        <w:ind w:firstLine="1558" w:firstLineChars="485"/>
        <w:jc w:val="left"/>
        <w:outlineLvl w:val="3"/>
        <w:rPr>
          <w:rFonts w:ascii="宋体" w:hAnsi="宋体" w:eastAsia="宋体" w:cs="Times New Roman"/>
          <w:kern w:val="0"/>
          <w:sz w:val="24"/>
          <w:szCs w:val="24"/>
        </w:rPr>
      </w:pPr>
      <w:r>
        <w:rPr>
          <w:rFonts w:ascii="宋体" w:hAnsi="宋体" w:eastAsia="宋体" w:cs="Times New Roman"/>
          <w:b/>
          <w:kern w:val="0"/>
          <w:sz w:val="32"/>
          <w:szCs w:val="32"/>
          <w:lang w:eastAsia="zh-Hans"/>
        </w:rPr>
        <w:t>投标人名称</w:t>
      </w:r>
      <w:r>
        <w:rPr>
          <w:rFonts w:hint="eastAsia" w:ascii="宋体" w:hAnsi="宋体" w:eastAsia="宋体" w:cs="Times New Roman"/>
          <w:b/>
          <w:kern w:val="0"/>
          <w:sz w:val="32"/>
          <w:szCs w:val="32"/>
          <w:lang w:eastAsia="zh-Hans"/>
        </w:rPr>
        <w:t>：</w:t>
      </w:r>
    </w:p>
    <w:p w14:paraId="74F4864B">
      <w:pPr>
        <w:widowControl/>
        <w:spacing w:before="1305" w:beforeLines="300"/>
        <w:jc w:val="center"/>
        <w:outlineLvl w:val="3"/>
        <w:rPr>
          <w:rFonts w:ascii="Calibri" w:hAnsi="Calibri" w:eastAsia="宋体" w:cs="Times New Roman"/>
          <w:kern w:val="0"/>
          <w:sz w:val="20"/>
          <w:szCs w:val="20"/>
          <w:lang w:eastAsia="zh-Hans"/>
        </w:rPr>
      </w:pPr>
      <w:r>
        <w:rPr>
          <w:rFonts w:ascii="宋体" w:hAnsi="宋体" w:eastAsia="宋体" w:cs="Times New Roman"/>
          <w:b/>
          <w:kern w:val="0"/>
          <w:sz w:val="32"/>
          <w:szCs w:val="32"/>
          <w:lang w:eastAsia="zh-Hans"/>
        </w:rPr>
        <w:t xml:space="preserve"> 年 月 日</w:t>
      </w:r>
    </w:p>
    <w:p w14:paraId="63D0E60D">
      <w:pPr>
        <w:spacing w:line="360" w:lineRule="auto"/>
        <w:jc w:val="center"/>
        <w:rPr>
          <w:rFonts w:ascii="黑体" w:hAnsi="黑体" w:eastAsia="黑体"/>
          <w:bCs/>
          <w:color w:val="000000" w:themeColor="text1"/>
          <w:sz w:val="50"/>
          <w:szCs w:val="50"/>
          <w14:textFill>
            <w14:solidFill>
              <w14:schemeClr w14:val="tx1"/>
            </w14:solidFill>
          </w14:textFill>
        </w:rPr>
      </w:pPr>
    </w:p>
    <w:p w14:paraId="601675D5">
      <w:pPr>
        <w:pStyle w:val="27"/>
        <w:numPr>
          <w:ilvl w:val="0"/>
          <w:numId w:val="111"/>
        </w:numPr>
        <w:spacing w:line="360" w:lineRule="auto"/>
        <w:ind w:firstLineChars="0"/>
        <w:rPr>
          <w:rFonts w:ascii="宋体" w:hAnsi="宋体" w:eastAsia="宋体"/>
          <w:szCs w:val="21"/>
        </w:rPr>
      </w:pPr>
      <w:r>
        <w:rPr>
          <w:rFonts w:hint="eastAsia" w:ascii="宋体" w:hAnsi="宋体" w:eastAsia="宋体"/>
          <w:szCs w:val="21"/>
        </w:rPr>
        <w:t>开标一览表加盖投标人公章；</w:t>
      </w:r>
    </w:p>
    <w:p w14:paraId="58B368E9">
      <w:pPr>
        <w:pStyle w:val="27"/>
        <w:numPr>
          <w:ilvl w:val="0"/>
          <w:numId w:val="111"/>
        </w:numPr>
        <w:spacing w:line="360" w:lineRule="auto"/>
        <w:ind w:firstLineChars="0"/>
        <w:rPr>
          <w:rFonts w:ascii="宋体" w:hAnsi="宋体" w:eastAsia="宋体"/>
          <w:szCs w:val="21"/>
        </w:rPr>
      </w:pPr>
      <w:r>
        <w:rPr>
          <w:rFonts w:hint="eastAsia" w:ascii="宋体" w:hAnsi="宋体" w:eastAsia="宋体"/>
          <w:szCs w:val="21"/>
        </w:rPr>
        <w:t>分项报价表加盖投标人公章</w:t>
      </w:r>
      <w:r>
        <w:rPr>
          <w:rFonts w:hint="eastAsia" w:ascii="宋体" w:hAnsi="宋体" w:eastAsia="宋体"/>
          <w:bCs/>
          <w:szCs w:val="21"/>
        </w:rPr>
        <w:t>（如适用）</w:t>
      </w:r>
      <w:r>
        <w:rPr>
          <w:rFonts w:hint="eastAsia" w:ascii="宋体" w:hAnsi="宋体" w:eastAsia="宋体"/>
          <w:szCs w:val="21"/>
        </w:rPr>
        <w:t>；</w:t>
      </w:r>
    </w:p>
    <w:p w14:paraId="75CC8822">
      <w:pPr>
        <w:pStyle w:val="27"/>
        <w:numPr>
          <w:ilvl w:val="0"/>
          <w:numId w:val="111"/>
        </w:numPr>
        <w:spacing w:line="360" w:lineRule="auto"/>
        <w:ind w:firstLineChars="0"/>
        <w:rPr>
          <w:rFonts w:ascii="宋体" w:hAnsi="宋体" w:eastAsia="宋体"/>
          <w:szCs w:val="21"/>
        </w:rPr>
      </w:pPr>
      <w:r>
        <w:rPr>
          <w:rFonts w:hint="eastAsia" w:ascii="宋体" w:hAnsi="宋体" w:eastAsia="宋体"/>
          <w:szCs w:val="21"/>
        </w:rPr>
        <w:t>法定代表人证明书或法定代表人授权委托书加盖投标人公章；</w:t>
      </w:r>
    </w:p>
    <w:p w14:paraId="428F8A38">
      <w:pPr>
        <w:pStyle w:val="27"/>
        <w:numPr>
          <w:ilvl w:val="0"/>
          <w:numId w:val="111"/>
        </w:numPr>
        <w:spacing w:line="360" w:lineRule="auto"/>
        <w:ind w:firstLineChars="0"/>
        <w:rPr>
          <w:rFonts w:ascii="宋体" w:hAnsi="宋体" w:eastAsia="宋体"/>
          <w:szCs w:val="21"/>
        </w:rPr>
      </w:pPr>
      <w:r>
        <w:rPr>
          <w:rFonts w:hint="eastAsia" w:ascii="宋体" w:hAnsi="宋体" w:eastAsia="宋体"/>
          <w:bCs/>
          <w:szCs w:val="21"/>
        </w:rPr>
        <w:t>《联合投标协议》原件（非联合体投标除外）。</w:t>
      </w:r>
    </w:p>
    <w:p w14:paraId="52E698CE"/>
    <w:sectPr>
      <w:headerReference r:id="rId3" w:type="default"/>
      <w:footerReference r:id="rId4" w:type="default"/>
      <w:pgSz w:w="11906" w:h="16838"/>
      <w:pgMar w:top="1418" w:right="1418" w:bottom="1418" w:left="1418" w:header="851" w:footer="992" w:gutter="0"/>
      <w:pgNumType w:start="0"/>
      <w:cols w:space="425" w:num="1"/>
      <w:titlePg/>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Segoe UI Symbol">
    <w:panose1 w:val="020B0502040204020203"/>
    <w:charset w:val="00"/>
    <w:family w:val="swiss"/>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78378267"/>
      <w:docPartObj>
        <w:docPartGallery w:val="autotext"/>
      </w:docPartObj>
    </w:sdtPr>
    <w:sdtContent>
      <w:p w14:paraId="758C969D">
        <w:pPr>
          <w:pStyle w:val="8"/>
          <w:jc w:val="center"/>
        </w:pPr>
        <w:r>
          <w:rPr>
            <w:rFonts w:ascii="宋体" w:hAnsi="宋体" w:eastAsia="宋体"/>
            <w:sz w:val="21"/>
            <w:szCs w:val="21"/>
          </w:rPr>
          <w:fldChar w:fldCharType="begin"/>
        </w:r>
        <w:r>
          <w:rPr>
            <w:rFonts w:ascii="宋体" w:hAnsi="宋体" w:eastAsia="宋体"/>
            <w:sz w:val="21"/>
            <w:szCs w:val="21"/>
          </w:rPr>
          <w:instrText xml:space="preserve">PAGE   \* MERGEFORMAT</w:instrText>
        </w:r>
        <w:r>
          <w:rPr>
            <w:rFonts w:ascii="宋体" w:hAnsi="宋体" w:eastAsia="宋体"/>
            <w:sz w:val="21"/>
            <w:szCs w:val="21"/>
          </w:rPr>
          <w:fldChar w:fldCharType="separate"/>
        </w:r>
        <w:r>
          <w:rPr>
            <w:rFonts w:ascii="宋体" w:hAnsi="宋体" w:eastAsia="宋体"/>
            <w:sz w:val="21"/>
            <w:szCs w:val="21"/>
            <w:lang w:val="zh-CN"/>
          </w:rPr>
          <w:t>2</w:t>
        </w:r>
        <w:r>
          <w:rPr>
            <w:rFonts w:ascii="宋体" w:hAnsi="宋体" w:eastAsia="宋体"/>
            <w:sz w:val="21"/>
            <w:szCs w:val="21"/>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575788">
    <w:pPr>
      <w:pStyle w:val="9"/>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08FFB3"/>
    <w:multiLevelType w:val="singleLevel"/>
    <w:tmpl w:val="8808FFB3"/>
    <w:lvl w:ilvl="0" w:tentative="0">
      <w:start w:val="1"/>
      <w:numFmt w:val="decimal"/>
      <w:lvlText w:val="(%1)"/>
      <w:lvlJc w:val="left"/>
      <w:pPr>
        <w:ind w:left="425" w:hanging="425"/>
      </w:pPr>
      <w:rPr>
        <w:rFonts w:hint="default"/>
      </w:rPr>
    </w:lvl>
  </w:abstractNum>
  <w:abstractNum w:abstractNumId="1">
    <w:nsid w:val="918C4CFF"/>
    <w:multiLevelType w:val="singleLevel"/>
    <w:tmpl w:val="918C4CFF"/>
    <w:lvl w:ilvl="0" w:tentative="0">
      <w:start w:val="1"/>
      <w:numFmt w:val="decimal"/>
      <w:lvlText w:val="(%1)"/>
      <w:lvlJc w:val="left"/>
      <w:pPr>
        <w:ind w:left="425" w:hanging="425"/>
      </w:pPr>
      <w:rPr>
        <w:rFonts w:hint="default"/>
      </w:rPr>
    </w:lvl>
  </w:abstractNum>
  <w:abstractNum w:abstractNumId="2">
    <w:nsid w:val="9B28C062"/>
    <w:multiLevelType w:val="singleLevel"/>
    <w:tmpl w:val="9B28C062"/>
    <w:lvl w:ilvl="0" w:tentative="0">
      <w:start w:val="1"/>
      <w:numFmt w:val="decimal"/>
      <w:lvlText w:val="(%1)"/>
      <w:lvlJc w:val="left"/>
      <w:pPr>
        <w:ind w:left="425" w:hanging="425"/>
      </w:pPr>
      <w:rPr>
        <w:rFonts w:hint="default"/>
      </w:rPr>
    </w:lvl>
  </w:abstractNum>
  <w:abstractNum w:abstractNumId="3">
    <w:nsid w:val="A15F4E37"/>
    <w:multiLevelType w:val="singleLevel"/>
    <w:tmpl w:val="A15F4E37"/>
    <w:lvl w:ilvl="0" w:tentative="0">
      <w:start w:val="1"/>
      <w:numFmt w:val="decimal"/>
      <w:lvlText w:val="%1)"/>
      <w:lvlJc w:val="left"/>
      <w:pPr>
        <w:ind w:left="425" w:hanging="425"/>
      </w:pPr>
      <w:rPr>
        <w:rFonts w:hint="default"/>
      </w:rPr>
    </w:lvl>
  </w:abstractNum>
  <w:abstractNum w:abstractNumId="4">
    <w:nsid w:val="A484877C"/>
    <w:multiLevelType w:val="singleLevel"/>
    <w:tmpl w:val="A484877C"/>
    <w:lvl w:ilvl="0" w:tentative="0">
      <w:start w:val="1"/>
      <w:numFmt w:val="decimal"/>
      <w:lvlText w:val="(%1)"/>
      <w:lvlJc w:val="left"/>
      <w:pPr>
        <w:ind w:left="425" w:hanging="425"/>
      </w:pPr>
      <w:rPr>
        <w:rFonts w:hint="default"/>
      </w:rPr>
    </w:lvl>
  </w:abstractNum>
  <w:abstractNum w:abstractNumId="5">
    <w:nsid w:val="A4949289"/>
    <w:multiLevelType w:val="singleLevel"/>
    <w:tmpl w:val="A4949289"/>
    <w:lvl w:ilvl="0" w:tentative="0">
      <w:start w:val="1"/>
      <w:numFmt w:val="decimal"/>
      <w:lvlText w:val="(%1)"/>
      <w:lvlJc w:val="left"/>
      <w:pPr>
        <w:ind w:left="425" w:hanging="425"/>
      </w:pPr>
      <w:rPr>
        <w:rFonts w:hint="default"/>
      </w:rPr>
    </w:lvl>
  </w:abstractNum>
  <w:abstractNum w:abstractNumId="6">
    <w:nsid w:val="A4B5E02C"/>
    <w:multiLevelType w:val="singleLevel"/>
    <w:tmpl w:val="A4B5E02C"/>
    <w:lvl w:ilvl="0" w:tentative="0">
      <w:start w:val="1"/>
      <w:numFmt w:val="decimal"/>
      <w:lvlText w:val="%1)"/>
      <w:lvlJc w:val="left"/>
      <w:pPr>
        <w:ind w:left="425" w:hanging="425"/>
      </w:pPr>
      <w:rPr>
        <w:rFonts w:hint="default"/>
      </w:rPr>
    </w:lvl>
  </w:abstractNum>
  <w:abstractNum w:abstractNumId="7">
    <w:nsid w:val="A4EF5A8B"/>
    <w:multiLevelType w:val="singleLevel"/>
    <w:tmpl w:val="A4EF5A8B"/>
    <w:lvl w:ilvl="0" w:tentative="0">
      <w:start w:val="1"/>
      <w:numFmt w:val="chineseCounting"/>
      <w:suff w:val="nothing"/>
      <w:lvlText w:val="%1、"/>
      <w:lvlJc w:val="left"/>
      <w:pPr>
        <w:ind w:left="0" w:firstLine="420"/>
      </w:pPr>
      <w:rPr>
        <w:rFonts w:hint="eastAsia"/>
      </w:rPr>
    </w:lvl>
  </w:abstractNum>
  <w:abstractNum w:abstractNumId="8">
    <w:nsid w:val="B4A52A2B"/>
    <w:multiLevelType w:val="singleLevel"/>
    <w:tmpl w:val="B4A52A2B"/>
    <w:lvl w:ilvl="0" w:tentative="0">
      <w:start w:val="1"/>
      <w:numFmt w:val="decimal"/>
      <w:lvlText w:val="%1)"/>
      <w:lvlJc w:val="left"/>
      <w:pPr>
        <w:ind w:left="425" w:hanging="425"/>
      </w:pPr>
      <w:rPr>
        <w:rFonts w:hint="default"/>
      </w:rPr>
    </w:lvl>
  </w:abstractNum>
  <w:abstractNum w:abstractNumId="9">
    <w:nsid w:val="B92D564E"/>
    <w:multiLevelType w:val="singleLevel"/>
    <w:tmpl w:val="B92D564E"/>
    <w:lvl w:ilvl="0" w:tentative="0">
      <w:start w:val="1"/>
      <w:numFmt w:val="chineseCounting"/>
      <w:suff w:val="nothing"/>
      <w:lvlText w:val="（%1）"/>
      <w:lvlJc w:val="left"/>
      <w:pPr>
        <w:ind w:left="0" w:firstLine="420"/>
      </w:pPr>
      <w:rPr>
        <w:rFonts w:hint="eastAsia"/>
      </w:rPr>
    </w:lvl>
  </w:abstractNum>
  <w:abstractNum w:abstractNumId="10">
    <w:nsid w:val="B9EA557F"/>
    <w:multiLevelType w:val="singleLevel"/>
    <w:tmpl w:val="B9EA557F"/>
    <w:lvl w:ilvl="0" w:tentative="0">
      <w:start w:val="1"/>
      <w:numFmt w:val="decimal"/>
      <w:lvlText w:val="(%1)"/>
      <w:lvlJc w:val="left"/>
      <w:pPr>
        <w:ind w:left="425" w:hanging="425"/>
      </w:pPr>
      <w:rPr>
        <w:rFonts w:hint="default"/>
        <w:b w:val="0"/>
        <w:bCs w:val="0"/>
      </w:rPr>
    </w:lvl>
  </w:abstractNum>
  <w:abstractNum w:abstractNumId="11">
    <w:nsid w:val="C223E3FE"/>
    <w:multiLevelType w:val="singleLevel"/>
    <w:tmpl w:val="C223E3FE"/>
    <w:lvl w:ilvl="0" w:tentative="0">
      <w:start w:val="1"/>
      <w:numFmt w:val="decimal"/>
      <w:lvlText w:val="%1."/>
      <w:lvlJc w:val="left"/>
      <w:pPr>
        <w:ind w:left="425" w:hanging="425"/>
      </w:pPr>
      <w:rPr>
        <w:rFonts w:hint="default"/>
      </w:rPr>
    </w:lvl>
  </w:abstractNum>
  <w:abstractNum w:abstractNumId="12">
    <w:nsid w:val="C650D898"/>
    <w:multiLevelType w:val="singleLevel"/>
    <w:tmpl w:val="C650D898"/>
    <w:lvl w:ilvl="0" w:tentative="0">
      <w:start w:val="1"/>
      <w:numFmt w:val="decimal"/>
      <w:lvlText w:val="(%1)"/>
      <w:lvlJc w:val="left"/>
      <w:pPr>
        <w:ind w:left="425" w:hanging="425"/>
      </w:pPr>
      <w:rPr>
        <w:rFonts w:hint="default"/>
      </w:rPr>
    </w:lvl>
  </w:abstractNum>
  <w:abstractNum w:abstractNumId="13">
    <w:nsid w:val="DA7B8B79"/>
    <w:multiLevelType w:val="singleLevel"/>
    <w:tmpl w:val="DA7B8B79"/>
    <w:lvl w:ilvl="0" w:tentative="0">
      <w:start w:val="1"/>
      <w:numFmt w:val="decimal"/>
      <w:lvlText w:val="%1)"/>
      <w:lvlJc w:val="left"/>
      <w:pPr>
        <w:ind w:left="425" w:hanging="425"/>
      </w:pPr>
      <w:rPr>
        <w:rFonts w:hint="default"/>
      </w:rPr>
    </w:lvl>
  </w:abstractNum>
  <w:abstractNum w:abstractNumId="14">
    <w:nsid w:val="E57A3CF0"/>
    <w:multiLevelType w:val="singleLevel"/>
    <w:tmpl w:val="E57A3CF0"/>
    <w:lvl w:ilvl="0" w:tentative="0">
      <w:start w:val="1"/>
      <w:numFmt w:val="decimal"/>
      <w:lvlText w:val="%1."/>
      <w:lvlJc w:val="left"/>
      <w:pPr>
        <w:ind w:left="425" w:hanging="425"/>
      </w:pPr>
      <w:rPr>
        <w:rFonts w:hint="default"/>
      </w:rPr>
    </w:lvl>
  </w:abstractNum>
  <w:abstractNum w:abstractNumId="15">
    <w:nsid w:val="E89A1446"/>
    <w:multiLevelType w:val="singleLevel"/>
    <w:tmpl w:val="E89A1446"/>
    <w:lvl w:ilvl="0" w:tentative="0">
      <w:start w:val="1"/>
      <w:numFmt w:val="decimal"/>
      <w:lvlText w:val="(%1)"/>
      <w:lvlJc w:val="left"/>
      <w:pPr>
        <w:ind w:left="425" w:hanging="425"/>
      </w:pPr>
      <w:rPr>
        <w:rFonts w:hint="default"/>
        <w:b w:val="0"/>
        <w:bCs w:val="0"/>
      </w:rPr>
    </w:lvl>
  </w:abstractNum>
  <w:abstractNum w:abstractNumId="16">
    <w:nsid w:val="EA51B2B0"/>
    <w:multiLevelType w:val="singleLevel"/>
    <w:tmpl w:val="EA51B2B0"/>
    <w:lvl w:ilvl="0" w:tentative="0">
      <w:start w:val="1"/>
      <w:numFmt w:val="decimal"/>
      <w:lvlText w:val="%1."/>
      <w:lvlJc w:val="left"/>
      <w:pPr>
        <w:ind w:left="425" w:hanging="425"/>
      </w:pPr>
      <w:rPr>
        <w:rFonts w:hint="default"/>
      </w:rPr>
    </w:lvl>
  </w:abstractNum>
  <w:abstractNum w:abstractNumId="17">
    <w:nsid w:val="F4EBE30B"/>
    <w:multiLevelType w:val="singleLevel"/>
    <w:tmpl w:val="F4EBE30B"/>
    <w:lvl w:ilvl="0" w:tentative="0">
      <w:start w:val="1"/>
      <w:numFmt w:val="decimal"/>
      <w:lvlText w:val="%1)"/>
      <w:lvlJc w:val="left"/>
      <w:pPr>
        <w:ind w:left="425" w:hanging="425"/>
      </w:pPr>
      <w:rPr>
        <w:rFonts w:hint="default"/>
      </w:rPr>
    </w:lvl>
  </w:abstractNum>
  <w:abstractNum w:abstractNumId="18">
    <w:nsid w:val="01230470"/>
    <w:multiLevelType w:val="singleLevel"/>
    <w:tmpl w:val="01230470"/>
    <w:lvl w:ilvl="0" w:tentative="0">
      <w:start w:val="1"/>
      <w:numFmt w:val="decimal"/>
      <w:lvlText w:val="(%1)"/>
      <w:lvlJc w:val="left"/>
      <w:pPr>
        <w:ind w:left="425" w:hanging="425"/>
      </w:pPr>
      <w:rPr>
        <w:rFonts w:hint="default"/>
      </w:rPr>
    </w:lvl>
  </w:abstractNum>
  <w:abstractNum w:abstractNumId="19">
    <w:nsid w:val="01C8F5AA"/>
    <w:multiLevelType w:val="singleLevel"/>
    <w:tmpl w:val="01C8F5AA"/>
    <w:lvl w:ilvl="0" w:tentative="0">
      <w:start w:val="1"/>
      <w:numFmt w:val="decimal"/>
      <w:lvlText w:val="%1)"/>
      <w:lvlJc w:val="left"/>
      <w:pPr>
        <w:ind w:left="425" w:hanging="425"/>
      </w:pPr>
      <w:rPr>
        <w:rFonts w:hint="default"/>
      </w:rPr>
    </w:lvl>
  </w:abstractNum>
  <w:abstractNum w:abstractNumId="20">
    <w:nsid w:val="024658ED"/>
    <w:multiLevelType w:val="multilevel"/>
    <w:tmpl w:val="024658ED"/>
    <w:lvl w:ilvl="0" w:tentative="0">
      <w:start w:val="1"/>
      <w:numFmt w:val="decimal"/>
      <w:lvlText w:val="3.%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1">
    <w:nsid w:val="029F435A"/>
    <w:multiLevelType w:val="multilevel"/>
    <w:tmpl w:val="029F435A"/>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2">
    <w:nsid w:val="05523C1C"/>
    <w:multiLevelType w:val="multilevel"/>
    <w:tmpl w:val="05523C1C"/>
    <w:lvl w:ilvl="0" w:tentative="0">
      <w:start w:val="10"/>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3.%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3">
    <w:nsid w:val="09B74FFD"/>
    <w:multiLevelType w:val="multilevel"/>
    <w:tmpl w:val="09B74FFD"/>
    <w:lvl w:ilvl="0" w:tentative="0">
      <w:start w:val="1"/>
      <w:numFmt w:val="decimal"/>
      <w:lvlText w:val="3.%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4">
    <w:nsid w:val="09D97AA6"/>
    <w:multiLevelType w:val="multilevel"/>
    <w:tmpl w:val="09D97AA6"/>
    <w:lvl w:ilvl="0" w:tentative="0">
      <w:start w:val="1"/>
      <w:numFmt w:val="decimal"/>
      <w:lvlText w:val="2.%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5">
    <w:nsid w:val="0AD22CA8"/>
    <w:multiLevelType w:val="singleLevel"/>
    <w:tmpl w:val="0AD22CA8"/>
    <w:lvl w:ilvl="0" w:tentative="0">
      <w:start w:val="8"/>
      <w:numFmt w:val="chineseCounting"/>
      <w:suff w:val="nothing"/>
      <w:lvlText w:val="（%1）"/>
      <w:lvlJc w:val="left"/>
      <w:rPr>
        <w:rFonts w:hint="eastAsia"/>
      </w:rPr>
    </w:lvl>
  </w:abstractNum>
  <w:abstractNum w:abstractNumId="26">
    <w:nsid w:val="0C73E627"/>
    <w:multiLevelType w:val="singleLevel"/>
    <w:tmpl w:val="0C73E627"/>
    <w:lvl w:ilvl="0" w:tentative="0">
      <w:start w:val="1"/>
      <w:numFmt w:val="decimal"/>
      <w:lvlText w:val="(%1)"/>
      <w:lvlJc w:val="left"/>
      <w:pPr>
        <w:ind w:left="425" w:hanging="425"/>
      </w:pPr>
      <w:rPr>
        <w:rFonts w:hint="default"/>
      </w:rPr>
    </w:lvl>
  </w:abstractNum>
  <w:abstractNum w:abstractNumId="27">
    <w:nsid w:val="0FCF0352"/>
    <w:multiLevelType w:val="singleLevel"/>
    <w:tmpl w:val="0FCF0352"/>
    <w:lvl w:ilvl="0" w:tentative="0">
      <w:start w:val="1"/>
      <w:numFmt w:val="decimal"/>
      <w:lvlText w:val="(%1)"/>
      <w:lvlJc w:val="left"/>
      <w:pPr>
        <w:ind w:left="425" w:hanging="425"/>
      </w:pPr>
      <w:rPr>
        <w:rFonts w:hint="default"/>
      </w:rPr>
    </w:lvl>
  </w:abstractNum>
  <w:abstractNum w:abstractNumId="28">
    <w:nsid w:val="11993C25"/>
    <w:multiLevelType w:val="singleLevel"/>
    <w:tmpl w:val="11993C25"/>
    <w:lvl w:ilvl="0" w:tentative="0">
      <w:start w:val="1"/>
      <w:numFmt w:val="decimal"/>
      <w:lvlText w:val="(%1)"/>
      <w:lvlJc w:val="left"/>
      <w:pPr>
        <w:ind w:left="425" w:hanging="425"/>
      </w:pPr>
      <w:rPr>
        <w:rFonts w:hint="default"/>
      </w:rPr>
    </w:lvl>
  </w:abstractNum>
  <w:abstractNum w:abstractNumId="29">
    <w:nsid w:val="176E0134"/>
    <w:multiLevelType w:val="multilevel"/>
    <w:tmpl w:val="176E0134"/>
    <w:lvl w:ilvl="0" w:tentative="0">
      <w:start w:val="1"/>
      <w:numFmt w:val="decimal"/>
      <w:lvlText w:val="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1B0F570E"/>
    <w:multiLevelType w:val="multilevel"/>
    <w:tmpl w:val="1B0F570E"/>
    <w:lvl w:ilvl="0" w:tentative="0">
      <w:start w:val="1"/>
      <w:numFmt w:val="decimal"/>
      <w:lvlText w:val="1.%1"/>
      <w:lvlJc w:val="left"/>
      <w:pPr>
        <w:ind w:left="176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1">
    <w:nsid w:val="1B414870"/>
    <w:multiLevelType w:val="multilevel"/>
    <w:tmpl w:val="1B414870"/>
    <w:lvl w:ilvl="0" w:tentative="0">
      <w:start w:val="1"/>
      <w:numFmt w:val="decimal"/>
      <w:lvlText w:val="2.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2">
    <w:nsid w:val="1C8B3985"/>
    <w:multiLevelType w:val="multilevel"/>
    <w:tmpl w:val="1C8B3985"/>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3">
    <w:nsid w:val="1C9FF9B8"/>
    <w:multiLevelType w:val="singleLevel"/>
    <w:tmpl w:val="1C9FF9B8"/>
    <w:lvl w:ilvl="0" w:tentative="0">
      <w:start w:val="1"/>
      <w:numFmt w:val="decimal"/>
      <w:lvlText w:val="%1."/>
      <w:lvlJc w:val="left"/>
      <w:pPr>
        <w:ind w:left="425" w:hanging="425"/>
      </w:pPr>
      <w:rPr>
        <w:rFonts w:hint="default"/>
      </w:rPr>
    </w:lvl>
  </w:abstractNum>
  <w:abstractNum w:abstractNumId="34">
    <w:nsid w:val="1E3D35AF"/>
    <w:multiLevelType w:val="multilevel"/>
    <w:tmpl w:val="1E3D35AF"/>
    <w:lvl w:ilvl="0" w:tentative="0">
      <w:start w:val="1"/>
      <w:numFmt w:val="decimal"/>
      <w:lvlText w:val="2.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5">
    <w:nsid w:val="1E5F4965"/>
    <w:multiLevelType w:val="multilevel"/>
    <w:tmpl w:val="1E5F4965"/>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6">
    <w:nsid w:val="1E986543"/>
    <w:multiLevelType w:val="singleLevel"/>
    <w:tmpl w:val="1E986543"/>
    <w:lvl w:ilvl="0" w:tentative="0">
      <w:start w:val="1"/>
      <w:numFmt w:val="decimal"/>
      <w:lvlText w:val="(%1)"/>
      <w:lvlJc w:val="left"/>
      <w:pPr>
        <w:ind w:left="425" w:hanging="425"/>
      </w:pPr>
      <w:rPr>
        <w:rFonts w:hint="default" w:ascii="宋体" w:hAnsi="宋体" w:eastAsia="宋体" w:cs="宋体"/>
        <w:sz w:val="21"/>
        <w:szCs w:val="21"/>
      </w:rPr>
    </w:lvl>
  </w:abstractNum>
  <w:abstractNum w:abstractNumId="37">
    <w:nsid w:val="1FFBA626"/>
    <w:multiLevelType w:val="singleLevel"/>
    <w:tmpl w:val="1FFBA626"/>
    <w:lvl w:ilvl="0" w:tentative="0">
      <w:start w:val="1"/>
      <w:numFmt w:val="decimal"/>
      <w:lvlText w:val="(%1)"/>
      <w:lvlJc w:val="left"/>
      <w:pPr>
        <w:ind w:left="425" w:hanging="425"/>
      </w:pPr>
      <w:rPr>
        <w:rFonts w:hint="default"/>
      </w:rPr>
    </w:lvl>
  </w:abstractNum>
  <w:abstractNum w:abstractNumId="38">
    <w:nsid w:val="214B62EB"/>
    <w:multiLevelType w:val="multilevel"/>
    <w:tmpl w:val="214B62EB"/>
    <w:lvl w:ilvl="0" w:tentative="0">
      <w:start w:val="1"/>
      <w:numFmt w:val="decimal"/>
      <w:lvlText w:val="3.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9">
    <w:nsid w:val="21CB0A10"/>
    <w:multiLevelType w:val="singleLevel"/>
    <w:tmpl w:val="21CB0A10"/>
    <w:lvl w:ilvl="0" w:tentative="0">
      <w:start w:val="1"/>
      <w:numFmt w:val="decimal"/>
      <w:lvlText w:val="%1)"/>
      <w:lvlJc w:val="left"/>
      <w:pPr>
        <w:ind w:left="425" w:hanging="425"/>
      </w:pPr>
      <w:rPr>
        <w:rFonts w:hint="default"/>
      </w:rPr>
    </w:lvl>
  </w:abstractNum>
  <w:abstractNum w:abstractNumId="40">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2."/>
      <w:lvlJc w:val="left"/>
      <w:pPr>
        <w:ind w:left="1760" w:hanging="440"/>
      </w:pPr>
      <w:rPr>
        <w:rFonts w:ascii="宋体" w:hAnsi="宋体" w:eastAsia="宋体"/>
        <w:b/>
        <w:bCs/>
        <w:color w:val="auto"/>
        <w:sz w:val="21"/>
        <w:szCs w:val="21"/>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41">
    <w:nsid w:val="2420F134"/>
    <w:multiLevelType w:val="singleLevel"/>
    <w:tmpl w:val="2420F134"/>
    <w:lvl w:ilvl="0" w:tentative="0">
      <w:start w:val="1"/>
      <w:numFmt w:val="decimal"/>
      <w:lvlText w:val="(%1)"/>
      <w:lvlJc w:val="left"/>
      <w:pPr>
        <w:ind w:left="425" w:hanging="425"/>
      </w:pPr>
      <w:rPr>
        <w:rFonts w:hint="default"/>
      </w:rPr>
    </w:lvl>
  </w:abstractNum>
  <w:abstractNum w:abstractNumId="42">
    <w:nsid w:val="25AF618C"/>
    <w:multiLevelType w:val="multilevel"/>
    <w:tmpl w:val="25AF618C"/>
    <w:lvl w:ilvl="0" w:tentative="0">
      <w:start w:val="1"/>
      <w:numFmt w:val="decimal"/>
      <w:lvlText w:val="4.%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3">
    <w:nsid w:val="26A5379A"/>
    <w:multiLevelType w:val="multilevel"/>
    <w:tmpl w:val="26A5379A"/>
    <w:lvl w:ilvl="0" w:tentative="0">
      <w:start w:val="1"/>
      <w:numFmt w:val="decimal"/>
      <w:lvlText w:val="6.%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4">
    <w:nsid w:val="27B33AF9"/>
    <w:multiLevelType w:val="multilevel"/>
    <w:tmpl w:val="27B33AF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5">
    <w:nsid w:val="2823058D"/>
    <w:multiLevelType w:val="multilevel"/>
    <w:tmpl w:val="2823058D"/>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6">
    <w:nsid w:val="2B201C5B"/>
    <w:multiLevelType w:val="multilevel"/>
    <w:tmpl w:val="2B201C5B"/>
    <w:lvl w:ilvl="0" w:tentative="0">
      <w:start w:val="1"/>
      <w:numFmt w:val="decimal"/>
      <w:lvlText w:val="10.%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7">
    <w:nsid w:val="2BC6076A"/>
    <w:multiLevelType w:val="singleLevel"/>
    <w:tmpl w:val="2BC6076A"/>
    <w:lvl w:ilvl="0" w:tentative="0">
      <w:start w:val="1"/>
      <w:numFmt w:val="decimal"/>
      <w:lvlText w:val="(%1)"/>
      <w:lvlJc w:val="left"/>
      <w:pPr>
        <w:ind w:left="425" w:hanging="425"/>
      </w:pPr>
      <w:rPr>
        <w:rFonts w:hint="default"/>
      </w:rPr>
    </w:lvl>
  </w:abstractNum>
  <w:abstractNum w:abstractNumId="48">
    <w:nsid w:val="2EB6D1AE"/>
    <w:multiLevelType w:val="singleLevel"/>
    <w:tmpl w:val="2EB6D1AE"/>
    <w:lvl w:ilvl="0" w:tentative="0">
      <w:start w:val="1"/>
      <w:numFmt w:val="decimal"/>
      <w:lvlText w:val="%1)"/>
      <w:lvlJc w:val="left"/>
      <w:pPr>
        <w:ind w:left="425" w:hanging="425"/>
      </w:pPr>
      <w:rPr>
        <w:rFonts w:hint="default"/>
      </w:rPr>
    </w:lvl>
  </w:abstractNum>
  <w:abstractNum w:abstractNumId="49">
    <w:nsid w:val="32116584"/>
    <w:multiLevelType w:val="multilevel"/>
    <w:tmpl w:val="32116584"/>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0">
    <w:nsid w:val="339104E6"/>
    <w:multiLevelType w:val="multilevel"/>
    <w:tmpl w:val="339104E6"/>
    <w:lvl w:ilvl="0" w:tentative="0">
      <w:start w:val="1"/>
      <w:numFmt w:val="decimal"/>
      <w:lvlText w:val="%1."/>
      <w:lvlJc w:val="left"/>
      <w:pPr>
        <w:ind w:left="440" w:hanging="440"/>
      </w:pPr>
      <w:rPr>
        <w:rFonts w:ascii="宋体" w:hAnsi="宋体" w:eastAsia="宋体"/>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1">
    <w:nsid w:val="389C7C8D"/>
    <w:multiLevelType w:val="multilevel"/>
    <w:tmpl w:val="389C7C8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2">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3">
    <w:nsid w:val="3ACB47A2"/>
    <w:multiLevelType w:val="multilevel"/>
    <w:tmpl w:val="3ACB47A2"/>
    <w:lvl w:ilvl="0" w:tentative="0">
      <w:start w:val="1"/>
      <w:numFmt w:val="decimal"/>
      <w:lvlText w:val="9.%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4">
    <w:nsid w:val="3B5437E8"/>
    <w:multiLevelType w:val="multilevel"/>
    <w:tmpl w:val="3B5437E8"/>
    <w:lvl w:ilvl="0" w:tentative="0">
      <w:start w:val="1"/>
      <w:numFmt w:val="decimal"/>
      <w:lvlText w:val="8.%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5">
    <w:nsid w:val="3F432B56"/>
    <w:multiLevelType w:val="multilevel"/>
    <w:tmpl w:val="3F432B56"/>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6">
    <w:nsid w:val="3F4C0033"/>
    <w:multiLevelType w:val="multilevel"/>
    <w:tmpl w:val="3F4C0033"/>
    <w:lvl w:ilvl="0" w:tentative="0">
      <w:start w:val="1"/>
      <w:numFmt w:val="decimal"/>
      <w:lvlText w:val="5.%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7">
    <w:nsid w:val="422662C0"/>
    <w:multiLevelType w:val="multilevel"/>
    <w:tmpl w:val="422662C0"/>
    <w:lvl w:ilvl="0" w:tentative="0">
      <w:start w:val="1"/>
      <w:numFmt w:val="chineseCounting"/>
      <w:lvlText w:val="%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8">
    <w:nsid w:val="42531D2A"/>
    <w:multiLevelType w:val="multilevel"/>
    <w:tmpl w:val="42531D2A"/>
    <w:lvl w:ilvl="0" w:tentative="0">
      <w:start w:val="1"/>
      <w:numFmt w:val="chineseCountingThousand"/>
      <w:lvlText w:val="%1、"/>
      <w:lvlJc w:val="left"/>
      <w:pPr>
        <w:ind w:left="2284" w:hanging="440"/>
      </w:pPr>
      <w:rPr>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9">
    <w:nsid w:val="42952307"/>
    <w:multiLevelType w:val="multilevel"/>
    <w:tmpl w:val="42952307"/>
    <w:lvl w:ilvl="0" w:tentative="0">
      <w:start w:val="1"/>
      <w:numFmt w:val="decimal"/>
      <w:lvlText w:val="6.1.%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0">
    <w:nsid w:val="42E764AE"/>
    <w:multiLevelType w:val="multilevel"/>
    <w:tmpl w:val="42E764AE"/>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1">
    <w:nsid w:val="44A4036E"/>
    <w:multiLevelType w:val="multilevel"/>
    <w:tmpl w:val="44A4036E"/>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1.%3"/>
      <w:lvlJc w:val="left"/>
      <w:pPr>
        <w:ind w:left="176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62">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3">
    <w:nsid w:val="46C47DDD"/>
    <w:multiLevelType w:val="multilevel"/>
    <w:tmpl w:val="46C47DDD"/>
    <w:lvl w:ilvl="0" w:tentative="0">
      <w:start w:val="1"/>
      <w:numFmt w:val="decimal"/>
      <w:lvlText w:val="7.%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4">
    <w:nsid w:val="4B900A3F"/>
    <w:multiLevelType w:val="multilevel"/>
    <w:tmpl w:val="4B900A3F"/>
    <w:lvl w:ilvl="0" w:tentative="0">
      <w:start w:val="1"/>
      <w:numFmt w:val="decimal"/>
      <w:lvlText w:val="7.%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5">
    <w:nsid w:val="4BB06789"/>
    <w:multiLevelType w:val="multilevel"/>
    <w:tmpl w:val="4BB06789"/>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6">
    <w:nsid w:val="4CDC4960"/>
    <w:multiLevelType w:val="multilevel"/>
    <w:tmpl w:val="4CDC4960"/>
    <w:lvl w:ilvl="0" w:tentative="0">
      <w:start w:val="1"/>
      <w:numFmt w:val="decimal"/>
      <w:lvlText w:val="6.%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7">
    <w:nsid w:val="4E294E39"/>
    <w:multiLevelType w:val="multilevel"/>
    <w:tmpl w:val="4E294E39"/>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8">
    <w:nsid w:val="4E422094"/>
    <w:multiLevelType w:val="singleLevel"/>
    <w:tmpl w:val="4E422094"/>
    <w:lvl w:ilvl="0" w:tentative="0">
      <w:start w:val="1"/>
      <w:numFmt w:val="decimal"/>
      <w:lvlText w:val="%1)"/>
      <w:lvlJc w:val="left"/>
      <w:pPr>
        <w:ind w:left="425" w:hanging="425"/>
      </w:pPr>
      <w:rPr>
        <w:rFonts w:hint="default"/>
      </w:rPr>
    </w:lvl>
  </w:abstractNum>
  <w:abstractNum w:abstractNumId="69">
    <w:nsid w:val="4E4501A6"/>
    <w:multiLevelType w:val="multilevel"/>
    <w:tmpl w:val="4E4501A6"/>
    <w:lvl w:ilvl="0" w:tentative="0">
      <w:start w:val="1"/>
      <w:numFmt w:val="decimal"/>
      <w:lvlText w:val="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0">
    <w:nsid w:val="4E554EA7"/>
    <w:multiLevelType w:val="multilevel"/>
    <w:tmpl w:val="4E554EA7"/>
    <w:lvl w:ilvl="0" w:tentative="0">
      <w:start w:val="1"/>
      <w:numFmt w:val="decimal"/>
      <w:lvlText w:val="3.2.%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1">
    <w:nsid w:val="511565A4"/>
    <w:multiLevelType w:val="multilevel"/>
    <w:tmpl w:val="511565A4"/>
    <w:lvl w:ilvl="0" w:tentative="0">
      <w:start w:val="1"/>
      <w:numFmt w:val="decimal"/>
      <w:lvlText w:val="6.%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2">
    <w:nsid w:val="51365B5F"/>
    <w:multiLevelType w:val="multilevel"/>
    <w:tmpl w:val="51365B5F"/>
    <w:lvl w:ilvl="0" w:tentative="0">
      <w:start w:val="1"/>
      <w:numFmt w:val="decimal"/>
      <w:lvlText w:val="%1."/>
      <w:lvlJc w:val="left"/>
      <w:pPr>
        <w:ind w:left="440" w:hanging="440"/>
      </w:pPr>
      <w:rPr>
        <w:rFonts w:ascii="宋体" w:hAnsi="宋体" w:eastAsia="宋体"/>
        <w:b/>
        <w:bCs/>
        <w:sz w:val="24"/>
        <w:szCs w:val="24"/>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3">
    <w:nsid w:val="51F7C91A"/>
    <w:multiLevelType w:val="singleLevel"/>
    <w:tmpl w:val="51F7C91A"/>
    <w:lvl w:ilvl="0" w:tentative="0">
      <w:start w:val="1"/>
      <w:numFmt w:val="decimal"/>
      <w:lvlText w:val="(%1)"/>
      <w:lvlJc w:val="left"/>
      <w:pPr>
        <w:ind w:left="425" w:hanging="425"/>
      </w:pPr>
      <w:rPr>
        <w:rFonts w:hint="default"/>
      </w:rPr>
    </w:lvl>
  </w:abstractNum>
  <w:abstractNum w:abstractNumId="74">
    <w:nsid w:val="521A7766"/>
    <w:multiLevelType w:val="multilevel"/>
    <w:tmpl w:val="521A7766"/>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4"/>
        <w:szCs w:val="24"/>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5">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6">
    <w:nsid w:val="5340019D"/>
    <w:multiLevelType w:val="multilevel"/>
    <w:tmpl w:val="5340019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7">
    <w:nsid w:val="55E32074"/>
    <w:multiLevelType w:val="multilevel"/>
    <w:tmpl w:val="55E32074"/>
    <w:lvl w:ilvl="0" w:tentative="0">
      <w:start w:val="1"/>
      <w:numFmt w:val="chineseCounting"/>
      <w:lvlText w:val="%1、"/>
      <w:lvlJc w:val="left"/>
      <w:pPr>
        <w:ind w:left="420" w:hanging="420"/>
      </w:pPr>
      <w:rPr>
        <w:rFonts w:hint="eastAsia" w:ascii="宋体" w:hAnsi="宋体" w:eastAsia="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8">
    <w:nsid w:val="56537374"/>
    <w:multiLevelType w:val="multilevel"/>
    <w:tmpl w:val="56537374"/>
    <w:lvl w:ilvl="0" w:tentative="0">
      <w:start w:val="1"/>
      <w:numFmt w:val="decimal"/>
      <w:lvlText w:val="9.%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9">
    <w:nsid w:val="567C1180"/>
    <w:multiLevelType w:val="multilevel"/>
    <w:tmpl w:val="567C1180"/>
    <w:lvl w:ilvl="0" w:tentative="0">
      <w:start w:val="1"/>
      <w:numFmt w:val="decimal"/>
      <w:lvlText w:val="3.%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0">
    <w:nsid w:val="57813E83"/>
    <w:multiLevelType w:val="multilevel"/>
    <w:tmpl w:val="57813E83"/>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1">
    <w:nsid w:val="59223B09"/>
    <w:multiLevelType w:val="multilevel"/>
    <w:tmpl w:val="59223B09"/>
    <w:lvl w:ilvl="0" w:tentative="0">
      <w:start w:val="1"/>
      <w:numFmt w:val="decimal"/>
      <w:lvlText w:val="6.2.%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2">
    <w:nsid w:val="59ADD789"/>
    <w:multiLevelType w:val="singleLevel"/>
    <w:tmpl w:val="59ADD789"/>
    <w:lvl w:ilvl="0" w:tentative="0">
      <w:start w:val="1"/>
      <w:numFmt w:val="decimal"/>
      <w:lvlText w:val="%1."/>
      <w:lvlJc w:val="left"/>
      <w:pPr>
        <w:ind w:left="425" w:hanging="425"/>
      </w:pPr>
      <w:rPr>
        <w:rFonts w:hint="default"/>
      </w:rPr>
    </w:lvl>
  </w:abstractNum>
  <w:abstractNum w:abstractNumId="83">
    <w:nsid w:val="5AC85E18"/>
    <w:multiLevelType w:val="singleLevel"/>
    <w:tmpl w:val="5AC85E18"/>
    <w:lvl w:ilvl="0" w:tentative="0">
      <w:start w:val="1"/>
      <w:numFmt w:val="chineseCounting"/>
      <w:suff w:val="nothing"/>
      <w:lvlText w:val="（%1）"/>
      <w:lvlJc w:val="left"/>
      <w:pPr>
        <w:ind w:left="0" w:firstLine="420"/>
      </w:pPr>
      <w:rPr>
        <w:rFonts w:hint="eastAsia"/>
      </w:rPr>
    </w:lvl>
  </w:abstractNum>
  <w:abstractNum w:abstractNumId="84">
    <w:nsid w:val="5B8969A8"/>
    <w:multiLevelType w:val="multilevel"/>
    <w:tmpl w:val="5B8969A8"/>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5">
    <w:nsid w:val="5C3763FC"/>
    <w:multiLevelType w:val="multilevel"/>
    <w:tmpl w:val="5C3763FC"/>
    <w:lvl w:ilvl="0" w:tentative="0">
      <w:start w:val="1"/>
      <w:numFmt w:val="decimal"/>
      <w:lvlText w:val="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6">
    <w:nsid w:val="5C77EC80"/>
    <w:multiLevelType w:val="singleLevel"/>
    <w:tmpl w:val="5C77EC80"/>
    <w:lvl w:ilvl="0" w:tentative="0">
      <w:start w:val="1"/>
      <w:numFmt w:val="decimal"/>
      <w:lvlText w:val="%1."/>
      <w:lvlJc w:val="left"/>
      <w:pPr>
        <w:ind w:left="425" w:hanging="425"/>
      </w:pPr>
      <w:rPr>
        <w:rFonts w:hint="default"/>
      </w:rPr>
    </w:lvl>
  </w:abstractNum>
  <w:abstractNum w:abstractNumId="87">
    <w:nsid w:val="5F310334"/>
    <w:multiLevelType w:val="singleLevel"/>
    <w:tmpl w:val="5F310334"/>
    <w:lvl w:ilvl="0" w:tentative="0">
      <w:start w:val="1"/>
      <w:numFmt w:val="decimal"/>
      <w:lvlText w:val="%1)"/>
      <w:lvlJc w:val="left"/>
      <w:pPr>
        <w:ind w:left="425" w:hanging="425"/>
      </w:pPr>
      <w:rPr>
        <w:rFonts w:hint="default"/>
      </w:rPr>
    </w:lvl>
  </w:abstractNum>
  <w:abstractNum w:abstractNumId="88">
    <w:nsid w:val="5F7FA944"/>
    <w:multiLevelType w:val="singleLevel"/>
    <w:tmpl w:val="5F7FA944"/>
    <w:lvl w:ilvl="0" w:tentative="0">
      <w:start w:val="1"/>
      <w:numFmt w:val="decimal"/>
      <w:lvlText w:val="(%1)"/>
      <w:lvlJc w:val="left"/>
      <w:pPr>
        <w:ind w:left="425" w:hanging="425"/>
      </w:pPr>
      <w:rPr>
        <w:rFonts w:hint="default"/>
      </w:rPr>
    </w:lvl>
  </w:abstractNum>
  <w:abstractNum w:abstractNumId="89">
    <w:nsid w:val="60C36DF7"/>
    <w:multiLevelType w:val="multilevel"/>
    <w:tmpl w:val="60C36DF7"/>
    <w:lvl w:ilvl="0" w:tentative="0">
      <w:start w:val="1"/>
      <w:numFmt w:val="decimal"/>
      <w:lvlText w:val="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0">
    <w:nsid w:val="63AE47AF"/>
    <w:multiLevelType w:val="multilevel"/>
    <w:tmpl w:val="63AE47AF"/>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1">
    <w:nsid w:val="63C133C9"/>
    <w:multiLevelType w:val="multilevel"/>
    <w:tmpl w:val="63C133C9"/>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2">
    <w:nsid w:val="64D2277D"/>
    <w:multiLevelType w:val="multilevel"/>
    <w:tmpl w:val="64D2277D"/>
    <w:lvl w:ilvl="0" w:tentative="0">
      <w:start w:val="1"/>
      <w:numFmt w:val="decimal"/>
      <w:lvlText w:val="1.%1"/>
      <w:lvlJc w:val="left"/>
      <w:pPr>
        <w:ind w:left="440" w:hanging="440"/>
      </w:pPr>
      <w:rPr>
        <w:rFonts w:hint="eastAsia"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3">
    <w:nsid w:val="6927BEF9"/>
    <w:multiLevelType w:val="singleLevel"/>
    <w:tmpl w:val="6927BEF9"/>
    <w:lvl w:ilvl="0" w:tentative="0">
      <w:start w:val="1"/>
      <w:numFmt w:val="decimal"/>
      <w:lvlText w:val="%1."/>
      <w:lvlJc w:val="left"/>
      <w:pPr>
        <w:ind w:left="425" w:hanging="425"/>
      </w:pPr>
      <w:rPr>
        <w:rFonts w:hint="default"/>
        <w:b w:val="0"/>
        <w:bCs w:val="0"/>
      </w:rPr>
    </w:lvl>
  </w:abstractNum>
  <w:abstractNum w:abstractNumId="94">
    <w:nsid w:val="6A842ACD"/>
    <w:multiLevelType w:val="multilevel"/>
    <w:tmpl w:val="6A842ACD"/>
    <w:lvl w:ilvl="0" w:tentative="0">
      <w:start w:val="1"/>
      <w:numFmt w:val="decimal"/>
      <w:lvlText w:val="2.%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5">
    <w:nsid w:val="6A9C2F71"/>
    <w:multiLevelType w:val="multilevel"/>
    <w:tmpl w:val="6A9C2F71"/>
    <w:lvl w:ilvl="0" w:tentative="0">
      <w:start w:val="1"/>
      <w:numFmt w:val="decimal"/>
      <w:lvlText w:val="3.1.%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6">
    <w:nsid w:val="6DB80B08"/>
    <w:multiLevelType w:val="multilevel"/>
    <w:tmpl w:val="6DB80B08"/>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7">
    <w:nsid w:val="6E83542C"/>
    <w:multiLevelType w:val="multilevel"/>
    <w:tmpl w:val="6E83542C"/>
    <w:lvl w:ilvl="0" w:tentative="0">
      <w:start w:val="1"/>
      <w:numFmt w:val="decimal"/>
      <w:lvlText w:val="3.2.%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8">
    <w:nsid w:val="6F3F1A11"/>
    <w:multiLevelType w:val="multilevel"/>
    <w:tmpl w:val="6F3F1A11"/>
    <w:lvl w:ilvl="0" w:tentative="0">
      <w:start w:val="1"/>
      <w:numFmt w:val="decimal"/>
      <w:lvlText w:val="2.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9">
    <w:nsid w:val="725E4E8E"/>
    <w:multiLevelType w:val="multilevel"/>
    <w:tmpl w:val="725E4E8E"/>
    <w:lvl w:ilvl="0" w:tentative="0">
      <w:start w:val="1"/>
      <w:numFmt w:val="decimal"/>
      <w:lvlText w:val="%1."/>
      <w:lvlJc w:val="left"/>
      <w:pPr>
        <w:ind w:left="440" w:hanging="440"/>
      </w:pPr>
      <w:rPr>
        <w:rFonts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0">
    <w:nsid w:val="72EC1D55"/>
    <w:multiLevelType w:val="multilevel"/>
    <w:tmpl w:val="72EC1D55"/>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1">
    <w:nsid w:val="73A837DF"/>
    <w:multiLevelType w:val="singleLevel"/>
    <w:tmpl w:val="73A837DF"/>
    <w:lvl w:ilvl="0" w:tentative="0">
      <w:start w:val="1"/>
      <w:numFmt w:val="decimal"/>
      <w:lvlText w:val="(%1)"/>
      <w:lvlJc w:val="left"/>
      <w:pPr>
        <w:ind w:left="425" w:hanging="425"/>
      </w:pPr>
      <w:rPr>
        <w:rFonts w:hint="default"/>
      </w:rPr>
    </w:lvl>
  </w:abstractNum>
  <w:abstractNum w:abstractNumId="102">
    <w:nsid w:val="746E74E4"/>
    <w:multiLevelType w:val="multilevel"/>
    <w:tmpl w:val="746E74E4"/>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3">
    <w:nsid w:val="74B6D4CB"/>
    <w:multiLevelType w:val="singleLevel"/>
    <w:tmpl w:val="74B6D4CB"/>
    <w:lvl w:ilvl="0" w:tentative="0">
      <w:start w:val="1"/>
      <w:numFmt w:val="decimal"/>
      <w:lvlText w:val="(%1)"/>
      <w:lvlJc w:val="left"/>
      <w:pPr>
        <w:ind w:left="425" w:hanging="425"/>
      </w:pPr>
      <w:rPr>
        <w:rFonts w:hint="default"/>
      </w:rPr>
    </w:lvl>
  </w:abstractNum>
  <w:abstractNum w:abstractNumId="104">
    <w:nsid w:val="75EB1593"/>
    <w:multiLevelType w:val="multilevel"/>
    <w:tmpl w:val="75EB1593"/>
    <w:lvl w:ilvl="0" w:tentative="0">
      <w:start w:val="1"/>
      <w:numFmt w:val="decimal"/>
      <w:lvlText w:val="6.3.%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5">
    <w:nsid w:val="76026B7A"/>
    <w:multiLevelType w:val="multilevel"/>
    <w:tmpl w:val="76026B7A"/>
    <w:lvl w:ilvl="0" w:tentative="0">
      <w:start w:val="1"/>
      <w:numFmt w:val="decimal"/>
      <w:lvlText w:val="5.%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6">
    <w:nsid w:val="7A1B3571"/>
    <w:multiLevelType w:val="multilevel"/>
    <w:tmpl w:val="7A1B3571"/>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2.%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07">
    <w:nsid w:val="7E427A18"/>
    <w:multiLevelType w:val="multilevel"/>
    <w:tmpl w:val="7E427A18"/>
    <w:lvl w:ilvl="0" w:tentative="0">
      <w:start w:val="1"/>
      <w:numFmt w:val="decimal"/>
      <w:lvlText w:val="8.%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8">
    <w:nsid w:val="7E72D443"/>
    <w:multiLevelType w:val="singleLevel"/>
    <w:tmpl w:val="7E72D443"/>
    <w:lvl w:ilvl="0" w:tentative="0">
      <w:start w:val="1"/>
      <w:numFmt w:val="decimal"/>
      <w:lvlText w:val="(%1)"/>
      <w:lvlJc w:val="left"/>
      <w:pPr>
        <w:ind w:left="425" w:hanging="425"/>
      </w:pPr>
      <w:rPr>
        <w:rFonts w:hint="default"/>
      </w:rPr>
    </w:lvl>
  </w:abstractNum>
  <w:abstractNum w:abstractNumId="109">
    <w:nsid w:val="7EBA75BF"/>
    <w:multiLevelType w:val="multilevel"/>
    <w:tmpl w:val="7EBA75BF"/>
    <w:lvl w:ilvl="0" w:tentative="0">
      <w:start w:val="1"/>
      <w:numFmt w:val="decimal"/>
      <w:lvlText w:val="7.1.%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0">
    <w:nsid w:val="7F5F2FE2"/>
    <w:multiLevelType w:val="multilevel"/>
    <w:tmpl w:val="7F5F2FE2"/>
    <w:lvl w:ilvl="0" w:tentative="0">
      <w:start w:val="1"/>
      <w:numFmt w:val="decimal"/>
      <w:lvlText w:val="3.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50"/>
  </w:num>
  <w:num w:numId="2">
    <w:abstractNumId w:val="44"/>
  </w:num>
  <w:num w:numId="3">
    <w:abstractNumId w:val="60"/>
  </w:num>
  <w:num w:numId="4">
    <w:abstractNumId w:val="49"/>
  </w:num>
  <w:num w:numId="5">
    <w:abstractNumId w:val="67"/>
  </w:num>
  <w:num w:numId="6">
    <w:abstractNumId w:val="100"/>
  </w:num>
  <w:num w:numId="7">
    <w:abstractNumId w:val="102"/>
  </w:num>
  <w:num w:numId="8">
    <w:abstractNumId w:val="7"/>
  </w:num>
  <w:num w:numId="9">
    <w:abstractNumId w:val="9"/>
  </w:num>
  <w:num w:numId="10">
    <w:abstractNumId w:val="93"/>
  </w:num>
  <w:num w:numId="11">
    <w:abstractNumId w:val="16"/>
  </w:num>
  <w:num w:numId="12">
    <w:abstractNumId w:val="82"/>
  </w:num>
  <w:num w:numId="13">
    <w:abstractNumId w:val="33"/>
  </w:num>
  <w:num w:numId="14">
    <w:abstractNumId w:val="83"/>
  </w:num>
  <w:num w:numId="15">
    <w:abstractNumId w:val="14"/>
  </w:num>
  <w:num w:numId="16">
    <w:abstractNumId w:val="15"/>
  </w:num>
  <w:num w:numId="17">
    <w:abstractNumId w:val="11"/>
  </w:num>
  <w:num w:numId="18">
    <w:abstractNumId w:val="18"/>
  </w:num>
  <w:num w:numId="19">
    <w:abstractNumId w:val="1"/>
  </w:num>
  <w:num w:numId="20">
    <w:abstractNumId w:val="17"/>
  </w:num>
  <w:num w:numId="21">
    <w:abstractNumId w:val="87"/>
  </w:num>
  <w:num w:numId="22">
    <w:abstractNumId w:val="8"/>
  </w:num>
  <w:num w:numId="23">
    <w:abstractNumId w:val="6"/>
  </w:num>
  <w:num w:numId="24">
    <w:abstractNumId w:val="19"/>
  </w:num>
  <w:num w:numId="25">
    <w:abstractNumId w:val="39"/>
  </w:num>
  <w:num w:numId="26">
    <w:abstractNumId w:val="5"/>
  </w:num>
  <w:num w:numId="27">
    <w:abstractNumId w:val="68"/>
  </w:num>
  <w:num w:numId="28">
    <w:abstractNumId w:val="36"/>
  </w:num>
  <w:num w:numId="29">
    <w:abstractNumId w:val="4"/>
  </w:num>
  <w:num w:numId="30">
    <w:abstractNumId w:val="41"/>
  </w:num>
  <w:num w:numId="31">
    <w:abstractNumId w:val="101"/>
  </w:num>
  <w:num w:numId="32">
    <w:abstractNumId w:val="26"/>
  </w:num>
  <w:num w:numId="33">
    <w:abstractNumId w:val="73"/>
  </w:num>
  <w:num w:numId="34">
    <w:abstractNumId w:val="27"/>
  </w:num>
  <w:num w:numId="35">
    <w:abstractNumId w:val="108"/>
  </w:num>
  <w:num w:numId="36">
    <w:abstractNumId w:val="48"/>
  </w:num>
  <w:num w:numId="37">
    <w:abstractNumId w:val="3"/>
  </w:num>
  <w:num w:numId="38">
    <w:abstractNumId w:val="13"/>
  </w:num>
  <w:num w:numId="39">
    <w:abstractNumId w:val="2"/>
  </w:num>
  <w:num w:numId="40">
    <w:abstractNumId w:val="10"/>
  </w:num>
  <w:num w:numId="41">
    <w:abstractNumId w:val="37"/>
  </w:num>
  <w:num w:numId="42">
    <w:abstractNumId w:val="28"/>
  </w:num>
  <w:num w:numId="43">
    <w:abstractNumId w:val="12"/>
  </w:num>
  <w:num w:numId="44">
    <w:abstractNumId w:val="103"/>
  </w:num>
  <w:num w:numId="45">
    <w:abstractNumId w:val="86"/>
  </w:num>
  <w:num w:numId="46">
    <w:abstractNumId w:val="0"/>
  </w:num>
  <w:num w:numId="47">
    <w:abstractNumId w:val="88"/>
  </w:num>
  <w:num w:numId="48">
    <w:abstractNumId w:val="47"/>
  </w:num>
  <w:num w:numId="49">
    <w:abstractNumId w:val="58"/>
  </w:num>
  <w:num w:numId="50">
    <w:abstractNumId w:val="99"/>
  </w:num>
  <w:num w:numId="51">
    <w:abstractNumId w:val="84"/>
  </w:num>
  <w:num w:numId="52">
    <w:abstractNumId w:val="56"/>
  </w:num>
  <w:num w:numId="53">
    <w:abstractNumId w:val="35"/>
  </w:num>
  <w:num w:numId="54">
    <w:abstractNumId w:val="107"/>
  </w:num>
  <w:num w:numId="55">
    <w:abstractNumId w:val="78"/>
  </w:num>
  <w:num w:numId="56">
    <w:abstractNumId w:val="46"/>
  </w:num>
  <w:num w:numId="57">
    <w:abstractNumId w:val="90"/>
  </w:num>
  <w:num w:numId="58">
    <w:abstractNumId w:val="51"/>
  </w:num>
  <w:num w:numId="59">
    <w:abstractNumId w:val="91"/>
  </w:num>
  <w:num w:numId="60">
    <w:abstractNumId w:val="85"/>
  </w:num>
  <w:num w:numId="61">
    <w:abstractNumId w:val="98"/>
  </w:num>
  <w:num w:numId="62">
    <w:abstractNumId w:val="96"/>
  </w:num>
  <w:num w:numId="63">
    <w:abstractNumId w:val="38"/>
  </w:num>
  <w:num w:numId="64">
    <w:abstractNumId w:val="29"/>
  </w:num>
  <w:num w:numId="65">
    <w:abstractNumId w:val="24"/>
  </w:num>
  <w:num w:numId="66">
    <w:abstractNumId w:val="66"/>
  </w:num>
  <w:num w:numId="67">
    <w:abstractNumId w:val="59"/>
  </w:num>
  <w:num w:numId="68">
    <w:abstractNumId w:val="81"/>
  </w:num>
  <w:num w:numId="69">
    <w:abstractNumId w:val="104"/>
  </w:num>
  <w:num w:numId="70">
    <w:abstractNumId w:val="63"/>
  </w:num>
  <w:num w:numId="71">
    <w:abstractNumId w:val="54"/>
  </w:num>
  <w:num w:numId="72">
    <w:abstractNumId w:val="53"/>
  </w:num>
  <w:num w:numId="73">
    <w:abstractNumId w:val="65"/>
  </w:num>
  <w:num w:numId="74">
    <w:abstractNumId w:val="21"/>
  </w:num>
  <w:num w:numId="75">
    <w:abstractNumId w:val="79"/>
  </w:num>
  <w:num w:numId="76">
    <w:abstractNumId w:val="95"/>
  </w:num>
  <w:num w:numId="77">
    <w:abstractNumId w:val="97"/>
  </w:num>
  <w:num w:numId="78">
    <w:abstractNumId w:val="32"/>
  </w:num>
  <w:num w:numId="79">
    <w:abstractNumId w:val="45"/>
  </w:num>
  <w:num w:numId="80">
    <w:abstractNumId w:val="80"/>
  </w:num>
  <w:num w:numId="81">
    <w:abstractNumId w:val="31"/>
  </w:num>
  <w:num w:numId="82">
    <w:abstractNumId w:val="34"/>
  </w:num>
  <w:num w:numId="83">
    <w:abstractNumId w:val="23"/>
  </w:num>
  <w:num w:numId="84">
    <w:abstractNumId w:val="62"/>
  </w:num>
  <w:num w:numId="85">
    <w:abstractNumId w:val="74"/>
  </w:num>
  <w:num w:numId="86">
    <w:abstractNumId w:val="89"/>
  </w:num>
  <w:num w:numId="87">
    <w:abstractNumId w:val="55"/>
  </w:num>
  <w:num w:numId="88">
    <w:abstractNumId w:val="57"/>
  </w:num>
  <w:num w:numId="89">
    <w:abstractNumId w:val="76"/>
  </w:num>
  <w:num w:numId="90">
    <w:abstractNumId w:val="92"/>
  </w:num>
  <w:num w:numId="91">
    <w:abstractNumId w:val="94"/>
  </w:num>
  <w:num w:numId="92">
    <w:abstractNumId w:val="69"/>
  </w:num>
  <w:num w:numId="93">
    <w:abstractNumId w:val="70"/>
  </w:num>
  <w:num w:numId="94">
    <w:abstractNumId w:val="110"/>
  </w:num>
  <w:num w:numId="95">
    <w:abstractNumId w:val="42"/>
  </w:num>
  <w:num w:numId="96">
    <w:abstractNumId w:val="71"/>
  </w:num>
  <w:num w:numId="97">
    <w:abstractNumId w:val="64"/>
  </w:num>
  <w:num w:numId="98">
    <w:abstractNumId w:val="109"/>
  </w:num>
  <w:num w:numId="99">
    <w:abstractNumId w:val="40"/>
  </w:num>
  <w:num w:numId="100">
    <w:abstractNumId w:val="61"/>
  </w:num>
  <w:num w:numId="101">
    <w:abstractNumId w:val="106"/>
  </w:num>
  <w:num w:numId="102">
    <w:abstractNumId w:val="22"/>
  </w:num>
  <w:num w:numId="103">
    <w:abstractNumId w:val="43"/>
  </w:num>
  <w:num w:numId="104">
    <w:abstractNumId w:val="75"/>
  </w:num>
  <w:num w:numId="105">
    <w:abstractNumId w:val="72"/>
  </w:num>
  <w:num w:numId="106">
    <w:abstractNumId w:val="30"/>
  </w:num>
  <w:num w:numId="107">
    <w:abstractNumId w:val="20"/>
  </w:num>
  <w:num w:numId="108">
    <w:abstractNumId w:val="105"/>
  </w:num>
  <w:num w:numId="109">
    <w:abstractNumId w:val="25"/>
  </w:num>
  <w:num w:numId="110">
    <w:abstractNumId w:val="52"/>
  </w:num>
  <w:num w:numId="111">
    <w:abstractNumId w:val="7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435"/>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RkMTVkYWI1MjVmMWQwODg5MDk4NmNhYzMwY2Y4YjUifQ=="/>
  </w:docVars>
  <w:rsids>
    <w:rsidRoot w:val="00D67DDF"/>
    <w:rsid w:val="00005259"/>
    <w:rsid w:val="0000631A"/>
    <w:rsid w:val="00013CD5"/>
    <w:rsid w:val="0001532D"/>
    <w:rsid w:val="00022B44"/>
    <w:rsid w:val="00034FD7"/>
    <w:rsid w:val="00042CBF"/>
    <w:rsid w:val="0004353D"/>
    <w:rsid w:val="000472B9"/>
    <w:rsid w:val="00051A24"/>
    <w:rsid w:val="00056003"/>
    <w:rsid w:val="00061B2E"/>
    <w:rsid w:val="00080E48"/>
    <w:rsid w:val="00097400"/>
    <w:rsid w:val="000A2DF0"/>
    <w:rsid w:val="000A30D9"/>
    <w:rsid w:val="000A4100"/>
    <w:rsid w:val="000B40F1"/>
    <w:rsid w:val="000D723B"/>
    <w:rsid w:val="000E3CFA"/>
    <w:rsid w:val="000E630A"/>
    <w:rsid w:val="000E6E55"/>
    <w:rsid w:val="000E7E1F"/>
    <w:rsid w:val="00105183"/>
    <w:rsid w:val="001114EA"/>
    <w:rsid w:val="00114977"/>
    <w:rsid w:val="001149B1"/>
    <w:rsid w:val="00116A5A"/>
    <w:rsid w:val="00122C45"/>
    <w:rsid w:val="00130262"/>
    <w:rsid w:val="00132E68"/>
    <w:rsid w:val="00133D04"/>
    <w:rsid w:val="00150157"/>
    <w:rsid w:val="001511E3"/>
    <w:rsid w:val="0015182B"/>
    <w:rsid w:val="0016228C"/>
    <w:rsid w:val="001629A2"/>
    <w:rsid w:val="00191ABF"/>
    <w:rsid w:val="00196451"/>
    <w:rsid w:val="001A48D6"/>
    <w:rsid w:val="001B32E9"/>
    <w:rsid w:val="001B5485"/>
    <w:rsid w:val="001D2765"/>
    <w:rsid w:val="001E3755"/>
    <w:rsid w:val="001E5B1A"/>
    <w:rsid w:val="00201D09"/>
    <w:rsid w:val="00202F18"/>
    <w:rsid w:val="002042E4"/>
    <w:rsid w:val="0021657D"/>
    <w:rsid w:val="002248A4"/>
    <w:rsid w:val="0024463B"/>
    <w:rsid w:val="00245E0B"/>
    <w:rsid w:val="002530DD"/>
    <w:rsid w:val="0025356E"/>
    <w:rsid w:val="002664E2"/>
    <w:rsid w:val="00266D56"/>
    <w:rsid w:val="00274516"/>
    <w:rsid w:val="00274A44"/>
    <w:rsid w:val="00283501"/>
    <w:rsid w:val="00296737"/>
    <w:rsid w:val="002A2E79"/>
    <w:rsid w:val="002B41DD"/>
    <w:rsid w:val="002C2C3E"/>
    <w:rsid w:val="002E1302"/>
    <w:rsid w:val="002E394D"/>
    <w:rsid w:val="003032C8"/>
    <w:rsid w:val="00315431"/>
    <w:rsid w:val="00317E07"/>
    <w:rsid w:val="00320F5F"/>
    <w:rsid w:val="00321534"/>
    <w:rsid w:val="00342E51"/>
    <w:rsid w:val="003449CD"/>
    <w:rsid w:val="00344C9F"/>
    <w:rsid w:val="00350FF2"/>
    <w:rsid w:val="00351ED4"/>
    <w:rsid w:val="00355861"/>
    <w:rsid w:val="00363AF0"/>
    <w:rsid w:val="003659B2"/>
    <w:rsid w:val="00380AE7"/>
    <w:rsid w:val="00383999"/>
    <w:rsid w:val="00384D0E"/>
    <w:rsid w:val="003907A6"/>
    <w:rsid w:val="003A3026"/>
    <w:rsid w:val="003C0B6C"/>
    <w:rsid w:val="00403707"/>
    <w:rsid w:val="0040621F"/>
    <w:rsid w:val="004074AA"/>
    <w:rsid w:val="004137DA"/>
    <w:rsid w:val="0041735B"/>
    <w:rsid w:val="00433330"/>
    <w:rsid w:val="00442203"/>
    <w:rsid w:val="0044301C"/>
    <w:rsid w:val="004454F0"/>
    <w:rsid w:val="00446228"/>
    <w:rsid w:val="004517D2"/>
    <w:rsid w:val="00452842"/>
    <w:rsid w:val="00454629"/>
    <w:rsid w:val="00454B8A"/>
    <w:rsid w:val="004578E9"/>
    <w:rsid w:val="0046073C"/>
    <w:rsid w:val="00475C0A"/>
    <w:rsid w:val="00476E52"/>
    <w:rsid w:val="00482889"/>
    <w:rsid w:val="0048501E"/>
    <w:rsid w:val="0049135D"/>
    <w:rsid w:val="004B4D3A"/>
    <w:rsid w:val="004B730B"/>
    <w:rsid w:val="004D06BC"/>
    <w:rsid w:val="004D380D"/>
    <w:rsid w:val="004D657F"/>
    <w:rsid w:val="004E427A"/>
    <w:rsid w:val="004F3DF9"/>
    <w:rsid w:val="004F4945"/>
    <w:rsid w:val="005036F9"/>
    <w:rsid w:val="00510731"/>
    <w:rsid w:val="005137B5"/>
    <w:rsid w:val="0051430C"/>
    <w:rsid w:val="005179B5"/>
    <w:rsid w:val="00526474"/>
    <w:rsid w:val="00547360"/>
    <w:rsid w:val="00555B53"/>
    <w:rsid w:val="00565D1A"/>
    <w:rsid w:val="005753C0"/>
    <w:rsid w:val="005867E6"/>
    <w:rsid w:val="00593EDF"/>
    <w:rsid w:val="00594AEE"/>
    <w:rsid w:val="005A4967"/>
    <w:rsid w:val="005B28D9"/>
    <w:rsid w:val="005C21F3"/>
    <w:rsid w:val="005C2C1E"/>
    <w:rsid w:val="005D52BB"/>
    <w:rsid w:val="005D54BF"/>
    <w:rsid w:val="005E0E7D"/>
    <w:rsid w:val="005E2221"/>
    <w:rsid w:val="005F22BA"/>
    <w:rsid w:val="005F24F8"/>
    <w:rsid w:val="005F2600"/>
    <w:rsid w:val="005F4B86"/>
    <w:rsid w:val="0060379A"/>
    <w:rsid w:val="00606711"/>
    <w:rsid w:val="00613F13"/>
    <w:rsid w:val="0062513B"/>
    <w:rsid w:val="006253D2"/>
    <w:rsid w:val="00632B9A"/>
    <w:rsid w:val="00635538"/>
    <w:rsid w:val="00635CAC"/>
    <w:rsid w:val="00642534"/>
    <w:rsid w:val="006438FD"/>
    <w:rsid w:val="00644030"/>
    <w:rsid w:val="00644CC3"/>
    <w:rsid w:val="006515B1"/>
    <w:rsid w:val="00652F99"/>
    <w:rsid w:val="00673586"/>
    <w:rsid w:val="00675A30"/>
    <w:rsid w:val="00677B45"/>
    <w:rsid w:val="006A5D57"/>
    <w:rsid w:val="006B119A"/>
    <w:rsid w:val="006B1484"/>
    <w:rsid w:val="006C5F70"/>
    <w:rsid w:val="006C7FB0"/>
    <w:rsid w:val="006D5498"/>
    <w:rsid w:val="006D70F7"/>
    <w:rsid w:val="006D7398"/>
    <w:rsid w:val="006F733D"/>
    <w:rsid w:val="00703741"/>
    <w:rsid w:val="0073290E"/>
    <w:rsid w:val="00737DF1"/>
    <w:rsid w:val="00751C3A"/>
    <w:rsid w:val="00752CC2"/>
    <w:rsid w:val="007602DA"/>
    <w:rsid w:val="00795B54"/>
    <w:rsid w:val="00796082"/>
    <w:rsid w:val="007B78F4"/>
    <w:rsid w:val="007C2221"/>
    <w:rsid w:val="007C499E"/>
    <w:rsid w:val="007D21F8"/>
    <w:rsid w:val="007E1A8A"/>
    <w:rsid w:val="007F3468"/>
    <w:rsid w:val="00810BA0"/>
    <w:rsid w:val="0081294C"/>
    <w:rsid w:val="00834724"/>
    <w:rsid w:val="008448F3"/>
    <w:rsid w:val="008478E8"/>
    <w:rsid w:val="008547AC"/>
    <w:rsid w:val="00865177"/>
    <w:rsid w:val="00870CA5"/>
    <w:rsid w:val="008809DF"/>
    <w:rsid w:val="00883A7A"/>
    <w:rsid w:val="00894CA6"/>
    <w:rsid w:val="008A4213"/>
    <w:rsid w:val="008A5EEE"/>
    <w:rsid w:val="008C18EB"/>
    <w:rsid w:val="008C7145"/>
    <w:rsid w:val="008D01C7"/>
    <w:rsid w:val="008D1A53"/>
    <w:rsid w:val="008F73E0"/>
    <w:rsid w:val="00903D14"/>
    <w:rsid w:val="00905035"/>
    <w:rsid w:val="009072EF"/>
    <w:rsid w:val="00912DE2"/>
    <w:rsid w:val="0091610E"/>
    <w:rsid w:val="009165AC"/>
    <w:rsid w:val="009222EE"/>
    <w:rsid w:val="00927E64"/>
    <w:rsid w:val="009366F1"/>
    <w:rsid w:val="009578BB"/>
    <w:rsid w:val="00962FA7"/>
    <w:rsid w:val="00975574"/>
    <w:rsid w:val="009816BD"/>
    <w:rsid w:val="00984965"/>
    <w:rsid w:val="00984C9A"/>
    <w:rsid w:val="009907C0"/>
    <w:rsid w:val="009964C7"/>
    <w:rsid w:val="009A6F93"/>
    <w:rsid w:val="009A7468"/>
    <w:rsid w:val="009C59F4"/>
    <w:rsid w:val="009C632B"/>
    <w:rsid w:val="009E3607"/>
    <w:rsid w:val="009E7717"/>
    <w:rsid w:val="009F00E9"/>
    <w:rsid w:val="009F27E2"/>
    <w:rsid w:val="009F45E1"/>
    <w:rsid w:val="009F69A8"/>
    <w:rsid w:val="00A10AEB"/>
    <w:rsid w:val="00A11434"/>
    <w:rsid w:val="00A11E7B"/>
    <w:rsid w:val="00A17286"/>
    <w:rsid w:val="00A42840"/>
    <w:rsid w:val="00A43B06"/>
    <w:rsid w:val="00A5431E"/>
    <w:rsid w:val="00A569E8"/>
    <w:rsid w:val="00A70A3D"/>
    <w:rsid w:val="00A70CA8"/>
    <w:rsid w:val="00A72F4A"/>
    <w:rsid w:val="00A8035E"/>
    <w:rsid w:val="00A83FCA"/>
    <w:rsid w:val="00A925BB"/>
    <w:rsid w:val="00AC0506"/>
    <w:rsid w:val="00AC2339"/>
    <w:rsid w:val="00AC2C21"/>
    <w:rsid w:val="00AD0064"/>
    <w:rsid w:val="00AD04FE"/>
    <w:rsid w:val="00AD1569"/>
    <w:rsid w:val="00AE6A20"/>
    <w:rsid w:val="00B04475"/>
    <w:rsid w:val="00B05AE2"/>
    <w:rsid w:val="00B06710"/>
    <w:rsid w:val="00B15B7C"/>
    <w:rsid w:val="00B20DF0"/>
    <w:rsid w:val="00B27792"/>
    <w:rsid w:val="00B30276"/>
    <w:rsid w:val="00B37E36"/>
    <w:rsid w:val="00B402B5"/>
    <w:rsid w:val="00B44741"/>
    <w:rsid w:val="00B454AF"/>
    <w:rsid w:val="00B543D2"/>
    <w:rsid w:val="00B63CEB"/>
    <w:rsid w:val="00B716D5"/>
    <w:rsid w:val="00B71820"/>
    <w:rsid w:val="00B7327A"/>
    <w:rsid w:val="00B747F1"/>
    <w:rsid w:val="00B814D6"/>
    <w:rsid w:val="00B86FE7"/>
    <w:rsid w:val="00B93FEE"/>
    <w:rsid w:val="00B97C15"/>
    <w:rsid w:val="00BB17F7"/>
    <w:rsid w:val="00BB2FD5"/>
    <w:rsid w:val="00BB5A01"/>
    <w:rsid w:val="00BB67CD"/>
    <w:rsid w:val="00BC616D"/>
    <w:rsid w:val="00BD12DC"/>
    <w:rsid w:val="00BD718E"/>
    <w:rsid w:val="00BE18DB"/>
    <w:rsid w:val="00C023BA"/>
    <w:rsid w:val="00C04007"/>
    <w:rsid w:val="00C148D9"/>
    <w:rsid w:val="00C21DCA"/>
    <w:rsid w:val="00C23B87"/>
    <w:rsid w:val="00C2401F"/>
    <w:rsid w:val="00C4004A"/>
    <w:rsid w:val="00C416F3"/>
    <w:rsid w:val="00C42860"/>
    <w:rsid w:val="00C455C8"/>
    <w:rsid w:val="00C57C13"/>
    <w:rsid w:val="00C61C5A"/>
    <w:rsid w:val="00CC070C"/>
    <w:rsid w:val="00CC15F7"/>
    <w:rsid w:val="00CD24D8"/>
    <w:rsid w:val="00CD2B6B"/>
    <w:rsid w:val="00CD7230"/>
    <w:rsid w:val="00CD7E51"/>
    <w:rsid w:val="00CE2E8D"/>
    <w:rsid w:val="00CF014B"/>
    <w:rsid w:val="00D00447"/>
    <w:rsid w:val="00D05BC6"/>
    <w:rsid w:val="00D25CBE"/>
    <w:rsid w:val="00D373FC"/>
    <w:rsid w:val="00D54695"/>
    <w:rsid w:val="00D559F0"/>
    <w:rsid w:val="00D634CB"/>
    <w:rsid w:val="00D66B3D"/>
    <w:rsid w:val="00D67DDF"/>
    <w:rsid w:val="00D719E9"/>
    <w:rsid w:val="00D75CAD"/>
    <w:rsid w:val="00D829E7"/>
    <w:rsid w:val="00D91BC5"/>
    <w:rsid w:val="00DC5BC8"/>
    <w:rsid w:val="00DD007B"/>
    <w:rsid w:val="00DF097C"/>
    <w:rsid w:val="00DF14EC"/>
    <w:rsid w:val="00E068FA"/>
    <w:rsid w:val="00E153A4"/>
    <w:rsid w:val="00E171DE"/>
    <w:rsid w:val="00E241A7"/>
    <w:rsid w:val="00E31819"/>
    <w:rsid w:val="00E37C78"/>
    <w:rsid w:val="00E451DD"/>
    <w:rsid w:val="00E47362"/>
    <w:rsid w:val="00E508EB"/>
    <w:rsid w:val="00E52567"/>
    <w:rsid w:val="00E55292"/>
    <w:rsid w:val="00E62A56"/>
    <w:rsid w:val="00E65098"/>
    <w:rsid w:val="00E74BDF"/>
    <w:rsid w:val="00E86B0E"/>
    <w:rsid w:val="00E9131C"/>
    <w:rsid w:val="00E95EAC"/>
    <w:rsid w:val="00EB1BEB"/>
    <w:rsid w:val="00EB69B6"/>
    <w:rsid w:val="00EE0D57"/>
    <w:rsid w:val="00EE6407"/>
    <w:rsid w:val="00EF4CA1"/>
    <w:rsid w:val="00EF553C"/>
    <w:rsid w:val="00F06EA0"/>
    <w:rsid w:val="00F24865"/>
    <w:rsid w:val="00F27134"/>
    <w:rsid w:val="00F37170"/>
    <w:rsid w:val="00F42A33"/>
    <w:rsid w:val="00F51046"/>
    <w:rsid w:val="00F72D56"/>
    <w:rsid w:val="00F77AFB"/>
    <w:rsid w:val="00F85FA3"/>
    <w:rsid w:val="00F9215D"/>
    <w:rsid w:val="00F952BC"/>
    <w:rsid w:val="00F96FB5"/>
    <w:rsid w:val="00FA1715"/>
    <w:rsid w:val="00FA6090"/>
    <w:rsid w:val="00FA7F4B"/>
    <w:rsid w:val="00FC7957"/>
    <w:rsid w:val="00FE239F"/>
    <w:rsid w:val="00FE277A"/>
    <w:rsid w:val="031C406E"/>
    <w:rsid w:val="0321095D"/>
    <w:rsid w:val="052D0A47"/>
    <w:rsid w:val="06D21063"/>
    <w:rsid w:val="08E96430"/>
    <w:rsid w:val="0AAA7843"/>
    <w:rsid w:val="0AF26AED"/>
    <w:rsid w:val="0C2D3371"/>
    <w:rsid w:val="0D5C73D4"/>
    <w:rsid w:val="0EE24651"/>
    <w:rsid w:val="14152235"/>
    <w:rsid w:val="180A06A0"/>
    <w:rsid w:val="18395EFA"/>
    <w:rsid w:val="18927103"/>
    <w:rsid w:val="19D53DFB"/>
    <w:rsid w:val="1B545A80"/>
    <w:rsid w:val="1D143D63"/>
    <w:rsid w:val="1D942CD7"/>
    <w:rsid w:val="209D1E8C"/>
    <w:rsid w:val="20A62511"/>
    <w:rsid w:val="24792204"/>
    <w:rsid w:val="27C27A76"/>
    <w:rsid w:val="293972EC"/>
    <w:rsid w:val="295E1E7C"/>
    <w:rsid w:val="2A9E6DCD"/>
    <w:rsid w:val="2DB468BC"/>
    <w:rsid w:val="2E545A5C"/>
    <w:rsid w:val="2ED061DB"/>
    <w:rsid w:val="2FFB78CC"/>
    <w:rsid w:val="30044AB0"/>
    <w:rsid w:val="320F1B4A"/>
    <w:rsid w:val="32CD5AC5"/>
    <w:rsid w:val="34DC5BBD"/>
    <w:rsid w:val="351D4D46"/>
    <w:rsid w:val="3AF50171"/>
    <w:rsid w:val="3C42250B"/>
    <w:rsid w:val="3D18493D"/>
    <w:rsid w:val="3E1A2FDB"/>
    <w:rsid w:val="3E224297"/>
    <w:rsid w:val="3E531CC2"/>
    <w:rsid w:val="3E907F9B"/>
    <w:rsid w:val="42A121C9"/>
    <w:rsid w:val="42C5530B"/>
    <w:rsid w:val="434B26DC"/>
    <w:rsid w:val="43F329AA"/>
    <w:rsid w:val="45AE79AB"/>
    <w:rsid w:val="49024693"/>
    <w:rsid w:val="52B23DF7"/>
    <w:rsid w:val="53A75C1C"/>
    <w:rsid w:val="53E10F1E"/>
    <w:rsid w:val="555E7D76"/>
    <w:rsid w:val="55B65944"/>
    <w:rsid w:val="57A479A1"/>
    <w:rsid w:val="5BAE5222"/>
    <w:rsid w:val="5C5813D1"/>
    <w:rsid w:val="5CF72890"/>
    <w:rsid w:val="60EB686E"/>
    <w:rsid w:val="61CB29CF"/>
    <w:rsid w:val="62602D74"/>
    <w:rsid w:val="66C52FA8"/>
    <w:rsid w:val="67CE48E7"/>
    <w:rsid w:val="67E83F23"/>
    <w:rsid w:val="68261700"/>
    <w:rsid w:val="732D4BCD"/>
    <w:rsid w:val="732D5D8C"/>
    <w:rsid w:val="73424B31"/>
    <w:rsid w:val="7506304D"/>
    <w:rsid w:val="79B24E69"/>
    <w:rsid w:val="7A6735A6"/>
    <w:rsid w:val="7AE837A6"/>
    <w:rsid w:val="7C5F4D85"/>
    <w:rsid w:val="7EE51CBF"/>
    <w:rsid w:val="7F9317F3"/>
    <w:rsid w:val="7FEB29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4"/>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semiHidden/>
    <w:unhideWhenUsed/>
    <w:qFormat/>
    <w:uiPriority w:val="9"/>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4"/>
    <w:unhideWhenUsed/>
    <w:qFormat/>
    <w:uiPriority w:val="99"/>
    <w:pPr>
      <w:jc w:val="left"/>
    </w:pPr>
  </w:style>
  <w:style w:type="paragraph" w:styleId="6">
    <w:name w:val="Body Text"/>
    <w:basedOn w:val="1"/>
    <w:next w:val="1"/>
    <w:link w:val="33"/>
    <w:qFormat/>
    <w:uiPriority w:val="0"/>
    <w:pPr>
      <w:spacing w:after="120"/>
    </w:pPr>
    <w:rPr>
      <w:rFonts w:ascii="Times New Roman" w:hAnsi="Times New Roman" w:eastAsia="宋体" w:cs="Times New Roman"/>
      <w:szCs w:val="24"/>
    </w:rPr>
  </w:style>
  <w:style w:type="paragraph" w:styleId="7">
    <w:name w:val="toc 3"/>
    <w:basedOn w:val="1"/>
    <w:next w:val="1"/>
    <w:autoRedefine/>
    <w:unhideWhenUsed/>
    <w:qFormat/>
    <w:uiPriority w:val="39"/>
    <w:pPr>
      <w:ind w:left="840" w:leftChars="400"/>
    </w:pPr>
  </w:style>
  <w:style w:type="paragraph" w:styleId="8">
    <w:name w:val="footer"/>
    <w:basedOn w:val="1"/>
    <w:link w:val="23"/>
    <w:unhideWhenUsed/>
    <w:qFormat/>
    <w:uiPriority w:val="99"/>
    <w:pPr>
      <w:tabs>
        <w:tab w:val="center" w:pos="4153"/>
        <w:tab w:val="right" w:pos="8306"/>
      </w:tabs>
      <w:snapToGrid w:val="0"/>
      <w:jc w:val="left"/>
    </w:pPr>
    <w:rPr>
      <w:sz w:val="18"/>
      <w:szCs w:val="18"/>
    </w:rPr>
  </w:style>
  <w:style w:type="paragraph" w:styleId="9">
    <w:name w:val="header"/>
    <w:basedOn w:val="1"/>
    <w:link w:val="22"/>
    <w:unhideWhenUsed/>
    <w:qFormat/>
    <w:uiPriority w:val="0"/>
    <w:pPr>
      <w:tabs>
        <w:tab w:val="center" w:pos="4153"/>
        <w:tab w:val="right" w:pos="8306"/>
      </w:tabs>
      <w:snapToGrid w:val="0"/>
      <w:jc w:val="center"/>
    </w:pPr>
    <w:rPr>
      <w:sz w:val="18"/>
      <w:szCs w:val="18"/>
    </w:rPr>
  </w:style>
  <w:style w:type="paragraph" w:styleId="10">
    <w:name w:val="toc 1"/>
    <w:basedOn w:val="1"/>
    <w:next w:val="1"/>
    <w:autoRedefine/>
    <w:unhideWhenUsed/>
    <w:qFormat/>
    <w:uiPriority w:val="39"/>
  </w:style>
  <w:style w:type="paragraph" w:styleId="11">
    <w:name w:val="toc 2"/>
    <w:basedOn w:val="1"/>
    <w:next w:val="1"/>
    <w:autoRedefine/>
    <w:unhideWhenUsed/>
    <w:qFormat/>
    <w:uiPriority w:val="39"/>
    <w:pPr>
      <w:ind w:left="420" w:leftChars="200"/>
    </w:pPr>
  </w:style>
  <w:style w:type="paragraph" w:styleId="12">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styleId="13">
    <w:name w:val="annotation subject"/>
    <w:basedOn w:val="5"/>
    <w:next w:val="5"/>
    <w:link w:val="25"/>
    <w:semiHidden/>
    <w:unhideWhenUsed/>
    <w:qFormat/>
    <w:uiPriority w:val="99"/>
    <w:rPr>
      <w:b/>
      <w:bCs/>
    </w:rPr>
  </w:style>
  <w:style w:type="table" w:styleId="15">
    <w:name w:val="Table Grid"/>
    <w:basedOn w:val="1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uiPriority w:val="22"/>
    <w:rPr>
      <w:b/>
    </w:rPr>
  </w:style>
  <w:style w:type="character" w:styleId="18">
    <w:name w:val="Emphasis"/>
    <w:basedOn w:val="16"/>
    <w:qFormat/>
    <w:uiPriority w:val="20"/>
    <w:rPr>
      <w:i/>
      <w:iCs/>
    </w:rPr>
  </w:style>
  <w:style w:type="character" w:styleId="19">
    <w:name w:val="Hyperlink"/>
    <w:basedOn w:val="16"/>
    <w:unhideWhenUsed/>
    <w:qFormat/>
    <w:uiPriority w:val="99"/>
    <w:rPr>
      <w:color w:val="0563C1" w:themeColor="hyperlink"/>
      <w:u w:val="single"/>
      <w14:textFill>
        <w14:solidFill>
          <w14:schemeClr w14:val="hlink"/>
        </w14:solidFill>
      </w14:textFill>
    </w:rPr>
  </w:style>
  <w:style w:type="character" w:styleId="20">
    <w:name w:val="annotation reference"/>
    <w:basedOn w:val="16"/>
    <w:unhideWhenUsed/>
    <w:qFormat/>
    <w:uiPriority w:val="99"/>
    <w:rPr>
      <w:sz w:val="21"/>
      <w:szCs w:val="21"/>
    </w:rPr>
  </w:style>
  <w:style w:type="paragraph" w:customStyle="1" w:styleId="21">
    <w:name w:val="null3"/>
    <w:hidden/>
    <w:qFormat/>
    <w:uiPriority w:val="0"/>
    <w:rPr>
      <w:rFonts w:hint="eastAsia" w:asciiTheme="minorHAnsi" w:hAnsiTheme="minorHAnsi" w:eastAsiaTheme="minorEastAsia" w:cstheme="minorBidi"/>
      <w:kern w:val="0"/>
      <w:sz w:val="20"/>
      <w:szCs w:val="20"/>
      <w:lang w:val="en-US" w:eastAsia="zh-Hans" w:bidi="ar-SA"/>
    </w:rPr>
  </w:style>
  <w:style w:type="character" w:customStyle="1" w:styleId="22">
    <w:name w:val="页眉 字符"/>
    <w:basedOn w:val="16"/>
    <w:link w:val="9"/>
    <w:qFormat/>
    <w:uiPriority w:val="0"/>
    <w:rPr>
      <w:sz w:val="18"/>
      <w:szCs w:val="18"/>
    </w:rPr>
  </w:style>
  <w:style w:type="character" w:customStyle="1" w:styleId="23">
    <w:name w:val="页脚 字符"/>
    <w:basedOn w:val="16"/>
    <w:link w:val="8"/>
    <w:qFormat/>
    <w:uiPriority w:val="99"/>
    <w:rPr>
      <w:sz w:val="18"/>
      <w:szCs w:val="18"/>
    </w:rPr>
  </w:style>
  <w:style w:type="character" w:customStyle="1" w:styleId="24">
    <w:name w:val="批注文字 字符"/>
    <w:basedOn w:val="16"/>
    <w:link w:val="5"/>
    <w:qFormat/>
    <w:uiPriority w:val="99"/>
  </w:style>
  <w:style w:type="character" w:customStyle="1" w:styleId="25">
    <w:name w:val="批注主题 字符"/>
    <w:basedOn w:val="24"/>
    <w:link w:val="13"/>
    <w:semiHidden/>
    <w:qFormat/>
    <w:uiPriority w:val="99"/>
    <w:rPr>
      <w:b/>
      <w:bCs/>
    </w:rPr>
  </w:style>
  <w:style w:type="character" w:customStyle="1" w:styleId="26">
    <w:name w:val="Unresolved Mention"/>
    <w:basedOn w:val="16"/>
    <w:semiHidden/>
    <w:unhideWhenUsed/>
    <w:qFormat/>
    <w:uiPriority w:val="99"/>
    <w:rPr>
      <w:color w:val="605E5C"/>
      <w:shd w:val="clear" w:color="auto" w:fill="E1DFDD"/>
    </w:rPr>
  </w:style>
  <w:style w:type="paragraph" w:styleId="27">
    <w:name w:val="List Paragraph"/>
    <w:basedOn w:val="1"/>
    <w:link w:val="28"/>
    <w:qFormat/>
    <w:uiPriority w:val="34"/>
    <w:pPr>
      <w:ind w:firstLine="420" w:firstLineChars="200"/>
    </w:pPr>
  </w:style>
  <w:style w:type="character" w:customStyle="1" w:styleId="28">
    <w:name w:val="列表段落 字符"/>
    <w:link w:val="27"/>
    <w:qFormat/>
    <w:uiPriority w:val="34"/>
  </w:style>
  <w:style w:type="character" w:customStyle="1" w:styleId="29">
    <w:name w:val="标题 2 字符"/>
    <w:basedOn w:val="16"/>
    <w:link w:val="3"/>
    <w:qFormat/>
    <w:uiPriority w:val="9"/>
    <w:rPr>
      <w:rFonts w:asciiTheme="majorHAnsi" w:hAnsiTheme="majorHAnsi" w:eastAsiaTheme="majorEastAsia" w:cstheme="majorBidi"/>
      <w:b/>
      <w:bCs/>
      <w:sz w:val="32"/>
      <w:szCs w:val="32"/>
    </w:rPr>
  </w:style>
  <w:style w:type="paragraph" w:customStyle="1" w:styleId="30">
    <w:name w:val="正文缩进2格"/>
    <w:basedOn w:val="1"/>
    <w:link w:val="31"/>
    <w:qFormat/>
    <w:uiPriority w:val="0"/>
    <w:pPr>
      <w:spacing w:line="600" w:lineRule="exact"/>
      <w:ind w:firstLine="639" w:firstLineChars="206"/>
    </w:pPr>
    <w:rPr>
      <w:rFonts w:ascii="仿宋_GB2312" w:hAnsi="宋体" w:eastAsia="仿宋_GB2312" w:cs="Times New Roman"/>
      <w:sz w:val="31"/>
      <w:szCs w:val="28"/>
    </w:rPr>
  </w:style>
  <w:style w:type="character" w:customStyle="1" w:styleId="31">
    <w:name w:val="正文缩进2格 Char"/>
    <w:link w:val="30"/>
    <w:qFormat/>
    <w:uiPriority w:val="0"/>
    <w:rPr>
      <w:rFonts w:ascii="仿宋_GB2312" w:hAnsi="宋体" w:eastAsia="仿宋_GB2312" w:cs="Times New Roman"/>
      <w:sz w:val="31"/>
      <w:szCs w:val="28"/>
    </w:rPr>
  </w:style>
  <w:style w:type="paragraph" w:customStyle="1" w:styleId="32">
    <w:name w:val="列出段落1"/>
    <w:basedOn w:val="1"/>
    <w:qFormat/>
    <w:uiPriority w:val="34"/>
    <w:pPr>
      <w:ind w:firstLine="420" w:firstLineChars="200"/>
    </w:pPr>
    <w:rPr>
      <w:rFonts w:ascii="Calibri" w:hAnsi="Calibri" w:eastAsia="宋体" w:cs="黑体"/>
    </w:rPr>
  </w:style>
  <w:style w:type="character" w:customStyle="1" w:styleId="33">
    <w:name w:val="正文文本 字符"/>
    <w:basedOn w:val="16"/>
    <w:link w:val="6"/>
    <w:qFormat/>
    <w:uiPriority w:val="0"/>
    <w:rPr>
      <w:rFonts w:ascii="Times New Roman" w:hAnsi="Times New Roman" w:eastAsia="宋体" w:cs="Times New Roman"/>
      <w:szCs w:val="24"/>
    </w:rPr>
  </w:style>
  <w:style w:type="character" w:customStyle="1" w:styleId="34">
    <w:name w:val="标题 1 字符"/>
    <w:basedOn w:val="16"/>
    <w:link w:val="2"/>
    <w:qFormat/>
    <w:uiPriority w:val="9"/>
    <w:rPr>
      <w:b/>
      <w:bCs/>
      <w:kern w:val="44"/>
      <w:sz w:val="44"/>
      <w:szCs w:val="44"/>
    </w:rPr>
  </w:style>
  <w:style w:type="paragraph" w:customStyle="1" w:styleId="35">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character" w:customStyle="1" w:styleId="36">
    <w:name w:val="font11"/>
    <w:basedOn w:val="16"/>
    <w:qFormat/>
    <w:uiPriority w:val="0"/>
    <w:rPr>
      <w:rFonts w:hint="eastAsia" w:ascii="微软雅黑" w:hAnsi="微软雅黑" w:eastAsia="微软雅黑" w:cs="微软雅黑"/>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BC978B-6E98-48A0-889D-F83A177A20B4}">
  <ds:schemaRefs/>
</ds:datastoreItem>
</file>

<file path=docProps/app.xml><?xml version="1.0" encoding="utf-8"?>
<Properties xmlns="http://schemas.openxmlformats.org/officeDocument/2006/extended-properties" xmlns:vt="http://schemas.openxmlformats.org/officeDocument/2006/docPropsVTypes">
  <Template>Normal</Template>
  <Pages>109</Pages>
  <Words>4725</Words>
  <Characters>5322</Characters>
  <Lines>304</Lines>
  <Paragraphs>85</Paragraphs>
  <TotalTime>72</TotalTime>
  <ScaleCrop>false</ScaleCrop>
  <LinksUpToDate>false</LinksUpToDate>
  <CharactersWithSpaces>5438</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2024-06-21T02:26:00Z</dcterms:created>
  <dc:creator>Administrator</dc:creator>
  <cp:lastModifiedBy>代理机构</cp:lastModifiedBy>
  <dcterms:modified xsi:type="dcterms:W3CDTF">2025-05-21T07:34:25Z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C703FA328E8D4E618D119E9959DBFB15_13</vt:lpwstr>
  </property>
  <property fmtid="{D5CDD505-2E9C-101B-9397-08002B2CF9AE}" pid="4" name="KSOTemplateDocerSaveRecord">
    <vt:lpwstr>eyJoZGlkIjoiYTg5NGRlNzFiZDk1NWNlMDA3NzU3M2IyYWIyMGZiY2QiLCJ1c2VySWQiOiI1MTY5MTQyOTMifQ==</vt:lpwstr>
  </property>
</Properties>
</file>