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hint="eastAsia" w:ascii="宋体" w:hAnsi="宋体" w:eastAsia="宋体" w:cs="宋体"/>
          <w:b/>
          <w:bCs/>
          <w:snapToGrid w:val="0"/>
          <w:color w:val="auto"/>
          <w:spacing w:val="22"/>
          <w:kern w:val="0"/>
          <w:sz w:val="160"/>
          <w:szCs w:val="160"/>
        </w:rPr>
      </w:pPr>
      <w:r>
        <w:rPr>
          <w:rFonts w:hint="eastAsia" w:ascii="宋体" w:hAnsi="宋体" w:eastAsia="宋体" w:cs="宋体"/>
          <w:b/>
          <w:bCs/>
          <w:snapToGrid w:val="0"/>
          <w:color w:val="auto"/>
          <w:spacing w:val="22"/>
          <w:kern w:val="0"/>
          <w:sz w:val="160"/>
          <w:szCs w:val="160"/>
        </w:rPr>
        <w:t>招标文件</w:t>
      </w:r>
    </w:p>
    <w:p w14:paraId="446CA223">
      <w:pPr>
        <w:spacing w:before="652" w:beforeLines="150" w:after="870" w:afterLines="200" w:line="360" w:lineRule="auto"/>
        <w:jc w:val="center"/>
        <w:rPr>
          <w:rFonts w:hint="eastAsia" w:ascii="宋体" w:hAnsi="宋体" w:eastAsia="宋体" w:cs="宋体"/>
          <w:b/>
          <w:bCs/>
          <w:snapToGrid w:val="0"/>
          <w:color w:val="auto"/>
          <w:spacing w:val="-20"/>
          <w:kern w:val="0"/>
          <w:sz w:val="100"/>
          <w:szCs w:val="100"/>
        </w:rPr>
      </w:pPr>
      <w:r>
        <w:rPr>
          <w:rFonts w:hint="eastAsia" w:ascii="宋体" w:hAnsi="宋体" w:eastAsia="宋体" w:cs="宋体"/>
          <w:b/>
          <w:bCs/>
          <w:color w:val="auto"/>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21"/>
        <w:tabs>
          <w:tab w:val="left" w:pos="9072"/>
        </w:tabs>
        <w:spacing w:line="640" w:lineRule="exact"/>
        <w:ind w:firstLine="826" w:firstLineChars="235"/>
        <w:outlineLvl w:val="3"/>
        <w:rPr>
          <w:rFonts w:hint="eastAsia" w:ascii="宋体" w:hAnsi="宋体" w:eastAsia="宋体" w:cs="宋体"/>
          <w:color w:val="auto"/>
          <w:sz w:val="35"/>
          <w:szCs w:val="35"/>
          <w:lang w:eastAsia="zh-CN"/>
        </w:rPr>
      </w:pPr>
      <w:r>
        <w:rPr>
          <w:rFonts w:hint="eastAsia" w:ascii="宋体" w:hAnsi="宋体" w:eastAsia="宋体" w:cs="宋体"/>
          <w:b/>
          <w:color w:val="auto"/>
          <w:sz w:val="35"/>
          <w:szCs w:val="35"/>
        </w:rPr>
        <w:t>项目编号：ZHDGZC2025024</w:t>
      </w:r>
    </w:p>
    <w:p w14:paraId="68612354">
      <w:pPr>
        <w:pStyle w:val="21"/>
        <w:spacing w:line="640" w:lineRule="exact"/>
        <w:ind w:left="2744" w:leftChars="400" w:hanging="1904" w:hangingChars="542"/>
        <w:outlineLvl w:val="3"/>
        <w:rPr>
          <w:rFonts w:hint="eastAsia" w:ascii="宋体" w:hAnsi="宋体" w:eastAsia="宋体" w:cs="宋体"/>
          <w:color w:val="auto"/>
          <w:sz w:val="35"/>
          <w:szCs w:val="35"/>
          <w:lang w:eastAsia="zh-CN"/>
        </w:rPr>
      </w:pPr>
      <w:r>
        <w:rPr>
          <w:rFonts w:hint="eastAsia" w:ascii="宋体" w:hAnsi="宋体" w:eastAsia="宋体" w:cs="宋体"/>
          <w:b/>
          <w:color w:val="auto"/>
          <w:sz w:val="35"/>
          <w:szCs w:val="35"/>
        </w:rPr>
        <w:t>项目名称：</w:t>
      </w:r>
      <w:r>
        <w:rPr>
          <w:rFonts w:hint="eastAsia" w:ascii="宋体" w:hAnsi="宋体" w:eastAsia="宋体" w:cs="宋体"/>
          <w:b/>
          <w:color w:val="auto"/>
          <w:sz w:val="35"/>
          <w:szCs w:val="35"/>
          <w:lang w:eastAsia="zh-CN"/>
        </w:rPr>
        <w:t>东莞市汽车技术学校2025年网络安全运维项目</w:t>
      </w:r>
    </w:p>
    <w:p w14:paraId="71953F7B">
      <w:pPr>
        <w:pStyle w:val="21"/>
        <w:spacing w:line="640" w:lineRule="exact"/>
        <w:ind w:firstLine="826" w:firstLineChars="235"/>
        <w:outlineLvl w:val="3"/>
        <w:rPr>
          <w:rFonts w:hint="eastAsia" w:ascii="宋体" w:hAnsi="宋体" w:eastAsia="宋体" w:cs="宋体"/>
          <w:color w:val="auto"/>
          <w:sz w:val="35"/>
          <w:szCs w:val="35"/>
        </w:rPr>
      </w:pPr>
      <w:r>
        <w:rPr>
          <w:rFonts w:hint="eastAsia" w:ascii="宋体" w:hAnsi="宋体" w:eastAsia="宋体" w:cs="宋体"/>
          <w:b/>
          <w:color w:val="auto"/>
          <w:sz w:val="35"/>
          <w:szCs w:val="35"/>
        </w:rPr>
        <w:t>采</w:t>
      </w:r>
      <w:r>
        <w:rPr>
          <w:rFonts w:hint="eastAsia" w:ascii="宋体" w:hAnsi="宋体" w:eastAsia="宋体" w:cs="宋体"/>
          <w:b/>
          <w:color w:val="auto"/>
          <w:sz w:val="35"/>
          <w:szCs w:val="35"/>
          <w:lang w:eastAsia="zh-CN"/>
        </w:rPr>
        <w:t xml:space="preserve"> </w:t>
      </w:r>
      <w:r>
        <w:rPr>
          <w:rFonts w:hint="eastAsia" w:ascii="宋体" w:hAnsi="宋体" w:eastAsia="宋体" w:cs="宋体"/>
          <w:b/>
          <w:color w:val="auto"/>
          <w:sz w:val="35"/>
          <w:szCs w:val="35"/>
        </w:rPr>
        <w:t>购</w:t>
      </w:r>
      <w:r>
        <w:rPr>
          <w:rFonts w:hint="eastAsia" w:ascii="宋体" w:hAnsi="宋体" w:eastAsia="宋体" w:cs="宋体"/>
          <w:b/>
          <w:color w:val="auto"/>
          <w:sz w:val="35"/>
          <w:szCs w:val="35"/>
          <w:lang w:eastAsia="zh-CN"/>
        </w:rPr>
        <w:t xml:space="preserve"> </w:t>
      </w:r>
      <w:r>
        <w:rPr>
          <w:rFonts w:hint="eastAsia" w:ascii="宋体" w:hAnsi="宋体" w:eastAsia="宋体" w:cs="宋体"/>
          <w:b/>
          <w:color w:val="auto"/>
          <w:sz w:val="35"/>
          <w:szCs w:val="35"/>
        </w:rPr>
        <w:t>人：东莞市汽车技术学校</w:t>
      </w:r>
    </w:p>
    <w:p w14:paraId="05B13617">
      <w:pPr>
        <w:pStyle w:val="21"/>
        <w:spacing w:line="640" w:lineRule="exact"/>
        <w:ind w:firstLine="826" w:firstLineChars="235"/>
        <w:outlineLvl w:val="3"/>
        <w:rPr>
          <w:rFonts w:hint="eastAsia" w:ascii="宋体" w:hAnsi="宋体" w:eastAsia="宋体" w:cs="宋体"/>
          <w:b/>
          <w:color w:val="auto"/>
          <w:sz w:val="36"/>
          <w:szCs w:val="24"/>
          <w:lang w:eastAsia="zh-CN"/>
        </w:rPr>
      </w:pPr>
      <w:r>
        <w:rPr>
          <w:rFonts w:hint="eastAsia" w:ascii="宋体" w:hAnsi="宋体" w:eastAsia="宋体" w:cs="宋体"/>
          <w:b/>
          <w:color w:val="auto"/>
          <w:sz w:val="35"/>
          <w:szCs w:val="35"/>
        </w:rPr>
        <w:t>采购代理机构：广东智汇城市招标采购有限公司</w:t>
      </w:r>
    </w:p>
    <w:sdt>
      <w:sdtPr>
        <w:rPr>
          <w:rFonts w:hint="eastAsia" w:ascii="宋体" w:hAnsi="宋体" w:eastAsia="宋体" w:cs="宋体"/>
          <w:color w:val="auto"/>
          <w:kern w:val="2"/>
          <w:sz w:val="21"/>
          <w:szCs w:val="22"/>
          <w:lang w:val="zh-CN"/>
        </w:rPr>
        <w:id w:val="781081674"/>
        <w:docPartObj>
          <w:docPartGallery w:val="Table of Contents"/>
          <w:docPartUnique/>
        </w:docPartObj>
      </w:sdtPr>
      <w:sdtEndPr>
        <w:rPr>
          <w:rFonts w:hint="eastAsia" w:ascii="宋体" w:hAnsi="宋体" w:eastAsia="宋体" w:cs="宋体"/>
          <w:color w:val="auto"/>
          <w:kern w:val="2"/>
          <w:sz w:val="24"/>
          <w:szCs w:val="24"/>
          <w:lang w:val="zh-CN"/>
        </w:rPr>
      </w:sdtEndPr>
      <w:sdtContent>
        <w:p w14:paraId="06A32D39">
          <w:pPr>
            <w:pStyle w:val="35"/>
            <w:keepNext w:val="0"/>
            <w:keepLines w:val="0"/>
            <w:pageBreakBefore/>
            <w:widowControl w:val="0"/>
            <w:jc w:val="center"/>
            <w:rPr>
              <w:rFonts w:hint="eastAsia" w:ascii="宋体" w:hAnsi="宋体" w:eastAsia="宋体" w:cs="宋体"/>
              <w:color w:val="auto"/>
            </w:rPr>
          </w:pPr>
          <w:r>
            <w:rPr>
              <w:rFonts w:hint="eastAsia" w:ascii="宋体" w:hAnsi="宋体" w:eastAsia="宋体" w:cs="宋体"/>
              <w:b/>
              <w:bCs/>
              <w:color w:val="auto"/>
              <w:sz w:val="36"/>
              <w:szCs w:val="36"/>
              <w:lang w:val="zh-CN"/>
            </w:rPr>
            <w:t>目录</w:t>
          </w:r>
        </w:p>
        <w:p w14:paraId="1DB790CF">
          <w:pPr>
            <w:pStyle w:val="12"/>
            <w:tabs>
              <w:tab w:val="right" w:leader="dot" w:pos="9231"/>
            </w:tabs>
            <w:spacing w:line="360" w:lineRule="auto"/>
            <w:ind w:left="419" w:leftChars="68" w:hanging="276" w:hangingChars="115"/>
            <w:rPr>
              <w:rFonts w:hint="eastAsia" w:ascii="宋体" w:hAnsi="宋体" w:eastAsia="宋体" w:cs="宋体"/>
              <w:color w:val="auto"/>
              <w:sz w:val="24"/>
              <w:szCs w:val="24"/>
              <w14:ligatures w14:val="standardContextual"/>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TOC \o "1-3" \h \z \u </w:instrText>
          </w:r>
          <w:r>
            <w:rPr>
              <w:rFonts w:hint="eastAsia" w:ascii="宋体" w:hAnsi="宋体" w:eastAsia="宋体" w:cs="宋体"/>
              <w:color w:val="auto"/>
              <w:sz w:val="24"/>
              <w:szCs w:val="24"/>
            </w:rPr>
            <w:fldChar w:fldCharType="separate"/>
          </w: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"_Toc169807540" </w:instrText>
          </w:r>
          <w:r>
            <w:rPr>
              <w:rFonts w:hint="eastAsia" w:ascii="宋体" w:hAnsi="宋体" w:eastAsia="宋体" w:cs="宋体"/>
              <w:color w:val="auto"/>
            </w:rPr>
            <w:fldChar w:fldCharType="separate"/>
          </w:r>
          <w:r>
            <w:rPr>
              <w:rStyle w:val="19"/>
              <w:rFonts w:hint="eastAsia" w:ascii="宋体" w:hAnsi="宋体" w:eastAsia="宋体" w:cs="宋体"/>
              <w:color w:val="auto"/>
              <w:kern w:val="0"/>
              <w:sz w:val="24"/>
              <w:szCs w:val="24"/>
              <w:lang w:eastAsia="zh-Hans"/>
            </w:rPr>
            <w:t>第一章</w:t>
          </w:r>
          <w:r>
            <w:rPr>
              <w:rStyle w:val="19"/>
              <w:rFonts w:hint="eastAsia" w:ascii="宋体" w:hAnsi="宋体" w:eastAsia="宋体" w:cs="宋体"/>
              <w:color w:val="auto"/>
              <w:kern w:val="0"/>
              <w:sz w:val="24"/>
              <w:szCs w:val="24"/>
            </w:rPr>
            <w:t xml:space="preserve"> </w:t>
          </w:r>
          <w:r>
            <w:rPr>
              <w:rStyle w:val="19"/>
              <w:rFonts w:hint="eastAsia" w:ascii="宋体" w:hAnsi="宋体" w:eastAsia="宋体" w:cs="宋体"/>
              <w:color w:val="auto"/>
              <w:kern w:val="0"/>
              <w:sz w:val="24"/>
              <w:szCs w:val="24"/>
              <w:lang w:eastAsia="zh-Hans"/>
            </w:rPr>
            <w:t>投标邀请</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_Toc169807540 \h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2</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14:paraId="263B132B">
          <w:pPr>
            <w:pStyle w:val="12"/>
            <w:tabs>
              <w:tab w:val="right" w:leader="dot" w:pos="9231"/>
            </w:tabs>
            <w:spacing w:line="360" w:lineRule="auto"/>
            <w:ind w:left="384" w:leftChars="68" w:hanging="241" w:hangingChars="115"/>
            <w:rPr>
              <w:rFonts w:hint="eastAsia" w:ascii="宋体" w:hAnsi="宋体" w:eastAsia="宋体" w:cs="宋体"/>
              <w:color w:val="auto"/>
              <w:sz w:val="24"/>
              <w:szCs w:val="24"/>
              <w14:ligatures w14:val="standardContextual"/>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"_Toc169807541" </w:instrText>
          </w:r>
          <w:r>
            <w:rPr>
              <w:rFonts w:hint="eastAsia" w:ascii="宋体" w:hAnsi="宋体" w:eastAsia="宋体" w:cs="宋体"/>
              <w:color w:val="auto"/>
            </w:rPr>
            <w:fldChar w:fldCharType="separate"/>
          </w:r>
          <w:r>
            <w:rPr>
              <w:rStyle w:val="19"/>
              <w:rFonts w:hint="eastAsia" w:ascii="宋体" w:hAnsi="宋体" w:eastAsia="宋体" w:cs="宋体"/>
              <w:color w:val="auto"/>
              <w:kern w:val="0"/>
              <w:sz w:val="24"/>
              <w:szCs w:val="24"/>
              <w:lang w:eastAsia="zh-Hans"/>
            </w:rPr>
            <w:t>第二章 采购需求</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_Toc169807541 \h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6</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14:paraId="435B146A">
          <w:pPr>
            <w:pStyle w:val="12"/>
            <w:tabs>
              <w:tab w:val="right" w:leader="dot" w:pos="9231"/>
            </w:tabs>
            <w:spacing w:line="360" w:lineRule="auto"/>
            <w:ind w:left="384" w:leftChars="68" w:hanging="241" w:hangingChars="115"/>
            <w:rPr>
              <w:rFonts w:hint="eastAsia" w:ascii="宋体" w:hAnsi="宋体" w:eastAsia="宋体" w:cs="宋体"/>
              <w:color w:val="auto"/>
              <w:sz w:val="24"/>
              <w:szCs w:val="24"/>
              <w14:ligatures w14:val="standardContextual"/>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"_Toc169807542" </w:instrText>
          </w:r>
          <w:r>
            <w:rPr>
              <w:rFonts w:hint="eastAsia" w:ascii="宋体" w:hAnsi="宋体" w:eastAsia="宋体" w:cs="宋体"/>
              <w:color w:val="auto"/>
            </w:rPr>
            <w:fldChar w:fldCharType="separate"/>
          </w:r>
          <w:r>
            <w:rPr>
              <w:rStyle w:val="19"/>
              <w:rFonts w:hint="eastAsia" w:ascii="宋体" w:hAnsi="宋体" w:eastAsia="宋体" w:cs="宋体"/>
              <w:color w:val="auto"/>
              <w:kern w:val="0"/>
              <w:sz w:val="24"/>
              <w:szCs w:val="24"/>
              <w:lang w:eastAsia="zh-Hans"/>
            </w:rPr>
            <w:t>第三章 投标人须知</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_Toc169807542 \h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14</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14:paraId="182AFE67">
          <w:pPr>
            <w:pStyle w:val="12"/>
            <w:tabs>
              <w:tab w:val="right" w:leader="dot" w:pos="9231"/>
            </w:tabs>
            <w:spacing w:line="360" w:lineRule="auto"/>
            <w:ind w:left="384" w:leftChars="68" w:hanging="241" w:hangingChars="115"/>
            <w:rPr>
              <w:rFonts w:hint="eastAsia" w:ascii="宋体" w:hAnsi="宋体" w:eastAsia="宋体" w:cs="宋体"/>
              <w:color w:val="auto"/>
              <w:sz w:val="24"/>
              <w:szCs w:val="24"/>
              <w14:ligatures w14:val="standardContextual"/>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"_Toc169807543" </w:instrText>
          </w:r>
          <w:r>
            <w:rPr>
              <w:rFonts w:hint="eastAsia" w:ascii="宋体" w:hAnsi="宋体" w:eastAsia="宋体" w:cs="宋体"/>
              <w:color w:val="auto"/>
            </w:rPr>
            <w:fldChar w:fldCharType="separate"/>
          </w:r>
          <w:r>
            <w:rPr>
              <w:rStyle w:val="19"/>
              <w:rFonts w:hint="eastAsia" w:ascii="宋体" w:hAnsi="宋体" w:eastAsia="宋体" w:cs="宋体"/>
              <w:color w:val="auto"/>
              <w:kern w:val="0"/>
              <w:sz w:val="24"/>
              <w:szCs w:val="24"/>
              <w:lang w:eastAsia="zh-Hans"/>
            </w:rPr>
            <w:t>第四章 评标</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_Toc169807543 \h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25</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14:paraId="446E6B5E">
          <w:pPr>
            <w:pStyle w:val="12"/>
            <w:tabs>
              <w:tab w:val="right" w:leader="dot" w:pos="9231"/>
            </w:tabs>
            <w:spacing w:line="360" w:lineRule="auto"/>
            <w:ind w:left="384" w:leftChars="68" w:hanging="241" w:hangingChars="115"/>
            <w:rPr>
              <w:rFonts w:hint="eastAsia" w:ascii="宋体" w:hAnsi="宋体" w:eastAsia="宋体" w:cs="宋体"/>
              <w:color w:val="auto"/>
              <w:sz w:val="24"/>
              <w:szCs w:val="24"/>
              <w14:ligatures w14:val="standardContextual"/>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"_Toc169807544" </w:instrText>
          </w:r>
          <w:r>
            <w:rPr>
              <w:rFonts w:hint="eastAsia" w:ascii="宋体" w:hAnsi="宋体" w:eastAsia="宋体" w:cs="宋体"/>
              <w:color w:val="auto"/>
            </w:rPr>
            <w:fldChar w:fldCharType="separate"/>
          </w:r>
          <w:r>
            <w:rPr>
              <w:rStyle w:val="19"/>
              <w:rFonts w:hint="eastAsia" w:ascii="宋体" w:hAnsi="宋体" w:eastAsia="宋体" w:cs="宋体"/>
              <w:color w:val="auto"/>
              <w:kern w:val="0"/>
              <w:sz w:val="24"/>
              <w:szCs w:val="24"/>
              <w:lang w:eastAsia="zh-Hans"/>
            </w:rPr>
            <w:t>第五章 合同文本</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_Toc169807544 \h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34</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14:paraId="5B19C698">
          <w:pPr>
            <w:pStyle w:val="12"/>
            <w:tabs>
              <w:tab w:val="right" w:leader="dot" w:pos="9231"/>
            </w:tabs>
            <w:spacing w:line="360" w:lineRule="auto"/>
            <w:ind w:left="384" w:leftChars="68" w:hanging="241" w:hangingChars="115"/>
            <w:rPr>
              <w:rFonts w:hint="eastAsia" w:ascii="宋体" w:hAnsi="宋体" w:eastAsia="宋体" w:cs="宋体"/>
              <w:color w:val="auto"/>
              <w:sz w:val="24"/>
              <w:szCs w:val="24"/>
              <w14:ligatures w14:val="standardContextual"/>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"_Toc169807545" </w:instrText>
          </w:r>
          <w:r>
            <w:rPr>
              <w:rFonts w:hint="eastAsia" w:ascii="宋体" w:hAnsi="宋体" w:eastAsia="宋体" w:cs="宋体"/>
              <w:color w:val="auto"/>
            </w:rPr>
            <w:fldChar w:fldCharType="separate"/>
          </w:r>
          <w:r>
            <w:rPr>
              <w:rStyle w:val="19"/>
              <w:rFonts w:hint="eastAsia" w:ascii="宋体" w:hAnsi="宋体" w:eastAsia="宋体" w:cs="宋体"/>
              <w:color w:val="auto"/>
              <w:kern w:val="0"/>
              <w:sz w:val="24"/>
              <w:szCs w:val="24"/>
              <w:lang w:eastAsia="zh-Hans"/>
            </w:rPr>
            <w:t>第六章 投标文件格式</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_Toc169807545 \h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43</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14:paraId="3D0AA173">
          <w:pPr>
            <w:rPr>
              <w:rFonts w:hint="eastAsia" w:ascii="宋体" w:hAnsi="宋体" w:eastAsia="宋体" w:cs="宋体"/>
              <w:color w:val="auto"/>
              <w:sz w:val="24"/>
              <w:szCs w:val="24"/>
            </w:rPr>
          </w:pPr>
          <w:r>
            <w:rPr>
              <w:rFonts w:hint="eastAsia" w:ascii="宋体" w:hAnsi="宋体" w:eastAsia="宋体" w:cs="宋体"/>
              <w:color w:val="auto"/>
              <w:sz w:val="24"/>
              <w:szCs w:val="24"/>
              <w:lang w:val="zh-CN"/>
            </w:rPr>
            <w:fldChar w:fldCharType="end"/>
          </w:r>
        </w:p>
      </w:sdtContent>
    </w:sdt>
    <w:p w14:paraId="42670E7A">
      <w:pPr>
        <w:pStyle w:val="21"/>
        <w:outlineLvl w:val="3"/>
        <w:rPr>
          <w:rFonts w:hint="eastAsia" w:ascii="宋体" w:hAnsi="宋体" w:eastAsia="宋体" w:cs="宋体"/>
          <w:color w:val="auto"/>
          <w:sz w:val="24"/>
          <w:szCs w:val="24"/>
          <w:lang w:eastAsia="zh-CN"/>
        </w:rPr>
      </w:pPr>
    </w:p>
    <w:p w14:paraId="7C734534">
      <w:pPr>
        <w:pStyle w:val="21"/>
        <w:rPr>
          <w:rFonts w:hint="eastAsia" w:ascii="宋体" w:hAnsi="宋体" w:eastAsia="宋体" w:cs="宋体"/>
          <w:color w:val="auto"/>
          <w:lang w:eastAsia="zh-CN"/>
        </w:rPr>
      </w:pPr>
    </w:p>
    <w:p w14:paraId="3FDBEE04">
      <w:pPr>
        <w:pageBreakBefore/>
        <w:jc w:val="center"/>
        <w:outlineLvl w:val="1"/>
        <w:rPr>
          <w:rFonts w:hint="eastAsia" w:ascii="宋体" w:hAnsi="宋体" w:eastAsia="宋体" w:cs="宋体"/>
          <w:color w:val="auto"/>
          <w:kern w:val="0"/>
          <w:sz w:val="20"/>
          <w:szCs w:val="20"/>
          <w:lang w:eastAsia="zh-Hans"/>
        </w:rPr>
      </w:pPr>
      <w:bookmarkStart w:id="0" w:name="_Toc169807540"/>
      <w:bookmarkStart w:id="1" w:name="_Toc169799778"/>
      <w:r>
        <w:rPr>
          <w:rFonts w:hint="eastAsia" w:ascii="宋体" w:hAnsi="宋体" w:eastAsia="宋体" w:cs="宋体"/>
          <w:b/>
          <w:color w:val="auto"/>
          <w:kern w:val="0"/>
          <w:sz w:val="36"/>
          <w:szCs w:val="20"/>
          <w:lang w:eastAsia="zh-Hans"/>
        </w:rPr>
        <w:t>第一章</w:t>
      </w:r>
      <w:r>
        <w:rPr>
          <w:rFonts w:hint="eastAsia" w:ascii="宋体" w:hAnsi="宋体" w:eastAsia="宋体" w:cs="宋体"/>
          <w:b/>
          <w:color w:val="auto"/>
          <w:kern w:val="0"/>
          <w:sz w:val="36"/>
          <w:szCs w:val="20"/>
        </w:rPr>
        <w:t xml:space="preserve"> </w:t>
      </w:r>
      <w:r>
        <w:rPr>
          <w:rFonts w:hint="eastAsia" w:ascii="宋体" w:hAnsi="宋体" w:eastAsia="宋体" w:cs="宋体"/>
          <w:b/>
          <w:color w:val="auto"/>
          <w:kern w:val="0"/>
          <w:sz w:val="36"/>
          <w:szCs w:val="20"/>
          <w:lang w:eastAsia="zh-Hans"/>
        </w:rPr>
        <w:t>投标邀请</w:t>
      </w:r>
      <w:bookmarkEnd w:id="0"/>
      <w:bookmarkEnd w:id="1"/>
    </w:p>
    <w:p w14:paraId="7346F0A2">
      <w:pPr>
        <w:widowControl/>
        <w:ind w:firstLine="420" w:firstLineChars="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u w:val="single"/>
        </w:rPr>
        <w:t>（</w:t>
      </w:r>
      <w:r>
        <w:rPr>
          <w:rFonts w:hint="eastAsia" w:ascii="宋体" w:hAnsi="宋体" w:eastAsia="宋体" w:cs="宋体"/>
          <w:color w:val="auto"/>
          <w:kern w:val="0"/>
          <w:szCs w:val="21"/>
          <w:u w:val="single"/>
          <w:lang w:eastAsia="zh-CN"/>
        </w:rPr>
        <w:t>东莞市汽车技术学校2025年网络安全运维项目</w:t>
      </w:r>
      <w:r>
        <w:rPr>
          <w:rFonts w:hint="eastAsia" w:ascii="宋体" w:hAnsi="宋体" w:eastAsia="宋体" w:cs="宋体"/>
          <w:color w:val="auto"/>
          <w:kern w:val="0"/>
          <w:szCs w:val="21"/>
          <w:u w:val="single"/>
        </w:rPr>
        <w:t>）</w:t>
      </w:r>
      <w:r>
        <w:rPr>
          <w:rFonts w:hint="eastAsia" w:ascii="宋体" w:hAnsi="宋体" w:eastAsia="宋体" w:cs="宋体"/>
          <w:color w:val="auto"/>
          <w:kern w:val="0"/>
          <w:szCs w:val="21"/>
          <w:lang w:eastAsia="zh-Hans"/>
        </w:rPr>
        <w:t>招标项目的潜在投标人应在</w:t>
      </w:r>
      <w:r>
        <w:rPr>
          <w:rFonts w:hint="eastAsia" w:ascii="宋体" w:hAnsi="宋体" w:eastAsia="宋体" w:cs="宋体"/>
          <w:color w:val="auto"/>
          <w:kern w:val="0"/>
          <w:szCs w:val="21"/>
          <w:lang w:eastAsia="zh-CN"/>
        </w:rPr>
        <w:t>东莞市南城街道雅园产业园区路5号1栋1楼</w:t>
      </w:r>
      <w:r>
        <w:rPr>
          <w:rFonts w:hint="eastAsia" w:ascii="宋体" w:hAnsi="宋体" w:eastAsia="宋体" w:cs="宋体"/>
          <w:color w:val="auto"/>
          <w:kern w:val="0"/>
          <w:szCs w:val="21"/>
          <w:lang w:eastAsia="zh-Hans"/>
        </w:rPr>
        <w:t>进行获取或微信搜索公众号“广东智汇城市招标采购有限公司”获取招标文件，并于</w:t>
      </w:r>
      <w:r>
        <w:rPr>
          <w:rFonts w:hint="eastAsia" w:ascii="宋体" w:hAnsi="宋体" w:eastAsia="宋体" w:cs="宋体"/>
          <w:color w:val="auto"/>
          <w:kern w:val="0"/>
          <w:szCs w:val="21"/>
          <w:lang w:val="en-US" w:eastAsia="zh-CN"/>
        </w:rPr>
        <w:t>2025</w:t>
      </w:r>
      <w:r>
        <w:rPr>
          <w:rFonts w:hint="eastAsia" w:ascii="宋体" w:hAnsi="宋体" w:eastAsia="宋体" w:cs="宋体"/>
          <w:color w:val="auto"/>
          <w:kern w:val="0"/>
          <w:szCs w:val="21"/>
          <w:lang w:eastAsia="zh-Hans"/>
        </w:rPr>
        <w:t>年</w:t>
      </w:r>
      <w:r>
        <w:rPr>
          <w:rFonts w:hint="eastAsia" w:ascii="宋体" w:hAnsi="宋体" w:eastAsia="宋体" w:cs="宋体"/>
          <w:color w:val="auto"/>
          <w:kern w:val="0"/>
          <w:szCs w:val="21"/>
          <w:lang w:val="en-US" w:eastAsia="zh-CN"/>
        </w:rPr>
        <w:t>05</w:t>
      </w:r>
      <w:r>
        <w:rPr>
          <w:rFonts w:hint="eastAsia" w:ascii="宋体" w:hAnsi="宋体" w:eastAsia="宋体" w:cs="宋体"/>
          <w:color w:val="auto"/>
          <w:kern w:val="0"/>
          <w:szCs w:val="21"/>
          <w:lang w:eastAsia="zh-Hans"/>
        </w:rPr>
        <w:t>月</w:t>
      </w:r>
      <w:r>
        <w:rPr>
          <w:rFonts w:hint="eastAsia" w:ascii="宋体" w:hAnsi="宋体" w:eastAsia="宋体" w:cs="宋体"/>
          <w:color w:val="auto"/>
          <w:kern w:val="0"/>
          <w:szCs w:val="21"/>
          <w:lang w:val="en-US" w:eastAsia="zh-CN"/>
        </w:rPr>
        <w:t>20</w:t>
      </w:r>
      <w:r>
        <w:rPr>
          <w:rFonts w:hint="eastAsia" w:ascii="宋体" w:hAnsi="宋体" w:eastAsia="宋体" w:cs="宋体"/>
          <w:color w:val="auto"/>
          <w:kern w:val="0"/>
          <w:szCs w:val="21"/>
          <w:lang w:eastAsia="zh-Hans"/>
        </w:rPr>
        <w:t>日</w:t>
      </w:r>
      <w:r>
        <w:rPr>
          <w:rFonts w:hint="eastAsia" w:ascii="宋体" w:hAnsi="宋体" w:eastAsia="宋体" w:cs="宋体"/>
          <w:color w:val="auto"/>
          <w:kern w:val="0"/>
          <w:szCs w:val="21"/>
          <w:lang w:val="en-US" w:eastAsia="zh-CN"/>
        </w:rPr>
        <w:t>09</w:t>
      </w:r>
      <w:r>
        <w:rPr>
          <w:rFonts w:hint="eastAsia" w:ascii="宋体" w:hAnsi="宋体" w:eastAsia="宋体" w:cs="宋体"/>
          <w:color w:val="auto"/>
          <w:kern w:val="0"/>
          <w:szCs w:val="21"/>
          <w:lang w:eastAsia="zh-Hans"/>
        </w:rPr>
        <w:t>点</w:t>
      </w:r>
      <w:r>
        <w:rPr>
          <w:rFonts w:hint="eastAsia" w:ascii="宋体" w:hAnsi="宋体" w:eastAsia="宋体" w:cs="宋体"/>
          <w:color w:val="auto"/>
          <w:kern w:val="0"/>
          <w:szCs w:val="21"/>
          <w:lang w:val="en-US" w:eastAsia="zh-CN"/>
        </w:rPr>
        <w:t>30</w:t>
      </w:r>
      <w:r>
        <w:rPr>
          <w:rFonts w:hint="eastAsia" w:ascii="宋体" w:hAnsi="宋体" w:eastAsia="宋体" w:cs="宋体"/>
          <w:color w:val="auto"/>
          <w:kern w:val="0"/>
          <w:szCs w:val="21"/>
          <w:lang w:eastAsia="zh-Hans"/>
        </w:rPr>
        <w:t>分（北京时间）前递交投标文件。</w:t>
      </w:r>
    </w:p>
    <w:p w14:paraId="038A673F">
      <w:pPr>
        <w:spacing w:before="217" w:beforeLines="50"/>
        <w:rPr>
          <w:rFonts w:hint="eastAsia" w:ascii="宋体" w:hAnsi="宋体" w:eastAsia="宋体" w:cs="宋体"/>
          <w:color w:val="auto"/>
          <w:kern w:val="0"/>
          <w:szCs w:val="21"/>
          <w:lang w:eastAsia="zh-Hans"/>
        </w:rPr>
      </w:pPr>
      <w:r>
        <w:rPr>
          <w:rFonts w:hint="eastAsia" w:ascii="宋体" w:hAnsi="宋体" w:eastAsia="宋体" w:cs="宋体"/>
          <w:b/>
          <w:color w:val="auto"/>
          <w:kern w:val="0"/>
          <w:sz w:val="24"/>
          <w:szCs w:val="24"/>
          <w:lang w:eastAsia="zh-Hans"/>
        </w:rPr>
        <w:t>一、项目基本情况</w:t>
      </w:r>
    </w:p>
    <w:p w14:paraId="6FA7A10B">
      <w:pPr>
        <w:pStyle w:val="27"/>
        <w:widowControl/>
        <w:numPr>
          <w:ilvl w:val="0"/>
          <w:numId w:val="1"/>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名称与编号</w:t>
      </w:r>
    </w:p>
    <w:p w14:paraId="7F91CC8D">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rPr>
        <w:t>项目编号：ZHDGZC2025024</w:t>
      </w:r>
    </w:p>
    <w:p w14:paraId="0CDA15F1">
      <w:pPr>
        <w:widowControl/>
        <w:jc w:val="left"/>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Hans"/>
        </w:rPr>
        <w:t>项目名称：</w:t>
      </w:r>
      <w:r>
        <w:rPr>
          <w:rFonts w:hint="eastAsia" w:ascii="宋体" w:hAnsi="宋体" w:eastAsia="宋体" w:cs="宋体"/>
          <w:color w:val="auto"/>
          <w:kern w:val="0"/>
          <w:szCs w:val="21"/>
          <w:lang w:eastAsia="zh-CN"/>
        </w:rPr>
        <w:t>东莞市汽车技术学校2025年网络安全运维项目</w:t>
      </w:r>
    </w:p>
    <w:p w14:paraId="7DC2237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采购方式：公开招标</w:t>
      </w:r>
    </w:p>
    <w:p w14:paraId="1BD84881">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预算金额：¥</w:t>
      </w:r>
      <w:r>
        <w:rPr>
          <w:rFonts w:hint="eastAsia" w:ascii="宋体" w:hAnsi="宋体" w:eastAsia="宋体" w:cs="宋体"/>
          <w:color w:val="auto"/>
          <w:kern w:val="0"/>
          <w:szCs w:val="21"/>
          <w:lang w:val="en-US" w:eastAsia="zh-CN"/>
        </w:rPr>
        <w:t>156,860.00</w:t>
      </w:r>
      <w:r>
        <w:rPr>
          <w:rFonts w:hint="eastAsia" w:ascii="宋体" w:hAnsi="宋体" w:eastAsia="宋体" w:cs="宋体"/>
          <w:color w:val="auto"/>
          <w:kern w:val="0"/>
          <w:szCs w:val="21"/>
          <w:lang w:eastAsia="zh-Hans"/>
        </w:rPr>
        <w:t>元</w:t>
      </w:r>
    </w:p>
    <w:p w14:paraId="53624B76">
      <w:pPr>
        <w:pStyle w:val="27"/>
        <w:widowControl/>
        <w:numPr>
          <w:ilvl w:val="0"/>
          <w:numId w:val="1"/>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采购需求:</w:t>
      </w:r>
      <w:r>
        <w:rPr>
          <w:rFonts w:hint="eastAsia" w:ascii="宋体" w:hAnsi="宋体" w:eastAsia="宋体" w:cs="宋体"/>
          <w:color w:val="auto"/>
          <w:kern w:val="0"/>
          <w:szCs w:val="21"/>
          <w:lang w:eastAsia="zh-Hans"/>
        </w:rPr>
        <w:t xml:space="preserve"> </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1757"/>
        <w:gridCol w:w="1889"/>
        <w:gridCol w:w="1742"/>
        <w:gridCol w:w="3044"/>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60" w:type="pct"/>
            <w:vAlign w:val="center"/>
          </w:tcPr>
          <w:p w14:paraId="427A8EC7">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序号</w:t>
            </w:r>
          </w:p>
        </w:tc>
        <w:tc>
          <w:tcPr>
            <w:tcW w:w="946" w:type="pct"/>
            <w:vAlign w:val="center"/>
          </w:tcPr>
          <w:p w14:paraId="72C4323F">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标的名称</w:t>
            </w:r>
          </w:p>
        </w:tc>
        <w:tc>
          <w:tcPr>
            <w:tcW w:w="1017" w:type="pct"/>
            <w:vAlign w:val="center"/>
          </w:tcPr>
          <w:p w14:paraId="6BC87F70">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预算金额（元）</w:t>
            </w:r>
          </w:p>
        </w:tc>
        <w:tc>
          <w:tcPr>
            <w:tcW w:w="938" w:type="pct"/>
            <w:vAlign w:val="center"/>
          </w:tcPr>
          <w:p w14:paraId="05CDE2E7">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数量（单位）</w:t>
            </w:r>
          </w:p>
        </w:tc>
        <w:tc>
          <w:tcPr>
            <w:tcW w:w="1639" w:type="pct"/>
            <w:vAlign w:val="center"/>
          </w:tcPr>
          <w:p w14:paraId="46866B18">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60" w:type="pct"/>
            <w:vAlign w:val="center"/>
          </w:tcPr>
          <w:p w14:paraId="6DC1FBC2">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946" w:type="pct"/>
            <w:vAlign w:val="center"/>
          </w:tcPr>
          <w:p w14:paraId="45E441AE">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网络安全运维</w:t>
            </w:r>
          </w:p>
        </w:tc>
        <w:tc>
          <w:tcPr>
            <w:tcW w:w="1017" w:type="pct"/>
            <w:vAlign w:val="center"/>
          </w:tcPr>
          <w:p w14:paraId="60B881F5">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val="en-US" w:eastAsia="zh-CN"/>
              </w:rPr>
              <w:t>156,860.00</w:t>
            </w:r>
          </w:p>
        </w:tc>
        <w:tc>
          <w:tcPr>
            <w:tcW w:w="938" w:type="pct"/>
            <w:vAlign w:val="center"/>
          </w:tcPr>
          <w:p w14:paraId="215E745D">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1(项)</w:t>
            </w:r>
          </w:p>
        </w:tc>
        <w:tc>
          <w:tcPr>
            <w:tcW w:w="1639" w:type="pct"/>
            <w:vAlign w:val="center"/>
          </w:tcPr>
          <w:p w14:paraId="3FA2DDE4">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Hans"/>
              </w:rPr>
              <w:t>详见第二章采购需求</w:t>
            </w:r>
          </w:p>
        </w:tc>
      </w:tr>
    </w:tbl>
    <w:p w14:paraId="2C908FC7">
      <w:pPr>
        <w:widowControl/>
        <w:jc w:val="left"/>
        <w:rPr>
          <w:rFonts w:hint="eastAsia" w:ascii="宋体" w:hAnsi="宋体" w:eastAsia="宋体" w:cs="宋体"/>
          <w:color w:val="auto"/>
          <w:kern w:val="0"/>
          <w:sz w:val="20"/>
          <w:szCs w:val="20"/>
          <w:lang w:val="en-US" w:eastAsia="zh-CN"/>
        </w:rPr>
      </w:pPr>
      <w:r>
        <w:rPr>
          <w:rFonts w:hint="eastAsia" w:ascii="宋体" w:hAnsi="宋体" w:eastAsia="宋体" w:cs="宋体"/>
          <w:color w:val="auto"/>
          <w:kern w:val="0"/>
          <w:szCs w:val="21"/>
          <w:lang w:eastAsia="zh-Hans"/>
        </w:rPr>
        <w:t>合同履行期限：</w:t>
      </w:r>
      <w:r>
        <w:rPr>
          <w:rFonts w:hint="eastAsia" w:ascii="宋体" w:hAnsi="宋体" w:eastAsia="宋体" w:cs="Times New Roman"/>
          <w:color w:val="auto"/>
          <w:kern w:val="0"/>
          <w:szCs w:val="21"/>
          <w:lang w:val="en-US" w:eastAsia="zh-CN"/>
        </w:rPr>
        <w:t>本项目</w:t>
      </w:r>
      <w:r>
        <w:rPr>
          <w:rFonts w:hint="eastAsia" w:ascii="宋体" w:hAnsi="宋体" w:eastAsia="宋体" w:cs="Times New Roman"/>
          <w:color w:val="auto"/>
          <w:kern w:val="0"/>
          <w:szCs w:val="21"/>
          <w:lang w:eastAsia="zh-Hans"/>
        </w:rPr>
        <w:t>服务期为一年</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即</w:t>
      </w:r>
      <w:r>
        <w:rPr>
          <w:rFonts w:hint="eastAsia" w:ascii="宋体" w:hAnsi="宋体" w:eastAsia="宋体" w:cs="Times New Roman"/>
          <w:color w:val="auto"/>
          <w:kern w:val="0"/>
          <w:szCs w:val="21"/>
          <w:lang w:eastAsia="zh-Hans"/>
        </w:rPr>
        <w:t>自合同签订并双方约定启动服务之日起12个月</w:t>
      </w:r>
      <w:r>
        <w:rPr>
          <w:rFonts w:hint="eastAsia" w:ascii="宋体" w:hAnsi="宋体" w:eastAsia="宋体" w:cs="Times New Roman"/>
          <w:color w:val="auto"/>
          <w:kern w:val="0"/>
          <w:szCs w:val="21"/>
          <w:lang w:eastAsia="zh-CN"/>
        </w:rPr>
        <w:t>）。</w:t>
      </w:r>
    </w:p>
    <w:p w14:paraId="1ED4D63C">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本项目不接受联合体投标。</w:t>
      </w:r>
    </w:p>
    <w:p w14:paraId="40E89C6F">
      <w:pPr>
        <w:spacing w:before="217" w:beforeLines="50"/>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24"/>
          <w:szCs w:val="24"/>
          <w:lang w:eastAsia="zh-Hans"/>
        </w:rPr>
        <w:t>二、申请人的资格要求：</w:t>
      </w:r>
    </w:p>
    <w:p w14:paraId="71F2245C">
      <w:pPr>
        <w:pStyle w:val="27"/>
        <w:widowControl/>
        <w:numPr>
          <w:ilvl w:val="0"/>
          <w:numId w:val="2"/>
        </w:numPr>
        <w:ind w:firstLineChars="0"/>
        <w:jc w:val="left"/>
        <w:outlineLvl w:val="3"/>
        <w:rPr>
          <w:rFonts w:hint="eastAsia" w:ascii="宋体" w:hAnsi="宋体" w:eastAsia="宋体" w:cs="宋体"/>
          <w:b/>
          <w:color w:val="auto"/>
          <w:kern w:val="0"/>
          <w:szCs w:val="21"/>
        </w:rPr>
      </w:pPr>
      <w:bookmarkStart w:id="2" w:name="_Hlk169874438"/>
      <w:bookmarkStart w:id="3" w:name="_Hlk170131464"/>
      <w:r>
        <w:rPr>
          <w:rFonts w:hint="eastAsia" w:ascii="宋体" w:hAnsi="宋体" w:eastAsia="宋体" w:cs="宋体"/>
          <w:b/>
          <w:color w:val="auto"/>
          <w:kern w:val="0"/>
          <w:szCs w:val="21"/>
          <w:lang w:eastAsia="zh-Hans"/>
        </w:rPr>
        <w:t>满足《中华人民共和国政府采购法》第二十二条规定：</w:t>
      </w:r>
      <w:bookmarkEnd w:id="2"/>
    </w:p>
    <w:p w14:paraId="51C87821">
      <w:pPr>
        <w:pStyle w:val="27"/>
        <w:widowControl/>
        <w:numPr>
          <w:ilvl w:val="0"/>
          <w:numId w:val="3"/>
        </w:numPr>
        <w:ind w:firstLineChars="0"/>
        <w:jc w:val="left"/>
        <w:outlineLvl w:val="3"/>
        <w:rPr>
          <w:rFonts w:hint="eastAsia" w:ascii="宋体" w:hAnsi="宋体" w:eastAsia="宋体" w:cs="宋体"/>
          <w:bCs/>
          <w:color w:val="auto"/>
          <w:kern w:val="0"/>
          <w:szCs w:val="21"/>
        </w:rPr>
      </w:pPr>
      <w:r>
        <w:rPr>
          <w:rFonts w:hint="eastAsia" w:ascii="宋体" w:hAnsi="宋体" w:eastAsia="宋体" w:cs="宋体"/>
          <w:bCs/>
          <w:color w:val="auto"/>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5EA8C8EE">
      <w:pPr>
        <w:pStyle w:val="27"/>
        <w:widowControl/>
        <w:numPr>
          <w:ilvl w:val="0"/>
          <w:numId w:val="3"/>
        </w:numPr>
        <w:ind w:firstLineChars="0"/>
        <w:jc w:val="left"/>
        <w:outlineLvl w:val="3"/>
        <w:rPr>
          <w:rFonts w:hint="eastAsia" w:ascii="宋体" w:hAnsi="宋体" w:eastAsia="宋体" w:cs="宋体"/>
          <w:bCs/>
          <w:color w:val="auto"/>
          <w:kern w:val="0"/>
          <w:szCs w:val="21"/>
        </w:rPr>
      </w:pPr>
      <w:r>
        <w:rPr>
          <w:rFonts w:hint="eastAsia" w:ascii="宋体" w:hAnsi="宋体" w:eastAsia="宋体" w:cs="宋体"/>
          <w:bCs/>
          <w:color w:val="auto"/>
          <w:kern w:val="0"/>
          <w:szCs w:val="21"/>
        </w:rPr>
        <w:t>具有良好的商业信誉和健全的财务会计制度，提供202</w:t>
      </w:r>
      <w:r>
        <w:rPr>
          <w:rFonts w:hint="eastAsia" w:ascii="宋体" w:hAnsi="宋体" w:eastAsia="宋体" w:cs="宋体"/>
          <w:bCs/>
          <w:color w:val="auto"/>
          <w:kern w:val="0"/>
          <w:szCs w:val="21"/>
          <w:lang w:val="en-US" w:eastAsia="zh-CN"/>
        </w:rPr>
        <w:t>3</w:t>
      </w:r>
      <w:r>
        <w:rPr>
          <w:rFonts w:hint="eastAsia" w:ascii="宋体" w:hAnsi="宋体" w:eastAsia="宋体" w:cs="宋体"/>
          <w:bCs/>
          <w:color w:val="auto"/>
          <w:kern w:val="0"/>
          <w:szCs w:val="21"/>
        </w:rPr>
        <w:t>年或202</w:t>
      </w:r>
      <w:r>
        <w:rPr>
          <w:rFonts w:hint="eastAsia" w:ascii="宋体" w:hAnsi="宋体" w:eastAsia="宋体" w:cs="宋体"/>
          <w:bCs/>
          <w:color w:val="auto"/>
          <w:kern w:val="0"/>
          <w:szCs w:val="21"/>
          <w:lang w:val="en-US" w:eastAsia="zh-CN"/>
        </w:rPr>
        <w:t>4</w:t>
      </w:r>
      <w:r>
        <w:rPr>
          <w:rFonts w:hint="eastAsia" w:ascii="宋体" w:hAnsi="宋体" w:eastAsia="宋体" w:cs="宋体"/>
          <w:bCs/>
          <w:color w:val="auto"/>
          <w:kern w:val="0"/>
          <w:szCs w:val="21"/>
        </w:rPr>
        <w:t>年财务状况报告或者基本户开户银行出具的资信证明或提供资格条件承诺函（详见投标文件格式）。</w:t>
      </w:r>
    </w:p>
    <w:p w14:paraId="59231421">
      <w:pPr>
        <w:pStyle w:val="27"/>
        <w:widowControl/>
        <w:numPr>
          <w:ilvl w:val="0"/>
          <w:numId w:val="3"/>
        </w:numPr>
        <w:ind w:firstLineChars="0"/>
        <w:jc w:val="left"/>
        <w:outlineLvl w:val="3"/>
        <w:rPr>
          <w:rFonts w:hint="eastAsia" w:ascii="宋体" w:hAnsi="宋体" w:eastAsia="宋体" w:cs="宋体"/>
          <w:bCs/>
          <w:color w:val="auto"/>
          <w:kern w:val="0"/>
          <w:szCs w:val="21"/>
        </w:rPr>
      </w:pPr>
      <w:r>
        <w:rPr>
          <w:rFonts w:hint="eastAsia" w:ascii="宋体" w:hAnsi="宋体" w:eastAsia="宋体" w:cs="宋体"/>
          <w:bCs/>
          <w:color w:val="auto"/>
          <w:kern w:val="0"/>
          <w:szCs w:val="21"/>
        </w:rPr>
        <w:t>履行合同所必需的设备和专业技术能力，提供资格条件承诺函（详见投标文件格式）。</w:t>
      </w:r>
    </w:p>
    <w:p w14:paraId="0C98F864">
      <w:pPr>
        <w:pStyle w:val="27"/>
        <w:widowControl/>
        <w:numPr>
          <w:ilvl w:val="0"/>
          <w:numId w:val="3"/>
        </w:numPr>
        <w:ind w:firstLineChars="0"/>
        <w:jc w:val="left"/>
        <w:outlineLvl w:val="3"/>
        <w:rPr>
          <w:rFonts w:hint="eastAsia" w:ascii="宋体" w:hAnsi="宋体" w:eastAsia="宋体" w:cs="宋体"/>
          <w:bCs/>
          <w:color w:val="auto"/>
          <w:kern w:val="0"/>
          <w:szCs w:val="21"/>
        </w:rPr>
      </w:pPr>
      <w:r>
        <w:rPr>
          <w:rFonts w:hint="eastAsia" w:ascii="宋体" w:hAnsi="宋体" w:eastAsia="宋体" w:cs="宋体"/>
          <w:bCs/>
          <w:color w:val="auto"/>
          <w:kern w:val="0"/>
          <w:szCs w:val="21"/>
        </w:rPr>
        <w:t>有依法缴纳税收和社会保障资金的良好记录，提供投标截止日前6个月内任意1个月依法缴纳税收和社会保障资金的相关材料；如依法免税或不需要缴纳社会保障资金的，提供相应证明材料。或提供资格条件承诺函（详见投标文件格式）。</w:t>
      </w:r>
    </w:p>
    <w:p w14:paraId="7DDDE317">
      <w:pPr>
        <w:pStyle w:val="27"/>
        <w:widowControl/>
        <w:numPr>
          <w:ilvl w:val="0"/>
          <w:numId w:val="3"/>
        </w:numPr>
        <w:ind w:firstLineChars="0"/>
        <w:jc w:val="left"/>
        <w:outlineLvl w:val="3"/>
        <w:rPr>
          <w:rFonts w:hint="eastAsia" w:ascii="宋体" w:hAnsi="宋体" w:eastAsia="宋体" w:cs="宋体"/>
          <w:bCs/>
          <w:color w:val="auto"/>
          <w:kern w:val="0"/>
          <w:szCs w:val="21"/>
        </w:rPr>
      </w:pPr>
      <w:r>
        <w:rPr>
          <w:rFonts w:hint="eastAsia" w:ascii="宋体" w:hAnsi="宋体" w:eastAsia="宋体" w:cs="宋体"/>
          <w:bCs/>
          <w:color w:val="auto"/>
          <w:kern w:val="0"/>
          <w:szCs w:val="21"/>
        </w:rPr>
        <w:t>参加采购活动前3年内，在经营活动中没有重大违法记录：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3D164C13">
      <w:pPr>
        <w:pStyle w:val="27"/>
        <w:widowControl/>
        <w:numPr>
          <w:ilvl w:val="0"/>
          <w:numId w:val="2"/>
        </w:numPr>
        <w:ind w:firstLineChars="0"/>
        <w:jc w:val="left"/>
        <w:outlineLvl w:val="3"/>
        <w:rPr>
          <w:rFonts w:hint="eastAsia" w:ascii="宋体" w:hAnsi="宋体" w:eastAsia="宋体" w:cs="宋体"/>
          <w:b/>
          <w:color w:val="auto"/>
          <w:kern w:val="0"/>
          <w:szCs w:val="21"/>
        </w:rPr>
      </w:pPr>
      <w:bookmarkStart w:id="4" w:name="_Hlk169874618"/>
      <w:r>
        <w:rPr>
          <w:rFonts w:hint="eastAsia" w:ascii="宋体" w:hAnsi="宋体" w:eastAsia="宋体" w:cs="宋体"/>
          <w:b/>
          <w:color w:val="auto"/>
          <w:kern w:val="0"/>
          <w:szCs w:val="21"/>
          <w:lang w:eastAsia="zh-Hans"/>
        </w:rPr>
        <w:t>落实政府采购政策需满足的资格要求：本项目专门面向中小企业采购，供应商应为中小微企业、监狱企业、残疾人福利性单位。（提供《中小企业声明函》或属于监狱企业的证明材料或《残疾人福利性单位声明函》）详见投标文件格式</w:t>
      </w:r>
      <w:r>
        <w:rPr>
          <w:rFonts w:hint="eastAsia" w:ascii="宋体" w:hAnsi="宋体" w:eastAsia="宋体" w:cs="宋体"/>
          <w:b/>
          <w:color w:val="auto"/>
          <w:kern w:val="0"/>
          <w:szCs w:val="21"/>
          <w:lang w:eastAsia="zh-CN"/>
        </w:rPr>
        <w:t>。</w:t>
      </w:r>
    </w:p>
    <w:p w14:paraId="7D350B23">
      <w:pPr>
        <w:pStyle w:val="27"/>
        <w:widowControl/>
        <w:numPr>
          <w:ilvl w:val="0"/>
          <w:numId w:val="2"/>
        </w:numPr>
        <w:ind w:firstLineChars="0"/>
        <w:jc w:val="left"/>
        <w:outlineLvl w:val="3"/>
        <w:rPr>
          <w:rFonts w:hint="eastAsia" w:ascii="宋体" w:hAnsi="宋体" w:eastAsia="宋体" w:cs="宋体"/>
          <w:b/>
          <w:color w:val="auto"/>
          <w:kern w:val="0"/>
          <w:sz w:val="24"/>
          <w:szCs w:val="20"/>
          <w:lang w:eastAsia="zh-Hans"/>
        </w:rPr>
      </w:pPr>
      <w:r>
        <w:rPr>
          <w:rFonts w:hint="eastAsia" w:ascii="宋体" w:hAnsi="宋体" w:eastAsia="宋体" w:cs="宋体"/>
          <w:b/>
          <w:color w:val="auto"/>
          <w:kern w:val="0"/>
          <w:szCs w:val="21"/>
          <w:lang w:eastAsia="zh-Hans"/>
        </w:rPr>
        <w:t>本项目的特定资格要求：</w:t>
      </w:r>
    </w:p>
    <w:p w14:paraId="68E4E1BC">
      <w:pPr>
        <w:pStyle w:val="27"/>
        <w:widowControl/>
        <w:numPr>
          <w:ilvl w:val="0"/>
          <w:numId w:val="4"/>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7"/>
        <w:widowControl/>
        <w:numPr>
          <w:ilvl w:val="0"/>
          <w:numId w:val="4"/>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bookmarkEnd w:id="3"/>
    <w:bookmarkEnd w:id="4"/>
    <w:p w14:paraId="51ED73A6">
      <w:pPr>
        <w:spacing w:before="217" w:beforeLines="50"/>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24"/>
          <w:szCs w:val="24"/>
          <w:lang w:eastAsia="zh-Hans"/>
        </w:rPr>
        <w:t>三、获取招标文件</w:t>
      </w:r>
    </w:p>
    <w:p w14:paraId="5E969CEA">
      <w:pPr>
        <w:pStyle w:val="21"/>
        <w:ind w:firstLine="420" w:firstLineChars="20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时间：</w:t>
      </w:r>
      <w:r>
        <w:rPr>
          <w:rFonts w:hint="eastAsia" w:ascii="宋体" w:hAnsi="宋体" w:eastAsia="宋体" w:cs="宋体"/>
          <w:color w:val="auto"/>
          <w:sz w:val="21"/>
          <w:szCs w:val="21"/>
          <w:lang w:val="en-US" w:eastAsia="zh-CN"/>
        </w:rPr>
        <w:t>2025</w:t>
      </w:r>
      <w:r>
        <w:rPr>
          <w:rFonts w:hint="eastAsia" w:ascii="宋体" w:hAnsi="宋体" w:eastAsia="宋体" w:cs="宋体"/>
          <w:color w:val="auto"/>
          <w:sz w:val="21"/>
          <w:szCs w:val="21"/>
          <w:lang w:eastAsia="zh-CN"/>
        </w:rPr>
        <w:t>年</w:t>
      </w:r>
      <w:r>
        <w:rPr>
          <w:rFonts w:hint="eastAsia" w:ascii="宋体" w:hAnsi="宋体" w:eastAsia="宋体" w:cs="宋体"/>
          <w:color w:val="auto"/>
          <w:sz w:val="21"/>
          <w:szCs w:val="21"/>
          <w:lang w:val="en-US" w:eastAsia="zh-CN"/>
        </w:rPr>
        <w:t>04</w:t>
      </w:r>
      <w:r>
        <w:rPr>
          <w:rFonts w:hint="eastAsia" w:ascii="宋体" w:hAnsi="宋体" w:eastAsia="宋体" w:cs="宋体"/>
          <w:color w:val="auto"/>
          <w:sz w:val="21"/>
          <w:szCs w:val="21"/>
          <w:lang w:eastAsia="zh-CN"/>
        </w:rPr>
        <w:t>月</w:t>
      </w:r>
      <w:r>
        <w:rPr>
          <w:rFonts w:hint="eastAsia" w:ascii="宋体" w:hAnsi="宋体" w:eastAsia="宋体" w:cs="宋体"/>
          <w:color w:val="auto"/>
          <w:sz w:val="21"/>
          <w:szCs w:val="21"/>
          <w:lang w:val="en-US" w:eastAsia="zh-CN"/>
        </w:rPr>
        <w:t>29</w:t>
      </w:r>
      <w:r>
        <w:rPr>
          <w:rFonts w:hint="eastAsia" w:ascii="宋体" w:hAnsi="宋体" w:eastAsia="宋体" w:cs="宋体"/>
          <w:color w:val="auto"/>
          <w:sz w:val="21"/>
          <w:szCs w:val="21"/>
          <w:lang w:eastAsia="zh-CN"/>
        </w:rPr>
        <w:t>日至</w:t>
      </w:r>
      <w:r>
        <w:rPr>
          <w:rFonts w:hint="eastAsia" w:ascii="宋体" w:hAnsi="宋体" w:eastAsia="宋体" w:cs="宋体"/>
          <w:color w:val="auto"/>
          <w:sz w:val="21"/>
          <w:szCs w:val="21"/>
          <w:lang w:val="en-US" w:eastAsia="zh-CN"/>
        </w:rPr>
        <w:t>2025</w:t>
      </w:r>
      <w:r>
        <w:rPr>
          <w:rFonts w:hint="eastAsia" w:ascii="宋体" w:hAnsi="宋体" w:eastAsia="宋体" w:cs="宋体"/>
          <w:color w:val="auto"/>
          <w:sz w:val="21"/>
          <w:szCs w:val="21"/>
          <w:lang w:eastAsia="zh-CN"/>
        </w:rPr>
        <w:t>年</w:t>
      </w:r>
      <w:r>
        <w:rPr>
          <w:rFonts w:hint="eastAsia" w:ascii="宋体" w:hAnsi="宋体" w:eastAsia="宋体" w:cs="宋体"/>
          <w:color w:val="auto"/>
          <w:sz w:val="21"/>
          <w:szCs w:val="21"/>
          <w:lang w:val="en-US" w:eastAsia="zh-CN"/>
        </w:rPr>
        <w:t>05</w:t>
      </w:r>
      <w:r>
        <w:rPr>
          <w:rFonts w:hint="eastAsia" w:ascii="宋体" w:hAnsi="宋体" w:eastAsia="宋体" w:cs="宋体"/>
          <w:color w:val="auto"/>
          <w:sz w:val="21"/>
          <w:szCs w:val="21"/>
          <w:lang w:eastAsia="zh-CN"/>
        </w:rPr>
        <w:t>月</w:t>
      </w:r>
      <w:r>
        <w:rPr>
          <w:rFonts w:hint="eastAsia" w:ascii="宋体" w:hAnsi="宋体" w:eastAsia="宋体" w:cs="宋体"/>
          <w:color w:val="auto"/>
          <w:sz w:val="21"/>
          <w:szCs w:val="21"/>
          <w:lang w:val="en-US" w:eastAsia="zh-CN"/>
        </w:rPr>
        <w:t>09</w:t>
      </w:r>
      <w:r>
        <w:rPr>
          <w:rFonts w:hint="eastAsia" w:ascii="宋体" w:hAnsi="宋体" w:eastAsia="宋体" w:cs="宋体"/>
          <w:color w:val="auto"/>
          <w:sz w:val="21"/>
          <w:szCs w:val="21"/>
          <w:lang w:eastAsia="zh-CN"/>
        </w:rPr>
        <w:t>日，每天上午9:00至12:00，下午14:30至17:30。（北京时间，法定节假日除外）</w:t>
      </w:r>
    </w:p>
    <w:p w14:paraId="36BBA40B">
      <w:pPr>
        <w:pStyle w:val="21"/>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地点：到</w:t>
      </w:r>
      <w:r>
        <w:rPr>
          <w:rFonts w:hint="eastAsia" w:ascii="宋体" w:hAnsi="宋体" w:eastAsia="宋体" w:cs="宋体"/>
          <w:color w:val="auto"/>
          <w:sz w:val="21"/>
          <w:szCs w:val="21"/>
          <w:lang w:eastAsia="zh-CN"/>
        </w:rPr>
        <w:t>东莞市南城街道雅园产业园区路5号1栋1楼</w:t>
      </w:r>
      <w:r>
        <w:rPr>
          <w:rFonts w:hint="eastAsia" w:ascii="宋体" w:hAnsi="宋体" w:eastAsia="宋体" w:cs="宋体"/>
          <w:color w:val="auto"/>
          <w:sz w:val="21"/>
          <w:szCs w:val="21"/>
        </w:rPr>
        <w:t>进行获取或微信搜索公众号“广东智汇城市招标采购有限公司”。</w:t>
      </w:r>
    </w:p>
    <w:p w14:paraId="50D49FD9">
      <w:pPr>
        <w:pStyle w:val="21"/>
        <w:ind w:firstLine="420" w:firstLineChars="200"/>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方式：现场或线上获取</w:t>
      </w:r>
    </w:p>
    <w:p w14:paraId="001837DA">
      <w:pPr>
        <w:pStyle w:val="21"/>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售价：¥200元</w:t>
      </w:r>
    </w:p>
    <w:p w14:paraId="3C2345BE">
      <w:pPr>
        <w:spacing w:before="217" w:beforeLines="50"/>
        <w:rPr>
          <w:rFonts w:hint="eastAsia" w:ascii="宋体" w:hAnsi="宋体" w:eastAsia="宋体" w:cs="宋体"/>
          <w:color w:val="auto"/>
          <w:szCs w:val="21"/>
        </w:rPr>
      </w:pPr>
      <w:r>
        <w:rPr>
          <w:rFonts w:hint="eastAsia" w:ascii="宋体" w:hAnsi="宋体" w:eastAsia="宋体" w:cs="宋体"/>
          <w:b/>
          <w:color w:val="auto"/>
          <w:kern w:val="0"/>
          <w:sz w:val="24"/>
          <w:szCs w:val="24"/>
          <w:lang w:eastAsia="zh-Hans"/>
        </w:rPr>
        <w:t>四、提交投标文件截止时间、开标时间和地点</w:t>
      </w:r>
    </w:p>
    <w:p w14:paraId="30374F8F">
      <w:pPr>
        <w:pStyle w:val="21"/>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2025</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05</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20</w:t>
      </w:r>
      <w:r>
        <w:rPr>
          <w:rFonts w:hint="eastAsia" w:ascii="宋体" w:hAnsi="宋体" w:eastAsia="宋体" w:cs="宋体"/>
          <w:color w:val="auto"/>
          <w:sz w:val="21"/>
          <w:szCs w:val="21"/>
        </w:rPr>
        <w:t>日</w:t>
      </w:r>
      <w:r>
        <w:rPr>
          <w:rFonts w:hint="eastAsia" w:ascii="宋体" w:hAnsi="宋体" w:eastAsia="宋体" w:cs="宋体"/>
          <w:color w:val="auto"/>
          <w:sz w:val="21"/>
          <w:szCs w:val="21"/>
          <w:lang w:val="en-US" w:eastAsia="zh-CN"/>
        </w:rPr>
        <w:t>09</w:t>
      </w:r>
      <w:r>
        <w:rPr>
          <w:rFonts w:hint="eastAsia" w:ascii="宋体" w:hAnsi="宋体" w:eastAsia="宋体" w:cs="宋体"/>
          <w:color w:val="auto"/>
          <w:sz w:val="21"/>
          <w:szCs w:val="21"/>
        </w:rPr>
        <w:t>点</w:t>
      </w:r>
      <w:r>
        <w:rPr>
          <w:rFonts w:hint="eastAsia" w:ascii="宋体" w:hAnsi="宋体" w:eastAsia="宋体" w:cs="宋体"/>
          <w:color w:val="auto"/>
          <w:sz w:val="21"/>
          <w:szCs w:val="21"/>
          <w:lang w:val="en-US" w:eastAsia="zh-CN"/>
        </w:rPr>
        <w:t>30</w:t>
      </w:r>
      <w:r>
        <w:rPr>
          <w:rFonts w:hint="eastAsia" w:ascii="宋体" w:hAnsi="宋体" w:eastAsia="宋体" w:cs="宋体"/>
          <w:color w:val="auto"/>
          <w:sz w:val="21"/>
          <w:szCs w:val="21"/>
        </w:rPr>
        <w:t>分（北京时间）（自招标文件开始发出之日起至投标人提交投标文件截止之日止，不得少于20日）</w:t>
      </w:r>
    </w:p>
    <w:p w14:paraId="54F3F7A4">
      <w:pPr>
        <w:pStyle w:val="21"/>
        <w:rPr>
          <w:rFonts w:hint="eastAsia" w:ascii="宋体" w:hAnsi="宋体" w:eastAsia="宋体" w:cs="宋体"/>
          <w:color w:val="auto"/>
          <w:sz w:val="21"/>
          <w:szCs w:val="21"/>
          <w:lang w:eastAsia="zh-CN"/>
        </w:rPr>
      </w:pPr>
      <w:r>
        <w:rPr>
          <w:rFonts w:hint="eastAsia" w:ascii="宋体" w:hAnsi="宋体" w:eastAsia="宋体" w:cs="宋体"/>
          <w:color w:val="auto"/>
          <w:sz w:val="21"/>
          <w:szCs w:val="21"/>
        </w:rPr>
        <w:t>地点：</w:t>
      </w:r>
      <w:r>
        <w:rPr>
          <w:rFonts w:hint="eastAsia" w:ascii="宋体" w:hAnsi="宋体" w:eastAsia="宋体" w:cs="宋体"/>
          <w:color w:val="auto"/>
          <w:sz w:val="21"/>
          <w:szCs w:val="21"/>
          <w:lang w:eastAsia="zh-CN"/>
        </w:rPr>
        <w:t>东莞市南城街道雅园产业园区路5号1栋1楼</w:t>
      </w:r>
    </w:p>
    <w:p w14:paraId="2E702E7D">
      <w:pPr>
        <w:spacing w:before="217" w:beforeLines="50"/>
        <w:rPr>
          <w:rFonts w:hint="eastAsia" w:ascii="宋体" w:hAnsi="宋体" w:eastAsia="宋体" w:cs="宋体"/>
          <w:color w:val="auto"/>
          <w:szCs w:val="21"/>
        </w:rPr>
      </w:pPr>
      <w:r>
        <w:rPr>
          <w:rFonts w:hint="eastAsia" w:ascii="宋体" w:hAnsi="宋体" w:eastAsia="宋体" w:cs="宋体"/>
          <w:b/>
          <w:color w:val="auto"/>
          <w:kern w:val="0"/>
          <w:sz w:val="24"/>
          <w:szCs w:val="24"/>
          <w:lang w:eastAsia="zh-Hans"/>
        </w:rPr>
        <w:t>五、公告期限</w:t>
      </w:r>
    </w:p>
    <w:p w14:paraId="20B43812">
      <w:pPr>
        <w:pStyle w:val="21"/>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自本公告发布之日起5个工作日。</w:t>
      </w:r>
    </w:p>
    <w:p w14:paraId="3CD7C908">
      <w:pPr>
        <w:spacing w:before="217" w:beforeLines="50"/>
        <w:rPr>
          <w:rFonts w:hint="eastAsia" w:ascii="宋体" w:hAnsi="宋体" w:eastAsia="宋体" w:cs="宋体"/>
          <w:color w:val="auto"/>
          <w:szCs w:val="21"/>
        </w:rPr>
      </w:pPr>
      <w:r>
        <w:rPr>
          <w:rFonts w:hint="eastAsia" w:ascii="宋体" w:hAnsi="宋体" w:eastAsia="宋体" w:cs="宋体"/>
          <w:b/>
          <w:color w:val="auto"/>
          <w:kern w:val="0"/>
          <w:sz w:val="24"/>
          <w:szCs w:val="24"/>
          <w:lang w:eastAsia="zh-Hans"/>
        </w:rPr>
        <w:t>六、其他补充事宜</w:t>
      </w:r>
    </w:p>
    <w:p w14:paraId="61A159E2">
      <w:pPr>
        <w:pStyle w:val="21"/>
        <w:numPr>
          <w:ilvl w:val="0"/>
          <w:numId w:val="5"/>
        </w:numPr>
        <w:rPr>
          <w:rFonts w:hint="eastAsia" w:ascii="宋体" w:hAnsi="宋体" w:eastAsia="宋体" w:cs="宋体"/>
          <w:color w:val="auto"/>
          <w:sz w:val="21"/>
          <w:szCs w:val="21"/>
        </w:rPr>
      </w:pPr>
      <w:r>
        <w:rPr>
          <w:rFonts w:hint="eastAsia" w:ascii="宋体" w:hAnsi="宋体" w:eastAsia="宋体" w:cs="宋体"/>
          <w:color w:val="auto"/>
          <w:sz w:val="21"/>
          <w:szCs w:val="21"/>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21"/>
        <w:numPr>
          <w:ilvl w:val="0"/>
          <w:numId w:val="5"/>
        </w:numPr>
        <w:rPr>
          <w:rFonts w:hint="eastAsia" w:ascii="宋体" w:hAnsi="宋体" w:eastAsia="宋体" w:cs="宋体"/>
          <w:color w:val="auto"/>
          <w:sz w:val="21"/>
          <w:szCs w:val="21"/>
        </w:rPr>
      </w:pPr>
      <w:r>
        <w:rPr>
          <w:rFonts w:hint="eastAsia" w:ascii="宋体" w:hAnsi="宋体" w:eastAsia="宋体" w:cs="宋体"/>
          <w:color w:val="auto"/>
          <w:sz w:val="21"/>
          <w:szCs w:val="21"/>
        </w:rPr>
        <w:t>本项目采购标的所属行业为</w:t>
      </w:r>
      <w:r>
        <w:rPr>
          <w:rFonts w:hint="eastAsia" w:ascii="宋体" w:hAnsi="宋体" w:eastAsia="宋体" w:cs="宋体"/>
          <w:color w:val="auto"/>
          <w:sz w:val="21"/>
          <w:szCs w:val="21"/>
          <w:u w:val="single"/>
          <w:lang w:eastAsia="zh-CN"/>
        </w:rPr>
        <w:t xml:space="preserve"> 软件和信息技术服务业 </w:t>
      </w:r>
      <w:r>
        <w:rPr>
          <w:rFonts w:hint="eastAsia" w:ascii="宋体" w:hAnsi="宋体" w:eastAsia="宋体" w:cs="宋体"/>
          <w:color w:val="auto"/>
          <w:sz w:val="21"/>
          <w:szCs w:val="21"/>
        </w:rPr>
        <w:t>。</w:t>
      </w:r>
    </w:p>
    <w:p w14:paraId="33DAD7C9">
      <w:pPr>
        <w:pStyle w:val="21"/>
        <w:numPr>
          <w:ilvl w:val="0"/>
          <w:numId w:val="5"/>
        </w:numPr>
        <w:rPr>
          <w:rFonts w:hint="eastAsia" w:ascii="宋体" w:hAnsi="宋体" w:eastAsia="宋体" w:cs="宋体"/>
          <w:color w:val="auto"/>
          <w:sz w:val="21"/>
          <w:szCs w:val="21"/>
        </w:rPr>
      </w:pPr>
      <w:r>
        <w:rPr>
          <w:rFonts w:hint="eastAsia" w:ascii="宋体" w:hAnsi="宋体" w:eastAsia="宋体" w:cs="宋体"/>
          <w:color w:val="auto"/>
          <w:sz w:val="21"/>
          <w:szCs w:val="21"/>
        </w:rPr>
        <w:t>发布公告的媒介</w:t>
      </w:r>
    </w:p>
    <w:p w14:paraId="06FC1B2B">
      <w:pPr>
        <w:pStyle w:val="21"/>
        <w:ind w:left="425" w:leftChars="181" w:hanging="45" w:hangingChars="24"/>
        <w:rPr>
          <w:rFonts w:hint="eastAsia" w:ascii="宋体" w:hAnsi="宋体" w:eastAsia="宋体" w:cs="宋体"/>
          <w:color w:val="auto"/>
          <w:spacing w:val="-10"/>
          <w:sz w:val="21"/>
          <w:szCs w:val="21"/>
          <w:lang w:eastAsia="zh-CN"/>
        </w:rPr>
      </w:pPr>
      <w:r>
        <w:rPr>
          <w:rFonts w:hint="eastAsia" w:ascii="宋体" w:hAnsi="宋体" w:eastAsia="宋体" w:cs="宋体"/>
          <w:color w:val="auto"/>
          <w:spacing w:val="-10"/>
          <w:sz w:val="21"/>
          <w:szCs w:val="21"/>
        </w:rPr>
        <w:t>中国采购与招标网（https://zbdt.chinabidding.cn/）、广东智汇城市招标采购有限公司网站(http://www.gdzhcity.com/)</w:t>
      </w:r>
    </w:p>
    <w:p w14:paraId="5E1239F4">
      <w:pPr>
        <w:pStyle w:val="21"/>
        <w:numPr>
          <w:ilvl w:val="0"/>
          <w:numId w:val="5"/>
        </w:numPr>
        <w:rPr>
          <w:rFonts w:hint="eastAsia" w:ascii="宋体" w:hAnsi="宋体" w:eastAsia="宋体" w:cs="宋体"/>
          <w:color w:val="auto"/>
          <w:sz w:val="21"/>
          <w:szCs w:val="21"/>
        </w:rPr>
      </w:pPr>
      <w:r>
        <w:rPr>
          <w:rFonts w:hint="eastAsia" w:ascii="宋体" w:hAnsi="宋体" w:eastAsia="宋体" w:cs="宋体"/>
          <w:color w:val="auto"/>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21"/>
        <w:numPr>
          <w:ilvl w:val="0"/>
          <w:numId w:val="5"/>
        </w:numP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获取招标文件联系人及联系方式：</w:t>
      </w:r>
      <w:r>
        <w:rPr>
          <w:rFonts w:hint="eastAsia" w:ascii="宋体" w:hAnsi="宋体" w:eastAsia="宋体" w:cs="宋体"/>
          <w:color w:val="auto"/>
          <w:sz w:val="21"/>
          <w:szCs w:val="21"/>
          <w:lang w:val="en-US" w:eastAsia="zh-CN"/>
        </w:rPr>
        <w:t>黄</w:t>
      </w:r>
      <w:r>
        <w:rPr>
          <w:rFonts w:hint="eastAsia" w:ascii="宋体" w:hAnsi="宋体" w:eastAsia="宋体" w:cs="宋体"/>
          <w:color w:val="auto"/>
          <w:sz w:val="21"/>
          <w:szCs w:val="21"/>
        </w:rPr>
        <w:t>小姐（0769）22367009 邮箱：zhcity_gd@163.com</w:t>
      </w:r>
    </w:p>
    <w:p w14:paraId="2B464B6F">
      <w:pPr>
        <w:spacing w:before="217" w:beforeLines="50"/>
        <w:rPr>
          <w:rFonts w:hint="eastAsia" w:ascii="宋体" w:hAnsi="宋体" w:eastAsia="宋体" w:cs="宋体"/>
          <w:color w:val="auto"/>
          <w:szCs w:val="21"/>
        </w:rPr>
      </w:pPr>
      <w:r>
        <w:rPr>
          <w:rFonts w:hint="eastAsia" w:ascii="宋体" w:hAnsi="宋体" w:eastAsia="宋体" w:cs="宋体"/>
          <w:b/>
          <w:color w:val="auto"/>
          <w:kern w:val="0"/>
          <w:sz w:val="24"/>
          <w:szCs w:val="24"/>
          <w:lang w:eastAsia="zh-Hans"/>
        </w:rPr>
        <w:t>七、对本次招标提出询问，请按以下方式联系。</w:t>
      </w:r>
    </w:p>
    <w:p w14:paraId="42C8994C">
      <w:pPr>
        <w:pStyle w:val="21"/>
        <w:numPr>
          <w:ilvl w:val="0"/>
          <w:numId w:val="6"/>
        </w:numPr>
        <w:ind w:left="284" w:hanging="284"/>
        <w:rPr>
          <w:rFonts w:hint="eastAsia" w:ascii="宋体" w:hAnsi="宋体" w:eastAsia="宋体" w:cs="宋体"/>
          <w:color w:val="auto"/>
          <w:sz w:val="21"/>
          <w:szCs w:val="21"/>
        </w:rPr>
      </w:pPr>
      <w:bookmarkStart w:id="5" w:name="_Hlk170131668"/>
      <w:r>
        <w:rPr>
          <w:rFonts w:hint="eastAsia" w:ascii="宋体" w:hAnsi="宋体" w:eastAsia="宋体" w:cs="宋体"/>
          <w:color w:val="auto"/>
          <w:sz w:val="21"/>
          <w:szCs w:val="21"/>
        </w:rPr>
        <w:t>采购人信息</w:t>
      </w:r>
    </w:p>
    <w:p w14:paraId="0C79D065">
      <w:pPr>
        <w:pStyle w:val="21"/>
        <w:ind w:firstLine="283" w:firstLineChars="135"/>
        <w:rPr>
          <w:rFonts w:hint="eastAsia" w:ascii="宋体" w:hAnsi="宋体" w:eastAsia="宋体" w:cs="宋体"/>
          <w:color w:val="auto"/>
          <w:sz w:val="21"/>
          <w:szCs w:val="21"/>
        </w:rPr>
      </w:pPr>
      <w:r>
        <w:rPr>
          <w:rFonts w:hint="eastAsia" w:ascii="宋体" w:hAnsi="宋体" w:eastAsia="宋体" w:cs="宋体"/>
          <w:color w:val="auto"/>
          <w:sz w:val="21"/>
          <w:szCs w:val="21"/>
        </w:rPr>
        <w:t>名称：</w:t>
      </w:r>
      <w:r>
        <w:rPr>
          <w:rFonts w:hint="eastAsia" w:ascii="宋体" w:hAnsi="宋体" w:eastAsia="宋体" w:cs="宋体"/>
          <w:color w:val="auto"/>
          <w:sz w:val="21"/>
          <w:szCs w:val="21"/>
          <w:lang w:eastAsia="zh-CN"/>
        </w:rPr>
        <w:t>东莞市汽车技术学校</w:t>
      </w:r>
    </w:p>
    <w:p w14:paraId="7DFB7F89">
      <w:pPr>
        <w:pStyle w:val="21"/>
        <w:ind w:firstLine="283" w:firstLineChars="135"/>
        <w:rPr>
          <w:rFonts w:hint="eastAsia" w:ascii="宋体" w:hAnsi="宋体" w:eastAsia="宋体" w:cs="宋体"/>
          <w:color w:val="auto"/>
          <w:sz w:val="21"/>
          <w:szCs w:val="21"/>
        </w:rPr>
      </w:pPr>
      <w:r>
        <w:rPr>
          <w:rFonts w:hint="eastAsia" w:ascii="宋体" w:hAnsi="宋体" w:eastAsia="宋体" w:cs="宋体"/>
          <w:color w:val="auto"/>
          <w:sz w:val="21"/>
          <w:szCs w:val="21"/>
        </w:rPr>
        <w:t>地址：东莞市寮步镇寮城中路霞边段7号101号</w:t>
      </w:r>
    </w:p>
    <w:p w14:paraId="3F01DE89">
      <w:pPr>
        <w:pStyle w:val="21"/>
        <w:ind w:firstLine="283" w:firstLineChars="135"/>
        <w:rPr>
          <w:rFonts w:hint="eastAsia" w:ascii="宋体" w:hAnsi="宋体" w:eastAsia="宋体" w:cs="宋体"/>
          <w:color w:val="auto"/>
          <w:sz w:val="21"/>
          <w:szCs w:val="21"/>
        </w:rPr>
      </w:pPr>
      <w:r>
        <w:rPr>
          <w:rFonts w:hint="eastAsia" w:ascii="宋体" w:hAnsi="宋体" w:eastAsia="宋体" w:cs="宋体"/>
          <w:color w:val="auto"/>
          <w:sz w:val="21"/>
          <w:szCs w:val="21"/>
        </w:rPr>
        <w:t>联系方式：罗老师 （0769）83266616</w:t>
      </w:r>
    </w:p>
    <w:p w14:paraId="1FC6BF34">
      <w:pPr>
        <w:pStyle w:val="21"/>
        <w:numPr>
          <w:ilvl w:val="0"/>
          <w:numId w:val="6"/>
        </w:numPr>
        <w:ind w:left="284" w:hanging="284"/>
        <w:rPr>
          <w:rFonts w:hint="eastAsia" w:ascii="宋体" w:hAnsi="宋体" w:eastAsia="宋体" w:cs="宋体"/>
          <w:color w:val="auto"/>
          <w:sz w:val="21"/>
          <w:szCs w:val="21"/>
        </w:rPr>
      </w:pPr>
      <w:r>
        <w:rPr>
          <w:rFonts w:hint="eastAsia" w:ascii="宋体" w:hAnsi="宋体" w:eastAsia="宋体" w:cs="宋体"/>
          <w:color w:val="auto"/>
          <w:sz w:val="21"/>
          <w:szCs w:val="21"/>
        </w:rPr>
        <w:t>采购代理机构信息</w:t>
      </w:r>
    </w:p>
    <w:p w14:paraId="50DD56BE">
      <w:pPr>
        <w:pStyle w:val="21"/>
        <w:ind w:firstLine="283" w:firstLineChars="135"/>
        <w:rPr>
          <w:rFonts w:hint="eastAsia" w:ascii="宋体" w:hAnsi="宋体" w:eastAsia="宋体" w:cs="宋体"/>
          <w:color w:val="auto"/>
          <w:sz w:val="21"/>
          <w:szCs w:val="21"/>
          <w:lang w:eastAsia="zh-CN"/>
        </w:rPr>
      </w:pPr>
      <w:r>
        <w:rPr>
          <w:rFonts w:hint="eastAsia" w:ascii="宋体" w:hAnsi="宋体" w:eastAsia="宋体" w:cs="宋体"/>
          <w:color w:val="auto"/>
          <w:sz w:val="21"/>
          <w:szCs w:val="21"/>
        </w:rPr>
        <w:t>名称：广东智汇城市招标采购有限公司</w:t>
      </w:r>
    </w:p>
    <w:p w14:paraId="14C2828B">
      <w:pPr>
        <w:pStyle w:val="21"/>
        <w:ind w:firstLine="283" w:firstLineChars="135"/>
        <w:rPr>
          <w:rFonts w:hint="eastAsia" w:ascii="宋体" w:hAnsi="宋体" w:eastAsia="宋体" w:cs="宋体"/>
          <w:color w:val="auto"/>
          <w:sz w:val="21"/>
          <w:szCs w:val="21"/>
          <w:lang w:eastAsia="zh-CN"/>
        </w:rPr>
      </w:pPr>
      <w:r>
        <w:rPr>
          <w:rFonts w:hint="eastAsia" w:ascii="宋体" w:hAnsi="宋体" w:eastAsia="宋体" w:cs="宋体"/>
          <w:color w:val="auto"/>
          <w:sz w:val="21"/>
          <w:szCs w:val="21"/>
        </w:rPr>
        <w:t>地址：</w:t>
      </w:r>
      <w:r>
        <w:rPr>
          <w:rFonts w:hint="eastAsia" w:ascii="宋体" w:hAnsi="宋体" w:eastAsia="宋体" w:cs="宋体"/>
          <w:color w:val="auto"/>
          <w:sz w:val="21"/>
          <w:szCs w:val="21"/>
          <w:lang w:eastAsia="zh-CN"/>
        </w:rPr>
        <w:t>东莞市南城街道雅园产业园区路5号1栋1楼</w:t>
      </w:r>
    </w:p>
    <w:p w14:paraId="0D7C2C9D">
      <w:pPr>
        <w:pStyle w:val="21"/>
        <w:ind w:firstLine="283" w:firstLineChars="135"/>
        <w:rPr>
          <w:rFonts w:hint="eastAsia" w:ascii="宋体" w:hAnsi="宋体" w:eastAsia="宋体" w:cs="宋体"/>
          <w:color w:val="auto"/>
          <w:sz w:val="21"/>
          <w:szCs w:val="21"/>
        </w:rPr>
      </w:pPr>
      <w:r>
        <w:rPr>
          <w:rFonts w:hint="eastAsia" w:ascii="宋体" w:hAnsi="宋体" w:eastAsia="宋体" w:cs="宋体"/>
          <w:color w:val="auto"/>
          <w:sz w:val="21"/>
          <w:szCs w:val="21"/>
        </w:rPr>
        <w:t xml:space="preserve">联系方式：（0769）22367009 </w:t>
      </w:r>
    </w:p>
    <w:p w14:paraId="6FC82D38">
      <w:pPr>
        <w:pStyle w:val="21"/>
        <w:numPr>
          <w:ilvl w:val="0"/>
          <w:numId w:val="6"/>
        </w:numPr>
        <w:ind w:left="284" w:hanging="284"/>
        <w:rPr>
          <w:rFonts w:hint="eastAsia" w:ascii="宋体" w:hAnsi="宋体" w:eastAsia="宋体" w:cs="宋体"/>
          <w:color w:val="auto"/>
          <w:sz w:val="21"/>
          <w:szCs w:val="21"/>
        </w:rPr>
      </w:pPr>
      <w:r>
        <w:rPr>
          <w:rFonts w:hint="eastAsia" w:ascii="宋体" w:hAnsi="宋体" w:eastAsia="宋体" w:cs="宋体"/>
          <w:color w:val="auto"/>
          <w:sz w:val="21"/>
          <w:szCs w:val="21"/>
        </w:rPr>
        <w:t>项目联系方式</w:t>
      </w:r>
    </w:p>
    <w:bookmarkEnd w:id="5"/>
    <w:p w14:paraId="0BB23C02">
      <w:pPr>
        <w:pStyle w:val="21"/>
        <w:ind w:firstLine="283" w:firstLineChars="135"/>
        <w:rPr>
          <w:rFonts w:hint="eastAsia" w:ascii="宋体" w:hAnsi="宋体" w:eastAsia="宋体" w:cs="宋体"/>
          <w:color w:val="auto"/>
          <w:sz w:val="21"/>
          <w:szCs w:val="21"/>
        </w:rPr>
      </w:pPr>
      <w:r>
        <w:rPr>
          <w:rFonts w:hint="eastAsia" w:ascii="宋体" w:hAnsi="宋体" w:eastAsia="宋体" w:cs="宋体"/>
          <w:color w:val="auto"/>
          <w:sz w:val="21"/>
          <w:szCs w:val="21"/>
        </w:rPr>
        <w:t>项目联系人：</w:t>
      </w:r>
      <w:r>
        <w:rPr>
          <w:rFonts w:hint="eastAsia" w:ascii="宋体" w:hAnsi="宋体" w:eastAsia="宋体" w:cs="宋体"/>
          <w:color w:val="auto"/>
          <w:sz w:val="21"/>
          <w:szCs w:val="21"/>
          <w:highlight w:val="none"/>
          <w:lang w:val="en-US" w:eastAsia="zh-CN"/>
        </w:rPr>
        <w:t>何舜禹</w:t>
      </w:r>
    </w:p>
    <w:p w14:paraId="14D865F7">
      <w:pPr>
        <w:pStyle w:val="21"/>
        <w:ind w:firstLine="283" w:firstLineChars="135"/>
        <w:rPr>
          <w:rFonts w:hint="eastAsia" w:ascii="宋体" w:hAnsi="宋体" w:eastAsia="宋体" w:cs="宋体"/>
          <w:color w:val="auto"/>
          <w:sz w:val="21"/>
          <w:szCs w:val="21"/>
        </w:rPr>
      </w:pPr>
      <w:r>
        <w:rPr>
          <w:rFonts w:hint="eastAsia" w:ascii="宋体" w:hAnsi="宋体" w:eastAsia="宋体" w:cs="宋体"/>
          <w:color w:val="auto"/>
          <w:sz w:val="21"/>
          <w:szCs w:val="21"/>
        </w:rPr>
        <w:t xml:space="preserve">电话：（0769）22367009 </w:t>
      </w:r>
    </w:p>
    <w:p w14:paraId="68B48AD4">
      <w:pPr>
        <w:pStyle w:val="21"/>
        <w:jc w:val="center"/>
        <w:rPr>
          <w:rFonts w:hint="eastAsia" w:ascii="宋体" w:hAnsi="宋体" w:eastAsia="宋体" w:cs="宋体"/>
          <w:b/>
          <w:bCs/>
          <w:color w:val="auto"/>
          <w:sz w:val="21"/>
          <w:szCs w:val="21"/>
        </w:rPr>
      </w:pPr>
      <w:r>
        <w:rPr>
          <w:rFonts w:hint="eastAsia" w:ascii="宋体" w:hAnsi="宋体" w:eastAsia="宋体" w:cs="宋体"/>
          <w:color w:val="auto"/>
          <w:sz w:val="21"/>
          <w:szCs w:val="21"/>
          <w:lang w:eastAsia="zh-CN"/>
        </w:rPr>
        <w:t xml:space="preserve">                                         </w:t>
      </w:r>
      <w:r>
        <w:rPr>
          <w:rFonts w:hint="eastAsia" w:ascii="宋体" w:hAnsi="宋体" w:eastAsia="宋体" w:cs="宋体"/>
          <w:b/>
          <w:bCs/>
          <w:color w:val="auto"/>
          <w:sz w:val="21"/>
          <w:szCs w:val="21"/>
          <w:lang w:eastAsia="zh-CN"/>
        </w:rPr>
        <w:t xml:space="preserve">  </w:t>
      </w:r>
      <w:r>
        <w:rPr>
          <w:rFonts w:hint="eastAsia" w:ascii="宋体" w:hAnsi="宋体" w:eastAsia="宋体" w:cs="宋体"/>
          <w:b/>
          <w:bCs/>
          <w:color w:val="auto"/>
          <w:sz w:val="21"/>
          <w:szCs w:val="21"/>
        </w:rPr>
        <w:t>发布人：广东智汇城市招标采购有限公司</w:t>
      </w:r>
    </w:p>
    <w:p w14:paraId="54322AE1">
      <w:pPr>
        <w:pStyle w:val="21"/>
        <w:jc w:val="center"/>
        <w:rPr>
          <w:rFonts w:hint="eastAsia" w:ascii="宋体" w:hAnsi="宋体" w:eastAsia="宋体" w:cs="宋体"/>
          <w:color w:val="auto"/>
          <w:sz w:val="21"/>
          <w:szCs w:val="21"/>
          <w:lang w:eastAsia="zh-CN"/>
        </w:rPr>
      </w:pPr>
      <w:r>
        <w:rPr>
          <w:rFonts w:hint="eastAsia" w:ascii="宋体" w:hAnsi="宋体" w:eastAsia="宋体" w:cs="宋体"/>
          <w:b/>
          <w:bCs/>
          <w:color w:val="auto"/>
          <w:sz w:val="21"/>
          <w:szCs w:val="21"/>
          <w:lang w:eastAsia="zh-CN"/>
        </w:rPr>
        <w:t xml:space="preserve">                                 </w:t>
      </w:r>
      <w:r>
        <w:rPr>
          <w:rFonts w:hint="eastAsia" w:ascii="宋体" w:hAnsi="宋体" w:eastAsia="宋体" w:cs="宋体"/>
          <w:b/>
          <w:bCs/>
          <w:color w:val="auto"/>
          <w:sz w:val="21"/>
          <w:szCs w:val="21"/>
        </w:rPr>
        <w:t>发布时间：</w:t>
      </w:r>
      <w:r>
        <w:rPr>
          <w:rFonts w:hint="eastAsia" w:ascii="宋体" w:hAnsi="宋体" w:eastAsia="宋体" w:cs="宋体"/>
          <w:b/>
          <w:bCs/>
          <w:color w:val="auto"/>
          <w:sz w:val="21"/>
          <w:szCs w:val="21"/>
          <w:lang w:val="en-US" w:eastAsia="zh-CN"/>
        </w:rPr>
        <w:t>2025</w:t>
      </w:r>
      <w:r>
        <w:rPr>
          <w:rFonts w:hint="eastAsia" w:ascii="宋体" w:hAnsi="宋体" w:eastAsia="宋体" w:cs="宋体"/>
          <w:b/>
          <w:bCs/>
          <w:color w:val="auto"/>
          <w:sz w:val="21"/>
          <w:szCs w:val="21"/>
        </w:rPr>
        <w:t>年</w:t>
      </w:r>
      <w:r>
        <w:rPr>
          <w:rFonts w:hint="eastAsia" w:ascii="宋体" w:hAnsi="宋体" w:eastAsia="宋体" w:cs="宋体"/>
          <w:b/>
          <w:bCs/>
          <w:color w:val="auto"/>
          <w:sz w:val="21"/>
          <w:szCs w:val="21"/>
          <w:lang w:val="en-US" w:eastAsia="zh-CN"/>
        </w:rPr>
        <w:t>04</w:t>
      </w:r>
      <w:r>
        <w:rPr>
          <w:rFonts w:hint="eastAsia" w:ascii="宋体" w:hAnsi="宋体" w:eastAsia="宋体" w:cs="宋体"/>
          <w:b/>
          <w:bCs/>
          <w:color w:val="auto"/>
          <w:sz w:val="21"/>
          <w:szCs w:val="21"/>
        </w:rPr>
        <w:t>月</w:t>
      </w:r>
      <w:r>
        <w:rPr>
          <w:rFonts w:hint="eastAsia" w:ascii="宋体" w:hAnsi="宋体" w:eastAsia="宋体" w:cs="宋体"/>
          <w:b/>
          <w:bCs/>
          <w:color w:val="auto"/>
          <w:sz w:val="21"/>
          <w:szCs w:val="21"/>
          <w:lang w:val="en-US" w:eastAsia="zh-CN"/>
        </w:rPr>
        <w:t>29</w:t>
      </w:r>
      <w:bookmarkStart w:id="58" w:name="_GoBack"/>
      <w:bookmarkEnd w:id="58"/>
      <w:r>
        <w:rPr>
          <w:rFonts w:hint="eastAsia" w:ascii="宋体" w:hAnsi="宋体" w:eastAsia="宋体" w:cs="宋体"/>
          <w:b/>
          <w:bCs/>
          <w:color w:val="auto"/>
          <w:sz w:val="21"/>
          <w:szCs w:val="21"/>
        </w:rPr>
        <w:t>日</w:t>
      </w:r>
    </w:p>
    <w:p w14:paraId="12526B28">
      <w:pPr>
        <w:pageBreakBefore/>
        <w:jc w:val="center"/>
        <w:outlineLvl w:val="1"/>
        <w:rPr>
          <w:rFonts w:hint="eastAsia" w:ascii="宋体" w:hAnsi="宋体" w:eastAsia="宋体" w:cs="宋体"/>
          <w:color w:val="auto"/>
          <w:kern w:val="0"/>
          <w:sz w:val="20"/>
          <w:szCs w:val="20"/>
        </w:rPr>
      </w:pPr>
      <w:bookmarkStart w:id="6" w:name="_Toc169799779"/>
      <w:bookmarkStart w:id="7" w:name="_Toc169807541"/>
      <w:r>
        <w:rPr>
          <w:rFonts w:hint="eastAsia" w:ascii="宋体" w:hAnsi="宋体" w:eastAsia="宋体" w:cs="宋体"/>
          <w:b/>
          <w:color w:val="auto"/>
          <w:kern w:val="0"/>
          <w:sz w:val="36"/>
          <w:szCs w:val="20"/>
          <w:lang w:eastAsia="zh-Hans"/>
        </w:rPr>
        <w:t>第二章 采购需求</w:t>
      </w:r>
      <w:bookmarkEnd w:id="6"/>
      <w:bookmarkEnd w:id="7"/>
    </w:p>
    <w:p w14:paraId="7BB2AB82">
      <w:pPr>
        <w:snapToGrid w:val="0"/>
        <w:spacing w:line="360" w:lineRule="auto"/>
        <w:contextualSpacing/>
        <w:rPr>
          <w:rFonts w:hint="eastAsia" w:ascii="宋体" w:hAnsi="宋体" w:eastAsia="宋体" w:cs="宋体"/>
          <w:b/>
          <w:color w:val="auto"/>
          <w:szCs w:val="21"/>
        </w:rPr>
      </w:pPr>
      <w:bookmarkStart w:id="8" w:name="_Hlk90919605"/>
      <w:r>
        <w:rPr>
          <w:rFonts w:hint="eastAsia" w:ascii="宋体" w:hAnsi="宋体" w:eastAsia="宋体" w:cs="宋体"/>
          <w:b/>
          <w:color w:val="auto"/>
          <w:szCs w:val="21"/>
        </w:rPr>
        <w:t>说明：</w:t>
      </w:r>
    </w:p>
    <w:p w14:paraId="5F5F7A64">
      <w:pPr>
        <w:pStyle w:val="27"/>
        <w:numPr>
          <w:ilvl w:val="0"/>
          <w:numId w:val="7"/>
        </w:numPr>
        <w:tabs>
          <w:tab w:val="left" w:pos="284"/>
        </w:tabs>
        <w:snapToGrid w:val="0"/>
        <w:spacing w:line="360" w:lineRule="auto"/>
        <w:ind w:left="284" w:hanging="284" w:firstLineChars="0"/>
        <w:contextualSpacing/>
        <w:rPr>
          <w:rFonts w:hint="eastAsia" w:ascii="宋体" w:hAnsi="宋体" w:eastAsia="宋体" w:cs="宋体"/>
          <w:color w:val="auto"/>
          <w:szCs w:val="21"/>
        </w:rPr>
      </w:pPr>
      <w:r>
        <w:rPr>
          <w:rFonts w:hint="eastAsia" w:ascii="宋体" w:hAnsi="宋体" w:eastAsia="宋体" w:cs="宋体"/>
          <w:color w:val="auto"/>
          <w:szCs w:val="21"/>
        </w:rPr>
        <w:t>采购需求中标有“★”的地方均被视为重要的采购需求，投标人要特别加以注意，必须对此响应并完全满足这些要求，否则若有一项带“★”的要求未响应或不满足，将按无效投标处理。</w:t>
      </w:r>
    </w:p>
    <w:p w14:paraId="5B114659">
      <w:pPr>
        <w:pStyle w:val="27"/>
        <w:numPr>
          <w:ilvl w:val="0"/>
          <w:numId w:val="7"/>
        </w:numPr>
        <w:tabs>
          <w:tab w:val="left" w:pos="284"/>
        </w:tabs>
        <w:snapToGrid w:val="0"/>
        <w:spacing w:line="360" w:lineRule="auto"/>
        <w:ind w:left="284" w:hanging="284" w:firstLineChars="0"/>
        <w:contextualSpacing/>
        <w:rPr>
          <w:rFonts w:hint="eastAsia" w:ascii="宋体" w:hAnsi="宋体" w:eastAsia="宋体" w:cs="宋体"/>
          <w:color w:val="auto"/>
          <w:szCs w:val="21"/>
        </w:rPr>
      </w:pPr>
      <w:r>
        <w:rPr>
          <w:rFonts w:hint="eastAsia" w:ascii="宋体" w:hAnsi="宋体" w:eastAsia="宋体" w:cs="宋体"/>
          <w:color w:val="auto"/>
          <w:szCs w:val="21"/>
        </w:rPr>
        <w:t>标有“▲”符号的内容为采购需求重点技术参数，若未能响应，则在评标过程中根据评审内容作扣分处理。</w:t>
      </w:r>
    </w:p>
    <w:p w14:paraId="40C49EFF">
      <w:pPr>
        <w:pStyle w:val="27"/>
        <w:numPr>
          <w:ilvl w:val="0"/>
          <w:numId w:val="7"/>
        </w:numPr>
        <w:tabs>
          <w:tab w:val="left" w:pos="284"/>
        </w:tabs>
        <w:snapToGrid w:val="0"/>
        <w:spacing w:line="360" w:lineRule="auto"/>
        <w:ind w:left="284" w:hanging="284" w:firstLineChars="0"/>
        <w:contextualSpacing/>
        <w:rPr>
          <w:rFonts w:hint="eastAsia" w:ascii="宋体" w:hAnsi="宋体" w:eastAsia="宋体" w:cs="宋体"/>
          <w:color w:val="auto"/>
          <w:szCs w:val="21"/>
        </w:rPr>
      </w:pPr>
      <w:r>
        <w:rPr>
          <w:rFonts w:hint="eastAsia" w:ascii="宋体" w:hAnsi="宋体" w:eastAsia="宋体" w:cs="宋体"/>
          <w:color w:val="auto"/>
          <w:szCs w:val="21"/>
        </w:rPr>
        <w:t>投标报价中不得包含招标文件要求以外的内容，否则，在评标时不予核减。若投标报价有缺漏项的，缺漏项部分的价格视为已包含在投标报价中，中标后不作任何调整。</w:t>
      </w:r>
    </w:p>
    <w:p w14:paraId="5B2B2072">
      <w:pPr>
        <w:snapToGrid w:val="0"/>
        <w:spacing w:line="360" w:lineRule="auto"/>
        <w:contextualSpacing/>
        <w:rPr>
          <w:rFonts w:hint="eastAsia" w:ascii="宋体" w:hAnsi="宋体" w:eastAsia="宋体" w:cs="宋体"/>
          <w:color w:val="auto"/>
        </w:rPr>
      </w:pPr>
    </w:p>
    <w:p w14:paraId="74D5C637">
      <w:pPr>
        <w:pStyle w:val="27"/>
        <w:numPr>
          <w:ilvl w:val="0"/>
          <w:numId w:val="8"/>
        </w:numPr>
        <w:snapToGrid w:val="0"/>
        <w:spacing w:line="360" w:lineRule="auto"/>
        <w:ind w:left="442" w:hanging="442" w:firstLineChars="0"/>
        <w:contextualSpacing/>
        <w:rPr>
          <w:rFonts w:hint="eastAsia" w:ascii="宋体" w:hAnsi="宋体" w:eastAsia="宋体" w:cs="宋体"/>
          <w:b/>
          <w:color w:val="auto"/>
          <w:szCs w:val="21"/>
        </w:rPr>
      </w:pPr>
      <w:r>
        <w:rPr>
          <w:rFonts w:hint="eastAsia" w:ascii="宋体" w:hAnsi="宋体" w:eastAsia="宋体" w:cs="宋体"/>
          <w:b/>
          <w:bCs/>
          <w:color w:val="auto"/>
        </w:rPr>
        <w:t>采购标的</w:t>
      </w:r>
    </w:p>
    <w:p w14:paraId="482224B1">
      <w:pPr>
        <w:pStyle w:val="27"/>
        <w:numPr>
          <w:ilvl w:val="0"/>
          <w:numId w:val="9"/>
        </w:numPr>
        <w:snapToGrid w:val="0"/>
        <w:spacing w:line="360" w:lineRule="auto"/>
        <w:ind w:firstLineChars="0"/>
        <w:contextualSpacing/>
        <w:rPr>
          <w:rFonts w:hint="eastAsia" w:ascii="宋体" w:hAnsi="宋体" w:eastAsia="宋体" w:cs="宋体"/>
          <w:bCs/>
          <w:color w:val="auto"/>
          <w:szCs w:val="21"/>
        </w:rPr>
      </w:pPr>
      <w:r>
        <w:rPr>
          <w:rFonts w:hint="eastAsia" w:ascii="宋体" w:hAnsi="宋体" w:eastAsia="宋体" w:cs="宋体"/>
          <w:bCs/>
          <w:color w:val="auto"/>
          <w:szCs w:val="21"/>
        </w:rPr>
        <w:t>采购标的</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2008"/>
        <w:gridCol w:w="1671"/>
        <w:gridCol w:w="2388"/>
        <w:gridCol w:w="2389"/>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tcPr>
          <w:p w14:paraId="60E665C0">
            <w:pPr>
              <w:spacing w:line="360" w:lineRule="auto"/>
              <w:jc w:val="center"/>
              <w:rPr>
                <w:rFonts w:hint="eastAsia" w:ascii="宋体" w:hAnsi="宋体" w:eastAsia="宋体" w:cs="宋体"/>
                <w:bCs/>
                <w:color w:val="auto"/>
                <w:szCs w:val="21"/>
              </w:rPr>
            </w:pPr>
            <w:r>
              <w:rPr>
                <w:rFonts w:hint="eastAsia" w:ascii="宋体" w:hAnsi="宋体" w:eastAsia="宋体" w:cs="宋体"/>
                <w:bCs/>
                <w:color w:val="auto"/>
                <w:szCs w:val="21"/>
              </w:rPr>
              <w:t>序号</w:t>
            </w:r>
          </w:p>
        </w:tc>
        <w:tc>
          <w:tcPr>
            <w:tcW w:w="1081" w:type="pct"/>
          </w:tcPr>
          <w:p w14:paraId="01DA7396">
            <w:pPr>
              <w:spacing w:line="360" w:lineRule="auto"/>
              <w:jc w:val="center"/>
              <w:rPr>
                <w:rFonts w:hint="eastAsia" w:ascii="宋体" w:hAnsi="宋体" w:eastAsia="宋体" w:cs="宋体"/>
                <w:bCs/>
                <w:color w:val="auto"/>
                <w:szCs w:val="21"/>
              </w:rPr>
            </w:pPr>
            <w:r>
              <w:rPr>
                <w:rFonts w:hint="eastAsia" w:ascii="宋体" w:hAnsi="宋体" w:eastAsia="宋体" w:cs="宋体"/>
                <w:bCs/>
                <w:color w:val="auto"/>
                <w:szCs w:val="21"/>
              </w:rPr>
              <w:t>标的名称</w:t>
            </w:r>
          </w:p>
        </w:tc>
        <w:tc>
          <w:tcPr>
            <w:tcW w:w="900" w:type="pct"/>
          </w:tcPr>
          <w:p w14:paraId="3490E622">
            <w:pPr>
              <w:spacing w:line="360" w:lineRule="auto"/>
              <w:jc w:val="center"/>
              <w:rPr>
                <w:rFonts w:hint="eastAsia" w:ascii="宋体" w:hAnsi="宋体" w:eastAsia="宋体" w:cs="宋体"/>
                <w:bCs/>
                <w:color w:val="auto"/>
                <w:szCs w:val="21"/>
              </w:rPr>
            </w:pPr>
            <w:r>
              <w:rPr>
                <w:rFonts w:hint="eastAsia" w:ascii="宋体" w:hAnsi="宋体" w:eastAsia="宋体" w:cs="宋体"/>
                <w:bCs/>
                <w:color w:val="auto"/>
                <w:szCs w:val="21"/>
              </w:rPr>
              <w:t>单位</w:t>
            </w:r>
          </w:p>
        </w:tc>
        <w:tc>
          <w:tcPr>
            <w:tcW w:w="1286" w:type="pct"/>
          </w:tcPr>
          <w:p w14:paraId="35D97960">
            <w:pPr>
              <w:spacing w:line="360" w:lineRule="auto"/>
              <w:jc w:val="center"/>
              <w:rPr>
                <w:rFonts w:hint="eastAsia" w:ascii="宋体" w:hAnsi="宋体" w:eastAsia="宋体" w:cs="宋体"/>
                <w:bCs/>
                <w:color w:val="auto"/>
                <w:szCs w:val="21"/>
              </w:rPr>
            </w:pPr>
            <w:r>
              <w:rPr>
                <w:rFonts w:hint="eastAsia" w:ascii="宋体" w:hAnsi="宋体" w:eastAsia="宋体" w:cs="宋体"/>
                <w:bCs/>
                <w:color w:val="auto"/>
                <w:szCs w:val="21"/>
              </w:rPr>
              <w:t>数量</w:t>
            </w:r>
          </w:p>
        </w:tc>
        <w:tc>
          <w:tcPr>
            <w:tcW w:w="1286" w:type="pct"/>
          </w:tcPr>
          <w:p w14:paraId="73122C3E">
            <w:pPr>
              <w:spacing w:line="360" w:lineRule="auto"/>
              <w:jc w:val="center"/>
              <w:rPr>
                <w:rFonts w:hint="eastAsia" w:ascii="宋体" w:hAnsi="宋体" w:eastAsia="宋体" w:cs="宋体"/>
                <w:bCs/>
                <w:color w:val="auto"/>
                <w:szCs w:val="21"/>
              </w:rPr>
            </w:pPr>
            <w:r>
              <w:rPr>
                <w:rFonts w:hint="eastAsia" w:ascii="宋体" w:hAnsi="宋体" w:eastAsia="宋体" w:cs="宋体"/>
                <w:bCs/>
                <w:color w:val="auto"/>
                <w:szCs w:val="21"/>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tcPr>
          <w:p w14:paraId="56467E9D">
            <w:pPr>
              <w:spacing w:line="360" w:lineRule="auto"/>
              <w:jc w:val="center"/>
              <w:rPr>
                <w:rFonts w:hint="eastAsia" w:ascii="宋体" w:hAnsi="宋体" w:eastAsia="宋体" w:cs="宋体"/>
                <w:bCs/>
                <w:color w:val="auto"/>
                <w:szCs w:val="21"/>
                <w:lang w:val="en-US" w:eastAsia="zh-CN"/>
              </w:rPr>
            </w:pPr>
            <w:r>
              <w:rPr>
                <w:rFonts w:hint="eastAsia" w:ascii="宋体" w:hAnsi="宋体" w:eastAsia="宋体" w:cs="宋体"/>
                <w:bCs/>
                <w:color w:val="auto"/>
                <w:szCs w:val="21"/>
                <w:lang w:val="en-US" w:eastAsia="zh-CN"/>
              </w:rPr>
              <w:t>1</w:t>
            </w:r>
          </w:p>
        </w:tc>
        <w:tc>
          <w:tcPr>
            <w:tcW w:w="1081" w:type="pct"/>
          </w:tcPr>
          <w:p w14:paraId="69742D3E">
            <w:pPr>
              <w:spacing w:line="360" w:lineRule="auto"/>
              <w:jc w:val="center"/>
              <w:rPr>
                <w:rFonts w:hint="eastAsia" w:ascii="宋体" w:hAnsi="宋体" w:eastAsia="宋体" w:cs="宋体"/>
                <w:bCs/>
                <w:color w:val="auto"/>
                <w:szCs w:val="21"/>
              </w:rPr>
            </w:pPr>
            <w:r>
              <w:rPr>
                <w:rFonts w:hint="eastAsia" w:ascii="宋体" w:hAnsi="宋体" w:eastAsia="宋体" w:cs="宋体"/>
                <w:bCs/>
                <w:color w:val="auto"/>
                <w:szCs w:val="21"/>
                <w:lang w:eastAsia="zh-CN"/>
              </w:rPr>
              <w:t>网络安全运维</w:t>
            </w:r>
          </w:p>
        </w:tc>
        <w:tc>
          <w:tcPr>
            <w:tcW w:w="900" w:type="pct"/>
          </w:tcPr>
          <w:p w14:paraId="28F8860E">
            <w:pPr>
              <w:spacing w:line="360" w:lineRule="auto"/>
              <w:jc w:val="center"/>
              <w:rPr>
                <w:rFonts w:hint="eastAsia" w:ascii="宋体" w:hAnsi="宋体" w:eastAsia="宋体" w:cs="宋体"/>
                <w:bCs/>
                <w:color w:val="auto"/>
                <w:szCs w:val="21"/>
                <w:lang w:val="en-US" w:eastAsia="zh-CN"/>
              </w:rPr>
            </w:pPr>
            <w:r>
              <w:rPr>
                <w:rFonts w:hint="eastAsia" w:ascii="宋体" w:hAnsi="宋体" w:eastAsia="宋体" w:cs="宋体"/>
                <w:bCs/>
                <w:color w:val="auto"/>
                <w:szCs w:val="21"/>
                <w:lang w:val="en-US" w:eastAsia="zh-CN"/>
              </w:rPr>
              <w:t>项</w:t>
            </w:r>
          </w:p>
        </w:tc>
        <w:tc>
          <w:tcPr>
            <w:tcW w:w="1286" w:type="pct"/>
          </w:tcPr>
          <w:p w14:paraId="613B9B74">
            <w:pPr>
              <w:spacing w:line="360" w:lineRule="auto"/>
              <w:jc w:val="center"/>
              <w:rPr>
                <w:rFonts w:hint="eastAsia" w:ascii="宋体" w:hAnsi="宋体" w:eastAsia="宋体" w:cs="宋体"/>
                <w:bCs/>
                <w:color w:val="auto"/>
                <w:szCs w:val="21"/>
                <w:lang w:val="en-US" w:eastAsia="zh-CN"/>
              </w:rPr>
            </w:pPr>
            <w:r>
              <w:rPr>
                <w:rFonts w:hint="eastAsia" w:ascii="宋体" w:hAnsi="宋体" w:eastAsia="宋体" w:cs="宋体"/>
                <w:bCs/>
                <w:color w:val="auto"/>
                <w:szCs w:val="21"/>
                <w:lang w:val="en-US" w:eastAsia="zh-CN"/>
              </w:rPr>
              <w:t>1</w:t>
            </w:r>
          </w:p>
        </w:tc>
        <w:tc>
          <w:tcPr>
            <w:tcW w:w="1286" w:type="pct"/>
          </w:tcPr>
          <w:p w14:paraId="46C79F36">
            <w:pPr>
              <w:spacing w:line="360" w:lineRule="auto"/>
              <w:jc w:val="center"/>
              <w:rPr>
                <w:rFonts w:hint="eastAsia" w:ascii="宋体" w:hAnsi="宋体" w:eastAsia="宋体" w:cs="宋体"/>
                <w:bCs/>
                <w:color w:val="auto"/>
                <w:szCs w:val="21"/>
              </w:rPr>
            </w:pPr>
            <w:r>
              <w:rPr>
                <w:rFonts w:hint="eastAsia" w:ascii="宋体" w:hAnsi="宋体" w:eastAsia="宋体" w:cs="宋体"/>
                <w:bCs/>
                <w:color w:val="auto"/>
                <w:szCs w:val="21"/>
                <w:lang w:eastAsia="zh-CN"/>
              </w:rPr>
              <w:t>软件和信息技术服务业</w:t>
            </w:r>
          </w:p>
        </w:tc>
      </w:tr>
    </w:tbl>
    <w:p w14:paraId="6804A152">
      <w:pPr>
        <w:pStyle w:val="27"/>
        <w:numPr>
          <w:ilvl w:val="0"/>
          <w:numId w:val="8"/>
        </w:numPr>
        <w:snapToGrid w:val="0"/>
        <w:spacing w:before="217" w:beforeLines="50" w:line="360" w:lineRule="auto"/>
        <w:ind w:left="442" w:hanging="442" w:firstLineChars="0"/>
        <w:contextualSpacing/>
        <w:rPr>
          <w:rFonts w:hint="eastAsia" w:ascii="宋体" w:hAnsi="宋体" w:eastAsia="宋体" w:cs="宋体"/>
          <w:b/>
          <w:color w:val="auto"/>
          <w:szCs w:val="21"/>
        </w:rPr>
      </w:pPr>
      <w:r>
        <w:rPr>
          <w:rFonts w:hint="eastAsia" w:ascii="宋体" w:hAnsi="宋体" w:eastAsia="宋体" w:cs="宋体"/>
          <w:b/>
          <w:bCs/>
          <w:color w:val="auto"/>
        </w:rPr>
        <w:t>商务要求</w:t>
      </w:r>
    </w:p>
    <w:p w14:paraId="14ADC81E">
      <w:pPr>
        <w:pStyle w:val="27"/>
        <w:numPr>
          <w:ilvl w:val="0"/>
          <w:numId w:val="10"/>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服务时间</w:t>
      </w:r>
    </w:p>
    <w:p w14:paraId="5D84B969">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Cs w:val="21"/>
        </w:rPr>
      </w:pPr>
      <w:r>
        <w:rPr>
          <w:rFonts w:hint="eastAsia" w:ascii="宋体" w:hAnsi="宋体" w:eastAsia="宋体" w:cs="Times New Roman"/>
          <w:color w:val="auto"/>
          <w:kern w:val="0"/>
          <w:szCs w:val="21"/>
          <w:lang w:val="en-US" w:eastAsia="zh-CN"/>
        </w:rPr>
        <w:t>本项目</w:t>
      </w:r>
      <w:r>
        <w:rPr>
          <w:rFonts w:hint="eastAsia" w:ascii="宋体" w:hAnsi="宋体" w:eastAsia="宋体" w:cs="Times New Roman"/>
          <w:color w:val="auto"/>
          <w:kern w:val="0"/>
          <w:szCs w:val="21"/>
          <w:lang w:eastAsia="zh-Hans"/>
        </w:rPr>
        <w:t>服务期为一年</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即</w:t>
      </w:r>
      <w:r>
        <w:rPr>
          <w:rFonts w:hint="eastAsia" w:ascii="宋体" w:hAnsi="宋体" w:eastAsia="宋体" w:cs="Times New Roman"/>
          <w:color w:val="auto"/>
          <w:kern w:val="0"/>
          <w:szCs w:val="21"/>
          <w:lang w:eastAsia="zh-Hans"/>
        </w:rPr>
        <w:t>自合同签订并双方约定启动服务之日起12个月</w:t>
      </w:r>
      <w:r>
        <w:rPr>
          <w:rFonts w:hint="eastAsia" w:ascii="宋体" w:hAnsi="宋体" w:eastAsia="宋体" w:cs="Times New Roman"/>
          <w:color w:val="auto"/>
          <w:kern w:val="0"/>
          <w:szCs w:val="21"/>
          <w:lang w:eastAsia="zh-CN"/>
        </w:rPr>
        <w:t>）。</w:t>
      </w:r>
    </w:p>
    <w:p w14:paraId="69E2EE01">
      <w:pPr>
        <w:pStyle w:val="27"/>
        <w:numPr>
          <w:ilvl w:val="0"/>
          <w:numId w:val="10"/>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服务地点</w:t>
      </w:r>
    </w:p>
    <w:p w14:paraId="0EF91897">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Cs w:val="21"/>
          <w:highlight w:val="none"/>
        </w:rPr>
      </w:pPr>
      <w:r>
        <w:rPr>
          <w:rFonts w:hint="eastAsia" w:ascii="宋体" w:hAnsi="宋体" w:eastAsia="宋体" w:cs="宋体"/>
          <w:color w:val="auto"/>
          <w:kern w:val="0"/>
          <w:szCs w:val="21"/>
          <w:lang w:eastAsia="zh-Hans"/>
        </w:rPr>
        <w:t>东莞市汽车技术学校</w:t>
      </w:r>
      <w:r>
        <w:rPr>
          <w:rFonts w:hint="eastAsia" w:ascii="宋体" w:hAnsi="宋体" w:eastAsia="宋体" w:cs="宋体"/>
          <w:color w:val="auto"/>
          <w:kern w:val="0"/>
          <w:szCs w:val="21"/>
          <w:highlight w:val="none"/>
          <w:lang w:val="en-US" w:eastAsia="zh-CN"/>
        </w:rPr>
        <w:t>或采购人指定地点。</w:t>
      </w:r>
    </w:p>
    <w:p w14:paraId="41D184AA">
      <w:pPr>
        <w:pStyle w:val="27"/>
        <w:numPr>
          <w:ilvl w:val="0"/>
          <w:numId w:val="10"/>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付款条件（进度和方式）</w:t>
      </w:r>
    </w:p>
    <w:p w14:paraId="32A174C3">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rPr>
        <w:t>自合同签订后，中标人向采购人提供的等额有效发票，</w:t>
      </w:r>
      <w:r>
        <w:rPr>
          <w:rFonts w:hint="eastAsia" w:ascii="宋体" w:hAnsi="宋体" w:eastAsia="宋体" w:cs="宋体"/>
          <w:color w:val="auto"/>
          <w:highlight w:val="none"/>
          <w:lang w:val="en-US" w:eastAsia="zh-CN"/>
        </w:rPr>
        <w:t>采购人</w:t>
      </w:r>
      <w:r>
        <w:rPr>
          <w:rFonts w:hint="eastAsia" w:ascii="宋体" w:hAnsi="宋体" w:eastAsia="宋体" w:cs="宋体"/>
          <w:color w:val="auto"/>
          <w:highlight w:val="none"/>
        </w:rPr>
        <w:t>经确认无误于10个工作日内向中标人支付合同总额的</w:t>
      </w:r>
      <w:r>
        <w:rPr>
          <w:rFonts w:hint="eastAsia" w:ascii="宋体" w:hAnsi="宋体" w:eastAsia="宋体" w:cs="宋体"/>
          <w:color w:val="auto"/>
          <w:highlight w:val="none"/>
          <w:lang w:val="en-US" w:eastAsia="zh-CN"/>
        </w:rPr>
        <w:t>100</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w:t>
      </w:r>
    </w:p>
    <w:p w14:paraId="556A0250">
      <w:pPr>
        <w:pStyle w:val="27"/>
        <w:numPr>
          <w:ilvl w:val="0"/>
          <w:numId w:val="10"/>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报价要求</w:t>
      </w:r>
    </w:p>
    <w:p w14:paraId="69DBB086">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Cs w:val="21"/>
        </w:rPr>
      </w:pPr>
      <w:r>
        <w:rPr>
          <w:rFonts w:hint="eastAsia" w:ascii="宋体" w:hAnsi="宋体" w:eastAsia="宋体" w:cs="宋体"/>
          <w:iCs/>
          <w:color w:val="auto"/>
          <w:szCs w:val="21"/>
          <w:highlight w:val="none"/>
        </w:rPr>
        <w:t>报价应包含完成本次采购所有服务内容的费用，包含各种税务费及合同实施过程中的应预见和不可预见等完成合同规定责任和义务、达</w:t>
      </w:r>
      <w:r>
        <w:rPr>
          <w:rFonts w:hint="eastAsia" w:ascii="宋体" w:hAnsi="宋体" w:eastAsia="宋体" w:cs="宋体"/>
          <w:iCs/>
          <w:color w:val="auto"/>
          <w:szCs w:val="21"/>
        </w:rPr>
        <w:t>到合同目的的一切费用。如软件升级服务、</w:t>
      </w:r>
      <w:r>
        <w:rPr>
          <w:rFonts w:hint="eastAsia" w:ascii="宋体" w:hAnsi="宋体" w:eastAsia="宋体" w:cs="宋体"/>
          <w:iCs/>
          <w:color w:val="auto"/>
          <w:szCs w:val="21"/>
          <w:lang w:val="en-US" w:eastAsia="zh-CN"/>
        </w:rPr>
        <w:t>检测服务</w:t>
      </w:r>
      <w:r>
        <w:rPr>
          <w:rFonts w:hint="eastAsia" w:ascii="宋体" w:hAnsi="宋体" w:eastAsia="宋体" w:cs="宋体"/>
          <w:iCs/>
          <w:color w:val="auto"/>
          <w:szCs w:val="21"/>
        </w:rPr>
        <w:t>、全额含税发票、人工费用等。</w:t>
      </w:r>
    </w:p>
    <w:p w14:paraId="7F709499">
      <w:pPr>
        <w:pStyle w:val="27"/>
        <w:numPr>
          <w:ilvl w:val="0"/>
          <w:numId w:val="10"/>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lang w:val="en-US" w:eastAsia="zh-CN"/>
        </w:rPr>
        <w:t>验收要求</w:t>
      </w:r>
    </w:p>
    <w:p w14:paraId="67E836D6">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Cs w:val="21"/>
        </w:rPr>
      </w:pPr>
      <w:r>
        <w:rPr>
          <w:rFonts w:hint="eastAsia" w:ascii="宋体" w:hAnsi="宋体" w:eastAsia="宋体" w:cs="宋体"/>
          <w:iCs/>
          <w:color w:val="auto"/>
          <w:szCs w:val="21"/>
          <w:lang w:val="en-US" w:eastAsia="zh-CN"/>
        </w:rPr>
        <w:t>服务期满后，</w:t>
      </w:r>
      <w:r>
        <w:rPr>
          <w:rFonts w:hint="eastAsia" w:ascii="宋体" w:hAnsi="宋体" w:eastAsia="宋体" w:cs="宋体"/>
          <w:iCs/>
          <w:color w:val="auto"/>
          <w:szCs w:val="21"/>
        </w:rPr>
        <w:t>中标人按本项目采购需求要求及合同要求完成所有服务内容并以书面形式向采购人提出验收申请，采购人在收到中标人验收申请后7个工作日内组织履约验收工作，验收应在采购人和中标人双方共同参加下进行，依据招标文件及合同的有关规定制定的方案进行验收。</w:t>
      </w:r>
    </w:p>
    <w:p w14:paraId="62A71971">
      <w:pPr>
        <w:pStyle w:val="27"/>
        <w:numPr>
          <w:ilvl w:val="0"/>
          <w:numId w:val="8"/>
        </w:numPr>
        <w:snapToGrid w:val="0"/>
        <w:spacing w:before="217" w:beforeLines="50" w:line="360" w:lineRule="auto"/>
        <w:ind w:left="442" w:hanging="442" w:firstLineChars="0"/>
        <w:contextualSpacing/>
        <w:rPr>
          <w:rFonts w:hint="eastAsia" w:ascii="宋体" w:hAnsi="宋体" w:eastAsia="宋体" w:cs="宋体"/>
          <w:b/>
          <w:color w:val="auto"/>
          <w:szCs w:val="21"/>
        </w:rPr>
      </w:pPr>
      <w:r>
        <w:rPr>
          <w:rFonts w:hint="eastAsia" w:ascii="宋体" w:hAnsi="宋体" w:eastAsia="宋体" w:cs="宋体"/>
          <w:b/>
          <w:bCs/>
          <w:color w:val="auto"/>
        </w:rPr>
        <w:t>技术要求</w:t>
      </w:r>
    </w:p>
    <w:p w14:paraId="3F87E3F6">
      <w:pPr>
        <w:pStyle w:val="27"/>
        <w:numPr>
          <w:ilvl w:val="0"/>
          <w:numId w:val="11"/>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终端安全防护服务</w:t>
      </w:r>
    </w:p>
    <w:p w14:paraId="5B411B06">
      <w:pPr>
        <w:pStyle w:val="27"/>
        <w:numPr>
          <w:ilvl w:val="0"/>
          <w:numId w:val="12"/>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为学校的办公电脑、一体机和服务器提供终端安全防护服务，包括病毒查杀、病毒防御、网络防御（如黑客入侵拦截、对外攻击检测、恶意网站拦截）、远程维护、漏洞修复、弹窗拦截等功能；</w:t>
      </w:r>
    </w:p>
    <w:p w14:paraId="6BB69A08">
      <w:pPr>
        <w:pStyle w:val="27"/>
        <w:numPr>
          <w:ilvl w:val="0"/>
          <w:numId w:val="12"/>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提供</w:t>
      </w:r>
      <w:r>
        <w:rPr>
          <w:rFonts w:hint="eastAsia" w:ascii="宋体" w:hAnsi="宋体" w:eastAsia="宋体" w:cs="宋体"/>
          <w:color w:val="auto"/>
          <w:szCs w:val="21"/>
          <w:lang w:val="en-US" w:eastAsia="zh-CN"/>
        </w:rPr>
        <w:t>终端安全防护软件的</w:t>
      </w:r>
      <w:r>
        <w:rPr>
          <w:rFonts w:hint="eastAsia" w:ascii="宋体" w:hAnsi="宋体" w:eastAsia="宋体" w:cs="宋体"/>
          <w:color w:val="auto"/>
          <w:szCs w:val="21"/>
        </w:rPr>
        <w:t>管理中心对所有终端进行统一管理（</w:t>
      </w:r>
      <w:r>
        <w:rPr>
          <w:rFonts w:hint="eastAsia" w:ascii="宋体" w:hAnsi="宋体" w:eastAsia="宋体" w:cs="宋体"/>
          <w:color w:val="auto"/>
          <w:szCs w:val="21"/>
          <w:lang w:val="en-US" w:eastAsia="zh-CN"/>
        </w:rPr>
        <w:t>采购人</w:t>
      </w:r>
      <w:r>
        <w:rPr>
          <w:rFonts w:hint="eastAsia" w:ascii="宋体" w:hAnsi="宋体" w:eastAsia="宋体" w:cs="宋体"/>
          <w:color w:val="auto"/>
          <w:szCs w:val="21"/>
        </w:rPr>
        <w:t>提供服务器）；</w:t>
      </w:r>
    </w:p>
    <w:p w14:paraId="10E3CE46">
      <w:pPr>
        <w:pStyle w:val="27"/>
        <w:numPr>
          <w:ilvl w:val="0"/>
          <w:numId w:val="12"/>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服务期内提供软件升级服务；</w:t>
      </w:r>
    </w:p>
    <w:p w14:paraId="608F35D9">
      <w:pPr>
        <w:pStyle w:val="27"/>
        <w:numPr>
          <w:ilvl w:val="0"/>
          <w:numId w:val="12"/>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按需提供远程安全策略配置服务</w:t>
      </w:r>
      <w:r>
        <w:rPr>
          <w:rFonts w:hint="eastAsia" w:ascii="宋体" w:hAnsi="宋体" w:eastAsia="宋体" w:cs="宋体"/>
          <w:color w:val="auto"/>
          <w:szCs w:val="21"/>
          <w:lang w:eastAsia="zh-CN"/>
        </w:rPr>
        <w:t>；</w:t>
      </w:r>
    </w:p>
    <w:p w14:paraId="60414F32">
      <w:pPr>
        <w:pStyle w:val="27"/>
        <w:numPr>
          <w:ilvl w:val="0"/>
          <w:numId w:val="12"/>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lang w:val="en-US" w:eastAsia="zh-CN"/>
        </w:rPr>
        <w:t>服务交付：为580台终端设备提供终端安全防护服务。</w:t>
      </w:r>
    </w:p>
    <w:tbl>
      <w:tblPr>
        <w:tblStyle w:val="15"/>
        <w:tblpPr w:leftFromText="180" w:rightFromText="180" w:vertAnchor="text" w:horzAnchor="page" w:tblpX="1392" w:tblpY="409"/>
        <w:tblOverlap w:val="never"/>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8"/>
        <w:gridCol w:w="7781"/>
      </w:tblGrid>
      <w:tr w14:paraId="2BE02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7" w:type="pct"/>
            <w:shd w:val="clear" w:color="auto" w:fill="auto"/>
            <w:noWrap w:val="0"/>
            <w:vAlign w:val="center"/>
          </w:tcPr>
          <w:p w14:paraId="555E47A3">
            <w:pPr>
              <w:pStyle w:val="27"/>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技术指标</w:t>
            </w:r>
          </w:p>
        </w:tc>
        <w:tc>
          <w:tcPr>
            <w:tcW w:w="4192" w:type="pct"/>
            <w:shd w:val="clear" w:color="auto" w:fill="auto"/>
            <w:noWrap w:val="0"/>
            <w:vAlign w:val="center"/>
          </w:tcPr>
          <w:p w14:paraId="054AC9A2">
            <w:pPr>
              <w:pStyle w:val="27"/>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指标要求</w:t>
            </w:r>
          </w:p>
        </w:tc>
      </w:tr>
      <w:tr w14:paraId="051FF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7" w:type="pct"/>
            <w:noWrap w:val="0"/>
            <w:vAlign w:val="center"/>
          </w:tcPr>
          <w:p w14:paraId="340C74C1">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产品资质</w:t>
            </w:r>
          </w:p>
        </w:tc>
        <w:tc>
          <w:tcPr>
            <w:tcW w:w="4192" w:type="pct"/>
            <w:noWrap w:val="0"/>
            <w:vAlign w:val="center"/>
          </w:tcPr>
          <w:p w14:paraId="3890FE0C">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提供终端安全产品所使用检测引擎入围VirusTotal平台的资质证明。</w:t>
            </w:r>
          </w:p>
        </w:tc>
      </w:tr>
      <w:tr w14:paraId="238AD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restart"/>
            <w:noWrap w:val="0"/>
            <w:vAlign w:val="center"/>
          </w:tcPr>
          <w:p w14:paraId="71AC9EC6">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多维度威胁展示</w:t>
            </w:r>
          </w:p>
        </w:tc>
        <w:tc>
          <w:tcPr>
            <w:tcW w:w="4192" w:type="pct"/>
            <w:noWrap w:val="0"/>
            <w:vAlign w:val="center"/>
          </w:tcPr>
          <w:p w14:paraId="109074DF">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支持全网风险展示，包括但不限于未处理的勒索病毒数量、高级威胁、暴力破解、僵尸网络、WebShell后门、高危漏洞及其各自影响的终端数量</w:t>
            </w:r>
            <w:r>
              <w:rPr>
                <w:rFonts w:hint="eastAsia" w:ascii="宋体" w:hAnsi="宋体" w:eastAsia="宋体" w:cs="宋体"/>
                <w:color w:val="auto"/>
                <w:sz w:val="21"/>
                <w:szCs w:val="21"/>
                <w:lang w:eastAsia="zh-CN"/>
              </w:rPr>
              <w:t>。</w:t>
            </w:r>
          </w:p>
        </w:tc>
      </w:tr>
      <w:tr w14:paraId="24DCD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vMerge w:val="continue"/>
            <w:noWrap w:val="0"/>
            <w:vAlign w:val="center"/>
          </w:tcPr>
          <w:p w14:paraId="17A8BB2F">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6CC5FBBC">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lang w:eastAsia="zh-CN"/>
              </w:rPr>
            </w:pPr>
            <w:r>
              <w:rPr>
                <w:rFonts w:hint="eastAsia" w:ascii="宋体" w:hAnsi="宋体" w:eastAsia="宋体" w:cs="宋体"/>
                <w:b/>
                <w:bCs/>
                <w:color w:val="auto"/>
                <w:sz w:val="21"/>
                <w:szCs w:val="21"/>
              </w:rPr>
              <w:t>▲提供勒索病毒整体防护体系入口，直观展示最近七天勒索病毒防护效果，包括已处置的勒索病毒数量、已阻止的勒索病毒行为次数、已阻止的未知进程操作次数、已阻止的暴力破解攻击次数</w:t>
            </w:r>
            <w:r>
              <w:rPr>
                <w:rFonts w:hint="eastAsia" w:ascii="宋体" w:hAnsi="宋体" w:eastAsia="宋体" w:cs="宋体"/>
                <w:b/>
                <w:bCs/>
                <w:color w:val="auto"/>
                <w:sz w:val="21"/>
                <w:szCs w:val="21"/>
                <w:lang w:eastAsia="zh-CN"/>
              </w:rPr>
              <w:t>。</w:t>
            </w:r>
          </w:p>
        </w:tc>
      </w:tr>
      <w:tr w14:paraId="7E993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7" w:type="pct"/>
            <w:noWrap w:val="0"/>
            <w:vAlign w:val="center"/>
          </w:tcPr>
          <w:p w14:paraId="7FB0CB2F">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云端威胁分析</w:t>
            </w:r>
          </w:p>
        </w:tc>
        <w:tc>
          <w:tcPr>
            <w:tcW w:w="4192" w:type="pct"/>
            <w:noWrap w:val="0"/>
            <w:vAlign w:val="center"/>
          </w:tcPr>
          <w:p w14:paraId="74304F8D">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支持跳转链接至云端威胁情报中心，针对已发生的威胁提供详细的分析结果，包含威胁分析、网络行为、静态分析、分析环境和影响分析。</w:t>
            </w:r>
          </w:p>
        </w:tc>
      </w:tr>
      <w:tr w14:paraId="7C8FD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noWrap w:val="0"/>
            <w:vAlign w:val="center"/>
          </w:tcPr>
          <w:p w14:paraId="4930AC1E">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策略管理</w:t>
            </w:r>
          </w:p>
        </w:tc>
        <w:tc>
          <w:tcPr>
            <w:tcW w:w="4192" w:type="pct"/>
            <w:noWrap w:val="0"/>
            <w:vAlign w:val="center"/>
          </w:tcPr>
          <w:p w14:paraId="3B6467A5">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支持安全策略一体化配置，通过单一策略即可实现不同安全功能的配置，包括：终端病毒查杀的文件扫描配置、文件实时监控的参数配置、WebShell检测和威胁处置方式、暴力破解的威胁处置方式和Windows白名单信任目录</w:t>
            </w:r>
            <w:r>
              <w:rPr>
                <w:rFonts w:hint="eastAsia" w:ascii="宋体" w:hAnsi="宋体" w:eastAsia="宋体" w:cs="宋体"/>
                <w:color w:val="auto"/>
                <w:sz w:val="21"/>
                <w:szCs w:val="21"/>
                <w:lang w:eastAsia="zh-CN"/>
              </w:rPr>
              <w:t>。</w:t>
            </w:r>
          </w:p>
        </w:tc>
      </w:tr>
      <w:tr w14:paraId="0BF7B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restart"/>
            <w:noWrap w:val="0"/>
            <w:vAlign w:val="center"/>
          </w:tcPr>
          <w:p w14:paraId="28D004AF">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资产管理</w:t>
            </w:r>
          </w:p>
        </w:tc>
        <w:tc>
          <w:tcPr>
            <w:tcW w:w="4192" w:type="pct"/>
            <w:noWrap w:val="0"/>
            <w:vAlign w:val="center"/>
          </w:tcPr>
          <w:p w14:paraId="2A4FAF47">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支持全网视角的终端资产统一清点，便于帮助用户快速发现风险面。清点信息包括操作系统、应用软件、监听端口和终端账户，其中操作系统和监听端口支持从资产和终端两个视角进行统计和展示。</w:t>
            </w:r>
          </w:p>
        </w:tc>
      </w:tr>
      <w:tr w14:paraId="4F7B5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continue"/>
            <w:noWrap w:val="0"/>
            <w:vAlign w:val="center"/>
          </w:tcPr>
          <w:p w14:paraId="28C1269E">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5C2145BB">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支持对单个终端运行状态的监控，包括但不限于进程、服务、网络连接、计划任务和开放共享信息</w:t>
            </w:r>
            <w:r>
              <w:rPr>
                <w:rFonts w:hint="eastAsia" w:ascii="宋体" w:hAnsi="宋体" w:eastAsia="宋体" w:cs="宋体"/>
                <w:color w:val="auto"/>
                <w:sz w:val="21"/>
                <w:szCs w:val="21"/>
                <w:lang w:eastAsia="zh-CN"/>
              </w:rPr>
              <w:t>。</w:t>
            </w:r>
          </w:p>
        </w:tc>
      </w:tr>
      <w:tr w14:paraId="6A6B4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vMerge w:val="continue"/>
            <w:noWrap w:val="0"/>
            <w:vAlign w:val="center"/>
          </w:tcPr>
          <w:p w14:paraId="17B0AF09">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top"/>
          </w:tcPr>
          <w:p w14:paraId="379F0470">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支持对系统账号信息进行梳理，了解账号权限分布概况以及风险账号分布情况，可按照隐藏账号、弱密码账号、可疑root权限账号、长期未使用账号、夜间登录、多IP登录进行账号分类查看，支持统计最近一年未修改密码的账户</w:t>
            </w:r>
            <w:r>
              <w:rPr>
                <w:rFonts w:hint="eastAsia" w:ascii="宋体" w:hAnsi="宋体" w:eastAsia="宋体" w:cs="宋体"/>
                <w:color w:val="auto"/>
                <w:sz w:val="21"/>
                <w:szCs w:val="21"/>
                <w:lang w:eastAsia="zh-CN"/>
              </w:rPr>
              <w:t>。</w:t>
            </w:r>
          </w:p>
        </w:tc>
      </w:tr>
      <w:tr w14:paraId="5C491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7" w:type="pct"/>
            <w:vMerge w:val="restart"/>
            <w:noWrap w:val="0"/>
            <w:vAlign w:val="center"/>
          </w:tcPr>
          <w:p w14:paraId="48B90C0F">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威胁检测</w:t>
            </w:r>
          </w:p>
        </w:tc>
        <w:tc>
          <w:tcPr>
            <w:tcW w:w="4192" w:type="pct"/>
            <w:noWrap w:val="0"/>
            <w:vAlign w:val="center"/>
          </w:tcPr>
          <w:p w14:paraId="14B25364">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具备自研的基于人工智能的检测引擎，支持无特征检测技术，有效应对恶意代码及其变种</w:t>
            </w:r>
            <w:r>
              <w:rPr>
                <w:rFonts w:hint="eastAsia" w:ascii="宋体" w:hAnsi="宋体" w:eastAsia="宋体" w:cs="宋体"/>
                <w:color w:val="auto"/>
                <w:sz w:val="21"/>
                <w:szCs w:val="21"/>
                <w:lang w:eastAsia="zh-CN"/>
              </w:rPr>
              <w:t>。</w:t>
            </w:r>
          </w:p>
        </w:tc>
      </w:tr>
      <w:tr w14:paraId="1D2EF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807" w:type="pct"/>
            <w:vMerge w:val="continue"/>
            <w:noWrap w:val="0"/>
            <w:vAlign w:val="center"/>
          </w:tcPr>
          <w:p w14:paraId="4328D2CD">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3A0A32D0">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通过智能识别终端环境情况（低配硬件、老旧设备、虚拟化等）和当前终端资源占用，在闲时实时监控和病毒扫描场景，都可智能调整EDR的资源占用（CPU、IO等），为业务让出资源，不卡业务，对业务零摩擦。</w:t>
            </w:r>
          </w:p>
        </w:tc>
      </w:tr>
      <w:tr w14:paraId="6FFFA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continue"/>
            <w:noWrap w:val="0"/>
            <w:vAlign w:val="center"/>
          </w:tcPr>
          <w:p w14:paraId="6A1E740F">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244C9B8C">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具备基于本地缓存信誉检测与全网信誉检测，构建企业全网信誉库的检测引擎，做到企业内网一台威胁，全网感知并进行针对性查杀，支持处置病毒时选择是否在其它终端上同步处置有效提升查杀效率，减少终端资源开销</w:t>
            </w:r>
            <w:r>
              <w:rPr>
                <w:rFonts w:hint="eastAsia" w:ascii="宋体" w:hAnsi="宋体" w:eastAsia="宋体" w:cs="宋体"/>
                <w:color w:val="auto"/>
                <w:sz w:val="21"/>
                <w:szCs w:val="21"/>
                <w:lang w:eastAsia="zh-CN"/>
              </w:rPr>
              <w:t>。</w:t>
            </w:r>
          </w:p>
        </w:tc>
      </w:tr>
      <w:tr w14:paraId="3FB70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continue"/>
            <w:noWrap w:val="0"/>
            <w:vAlign w:val="center"/>
          </w:tcPr>
          <w:p w14:paraId="0ABEE357">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7AD5D475">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支持一键云鉴定服务，提供云端专家+沙箱+多引擎鉴定能力，结合云端威胁情报对已告警的威胁文件再次进行综合研判并给出100%黑白结果，用户可自助对管理平台告警的威胁快速判断是否误报和了解威胁详情。</w:t>
            </w:r>
          </w:p>
        </w:tc>
      </w:tr>
      <w:tr w14:paraId="3EE7B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restart"/>
            <w:noWrap w:val="0"/>
            <w:vAlign w:val="center"/>
          </w:tcPr>
          <w:p w14:paraId="30045437">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终端自保护</w:t>
            </w:r>
          </w:p>
        </w:tc>
        <w:tc>
          <w:tcPr>
            <w:tcW w:w="4192" w:type="pct"/>
            <w:noWrap w:val="0"/>
            <w:vAlign w:val="center"/>
          </w:tcPr>
          <w:p w14:paraId="01C0B632">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支持agent安装目录的文件保护，可以保护agent目录和文件实时监控驱动文件，可以保护agent的服务/进程/文件不被恶意删除，以免影响正常功能，导致用户的终端受到病毒入侵。</w:t>
            </w:r>
          </w:p>
        </w:tc>
      </w:tr>
      <w:tr w14:paraId="7762D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vMerge w:val="continue"/>
            <w:noWrap w:val="0"/>
            <w:vAlign w:val="center"/>
          </w:tcPr>
          <w:p w14:paraId="11CA102C">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6C25971B">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支持禁止黑客工具启动，包含：冰刃、xuetr、ProcessHacker、PCHunter、火绒剑、Mimikatz的自启动，可以防止黑客攻击。</w:t>
            </w:r>
          </w:p>
        </w:tc>
      </w:tr>
      <w:tr w14:paraId="6B9F9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noWrap w:val="0"/>
            <w:vAlign w:val="center"/>
          </w:tcPr>
          <w:p w14:paraId="6EB7F916">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文件实时监控</w:t>
            </w:r>
          </w:p>
        </w:tc>
        <w:tc>
          <w:tcPr>
            <w:tcW w:w="4192" w:type="pct"/>
            <w:noWrap w:val="0"/>
            <w:vAlign w:val="center"/>
          </w:tcPr>
          <w:p w14:paraId="2AFCCFEF">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可实时监控文件的状态，在文件读、写、执行或者进入主机时主动进行扫描，支持根据用户性能偏好设置高、中、低3种防护级别。</w:t>
            </w:r>
          </w:p>
        </w:tc>
      </w:tr>
      <w:tr w14:paraId="4C1EC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noWrap w:val="0"/>
            <w:vAlign w:val="center"/>
          </w:tcPr>
          <w:p w14:paraId="54C41CC2">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Webshell事件处理</w:t>
            </w:r>
          </w:p>
        </w:tc>
        <w:tc>
          <w:tcPr>
            <w:tcW w:w="4192" w:type="pct"/>
            <w:noWrap w:val="0"/>
            <w:vAlign w:val="center"/>
          </w:tcPr>
          <w:p w14:paraId="0A4A36B2">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rPr>
              <w:t>▲支持展示终端检测到的WebShell事件及事件详情，包括：恶意文件名称，威胁等级，受感染的文件，发现时间，检测引擎，文件类型，文件名，文件Hash值，文件大小，文件创建时间；可配置WebShell实时扫描，一旦发现WebShell文件，可自动隔离或仅上报不隔离。</w:t>
            </w:r>
          </w:p>
        </w:tc>
      </w:tr>
      <w:tr w14:paraId="5790E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vMerge w:val="restart"/>
            <w:noWrap w:val="0"/>
            <w:vAlign w:val="center"/>
          </w:tcPr>
          <w:p w14:paraId="1209BAEB">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Windows服务器加固</w:t>
            </w:r>
          </w:p>
        </w:tc>
        <w:tc>
          <w:tcPr>
            <w:tcW w:w="4192" w:type="pct"/>
            <w:noWrap w:val="0"/>
            <w:vAlign w:val="center"/>
          </w:tcPr>
          <w:p w14:paraId="443986A6">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提供基于可信鉴定方式的进程防护方式，通过人工智能自学习机制，自动建立信任进程名单，阻断非可信进程的运行并提供配置指引，同时支持通过模板和手动的方式添加信任进程。</w:t>
            </w:r>
          </w:p>
        </w:tc>
      </w:tr>
      <w:tr w14:paraId="56FC7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vMerge w:val="continue"/>
            <w:noWrap w:val="0"/>
            <w:vAlign w:val="center"/>
          </w:tcPr>
          <w:p w14:paraId="5615408F">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08CBE2B5">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支持windows服务器RDP远程登录保护，可开启RDP远程登录二次认证，以防止黑客对服务器的入侵</w:t>
            </w:r>
            <w:r>
              <w:rPr>
                <w:rFonts w:hint="eastAsia" w:ascii="宋体" w:hAnsi="宋体" w:eastAsia="宋体" w:cs="宋体"/>
                <w:color w:val="auto"/>
                <w:sz w:val="21"/>
                <w:szCs w:val="21"/>
                <w:lang w:eastAsia="zh-CN"/>
              </w:rPr>
              <w:t>。</w:t>
            </w:r>
          </w:p>
        </w:tc>
      </w:tr>
      <w:tr w14:paraId="1A462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vMerge w:val="restart"/>
            <w:noWrap w:val="0"/>
            <w:vAlign w:val="center"/>
          </w:tcPr>
          <w:p w14:paraId="0EF5B7DD">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勒索病毒专防</w:t>
            </w:r>
          </w:p>
        </w:tc>
        <w:tc>
          <w:tcPr>
            <w:tcW w:w="4192" w:type="pct"/>
            <w:noWrap w:val="0"/>
            <w:vAlign w:val="center"/>
          </w:tcPr>
          <w:p w14:paraId="001E529E">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基于勒索病毒攻击过程，建立多维度立体防护机制，提供事前入侵防御-事中反加密-事后检测响应的完整防护体系，展示勒索病毒处置情况，对勒索病毒及变种实现专门有效防御。</w:t>
            </w:r>
          </w:p>
        </w:tc>
      </w:tr>
      <w:tr w14:paraId="6855D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continue"/>
            <w:noWrap w:val="0"/>
            <w:vAlign w:val="center"/>
          </w:tcPr>
          <w:p w14:paraId="1AC8EA84">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1FE0F3FC">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支持监控诱饵文件，诱饵文件可被实时监控，当勒索病毒对该文件进行修改或加密操作时进行拦截。</w:t>
            </w:r>
          </w:p>
        </w:tc>
      </w:tr>
      <w:tr w14:paraId="5704C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continue"/>
            <w:noWrap w:val="0"/>
            <w:vAlign w:val="center"/>
          </w:tcPr>
          <w:p w14:paraId="1834FC47">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3863BBDB">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支持用户直接对勒索病毒的家族名、病毒名、加密文件后缀名执行链接查询，可通过直接上传加密文件的方式确定勒索病毒类型，如果能解密可以提供必要的解密工具。</w:t>
            </w:r>
          </w:p>
        </w:tc>
      </w:tr>
      <w:tr w14:paraId="15C6A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continue"/>
            <w:noWrap w:val="0"/>
            <w:vAlign w:val="center"/>
          </w:tcPr>
          <w:p w14:paraId="12B21992">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7A223E03">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支持对勒索入侵的主流方式RDP暴破做全方位保护，包括RDP登录校验、RDP文件加白二次校验等功能。</w:t>
            </w:r>
          </w:p>
        </w:tc>
      </w:tr>
      <w:tr w14:paraId="7BEC7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noWrap w:val="0"/>
            <w:vAlign w:val="center"/>
          </w:tcPr>
          <w:p w14:paraId="4C5DA9CB">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暴力破解检测</w:t>
            </w:r>
          </w:p>
        </w:tc>
        <w:tc>
          <w:tcPr>
            <w:tcW w:w="4192" w:type="pct"/>
            <w:noWrap w:val="0"/>
            <w:vAlign w:val="center"/>
          </w:tcPr>
          <w:p w14:paraId="53A71158">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统计单个攻击源及分布式攻击源的暴力破解检测，支持按照RDP、SMB和SSH类型进行封堵并自定义爆破阈值，可对封停时间进行自设置。</w:t>
            </w:r>
          </w:p>
        </w:tc>
      </w:tr>
      <w:tr w14:paraId="156FA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restart"/>
            <w:noWrap w:val="0"/>
            <w:vAlign w:val="center"/>
          </w:tcPr>
          <w:p w14:paraId="551A935D">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威胁处置</w:t>
            </w:r>
          </w:p>
        </w:tc>
        <w:tc>
          <w:tcPr>
            <w:tcW w:w="4192" w:type="pct"/>
            <w:noWrap w:val="0"/>
            <w:vAlign w:val="center"/>
          </w:tcPr>
          <w:p w14:paraId="2CEB0F3E">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构建全网文件信誉库，当一台终端发现某一病毒文件，全网可进行感知并进行针对性查杀，支持处置病毒时选择是否在其它终端上同步处置</w:t>
            </w:r>
            <w:r>
              <w:rPr>
                <w:rFonts w:hint="eastAsia" w:ascii="宋体" w:hAnsi="宋体" w:eastAsia="宋体" w:cs="宋体"/>
                <w:color w:val="auto"/>
                <w:sz w:val="21"/>
                <w:szCs w:val="21"/>
                <w:lang w:eastAsia="zh-CN"/>
              </w:rPr>
              <w:t>。</w:t>
            </w:r>
          </w:p>
        </w:tc>
      </w:tr>
      <w:tr w14:paraId="28F85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7" w:type="pct"/>
            <w:vMerge w:val="continue"/>
            <w:noWrap w:val="0"/>
            <w:vAlign w:val="center"/>
          </w:tcPr>
          <w:p w14:paraId="0341256D">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4C52728D">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rPr>
              <w:t>▲具备强力专杀云端下发通道，支持在管理端批量下发强力专杀工具到内网各终端快速响应终端威胁。</w:t>
            </w:r>
          </w:p>
        </w:tc>
      </w:tr>
      <w:tr w14:paraId="07C7B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restart"/>
            <w:noWrap w:val="0"/>
            <w:vAlign w:val="center"/>
          </w:tcPr>
          <w:p w14:paraId="52485C45">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漏洞防护</w:t>
            </w:r>
          </w:p>
        </w:tc>
        <w:tc>
          <w:tcPr>
            <w:tcW w:w="4192" w:type="pct"/>
            <w:noWrap w:val="0"/>
            <w:vAlign w:val="top"/>
          </w:tcPr>
          <w:p w14:paraId="3353A11C">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支持对Windows终端的漏洞情况进行扫描，并查看漏洞具体情况及KB号，并显示具体修复情况</w:t>
            </w:r>
            <w:r>
              <w:rPr>
                <w:rFonts w:hint="eastAsia" w:ascii="宋体" w:hAnsi="宋体" w:eastAsia="宋体" w:cs="宋体"/>
                <w:color w:val="auto"/>
                <w:sz w:val="21"/>
                <w:szCs w:val="21"/>
                <w:lang w:eastAsia="zh-CN"/>
              </w:rPr>
              <w:t>。</w:t>
            </w:r>
          </w:p>
        </w:tc>
      </w:tr>
      <w:tr w14:paraId="6005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continue"/>
            <w:noWrap w:val="0"/>
            <w:vAlign w:val="center"/>
          </w:tcPr>
          <w:p w14:paraId="78A02EF4">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471297FE">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支持流行Windows高危漏洞的轻补丁免疫防御，支持Windows补丁批量一键修复</w:t>
            </w:r>
            <w:r>
              <w:rPr>
                <w:rFonts w:hint="eastAsia" w:ascii="宋体" w:hAnsi="宋体" w:eastAsia="宋体" w:cs="宋体"/>
                <w:color w:val="auto"/>
                <w:sz w:val="21"/>
                <w:szCs w:val="21"/>
                <w:lang w:eastAsia="zh-CN"/>
              </w:rPr>
              <w:t>。</w:t>
            </w:r>
          </w:p>
        </w:tc>
      </w:tr>
      <w:tr w14:paraId="79F63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continue"/>
            <w:noWrap w:val="0"/>
            <w:vAlign w:val="center"/>
          </w:tcPr>
          <w:p w14:paraId="46199C0D">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24E95B73">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支持对Linux终端扫描系统漏洞、提供漏洞分析详情和修复建议。</w:t>
            </w:r>
          </w:p>
        </w:tc>
      </w:tr>
      <w:tr w14:paraId="35394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restart"/>
            <w:noWrap w:val="0"/>
            <w:vAlign w:val="center"/>
          </w:tcPr>
          <w:p w14:paraId="46FA1579">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轻桌管</w:t>
            </w:r>
          </w:p>
        </w:tc>
        <w:tc>
          <w:tcPr>
            <w:tcW w:w="4192" w:type="pct"/>
            <w:noWrap w:val="0"/>
            <w:vAlign w:val="center"/>
          </w:tcPr>
          <w:p w14:paraId="43DE9708">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支持自定义拦截终端软件弹窗，可在终端设置自动拦截骚扰弹窗开关。</w:t>
            </w:r>
          </w:p>
        </w:tc>
      </w:tr>
      <w:tr w14:paraId="69E0C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continue"/>
            <w:noWrap w:val="0"/>
            <w:vAlign w:val="center"/>
          </w:tcPr>
          <w:p w14:paraId="4A77BAC8">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0EB27254">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支持拦截已安装软件的恶意广告弹窗，保持工作环境清净无打扰</w:t>
            </w:r>
            <w:r>
              <w:rPr>
                <w:rFonts w:hint="eastAsia" w:ascii="宋体" w:hAnsi="宋体" w:eastAsia="宋体" w:cs="宋体"/>
                <w:color w:val="auto"/>
                <w:sz w:val="21"/>
                <w:szCs w:val="21"/>
                <w:lang w:eastAsia="zh-CN"/>
              </w:rPr>
              <w:t>。</w:t>
            </w:r>
          </w:p>
        </w:tc>
      </w:tr>
      <w:tr w14:paraId="2A810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continue"/>
            <w:noWrap w:val="0"/>
            <w:vAlign w:val="center"/>
          </w:tcPr>
          <w:p w14:paraId="32E2F9CB">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447BE13F">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支持分组的USB存储是管控防护启用，不允许指定终端分组下的终端使用USB存储设备</w:t>
            </w:r>
            <w:r>
              <w:rPr>
                <w:rFonts w:hint="eastAsia" w:ascii="宋体" w:hAnsi="宋体" w:eastAsia="宋体" w:cs="宋体"/>
                <w:color w:val="auto"/>
                <w:sz w:val="21"/>
                <w:szCs w:val="21"/>
                <w:lang w:eastAsia="zh-CN"/>
              </w:rPr>
              <w:t>。</w:t>
            </w:r>
          </w:p>
        </w:tc>
      </w:tr>
      <w:tr w14:paraId="06D3D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continue"/>
            <w:noWrap w:val="0"/>
            <w:vAlign w:val="center"/>
          </w:tcPr>
          <w:p w14:paraId="0FD471FE">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p>
        </w:tc>
        <w:tc>
          <w:tcPr>
            <w:tcW w:w="4192" w:type="pct"/>
            <w:noWrap w:val="0"/>
            <w:vAlign w:val="center"/>
          </w:tcPr>
          <w:p w14:paraId="155D86AD">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支持Windows系统的违规外联动能，有效帮助管理员规范终端上网行为</w:t>
            </w:r>
            <w:r>
              <w:rPr>
                <w:rFonts w:hint="eastAsia" w:ascii="宋体" w:hAnsi="宋体" w:eastAsia="宋体" w:cs="宋体"/>
                <w:color w:val="auto"/>
                <w:sz w:val="21"/>
                <w:szCs w:val="21"/>
                <w:lang w:eastAsia="zh-CN"/>
              </w:rPr>
              <w:t>。</w:t>
            </w:r>
          </w:p>
        </w:tc>
      </w:tr>
      <w:tr w14:paraId="0AEA0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vMerge w:val="restart"/>
            <w:noWrap w:val="0"/>
            <w:vAlign w:val="center"/>
          </w:tcPr>
          <w:p w14:paraId="0431FC9E">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windows智御</w:t>
            </w:r>
          </w:p>
        </w:tc>
        <w:tc>
          <w:tcPr>
            <w:tcW w:w="4192" w:type="pct"/>
            <w:noWrap w:val="0"/>
            <w:vAlign w:val="center"/>
          </w:tcPr>
          <w:p w14:paraId="067CEE2F">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rPr>
              <w:t>▲支持对Windows停更的系统提供专项防护，包括0day漏洞防护、文件防护、暴破入侵防护、系统脆弱点识别和风险端口封堵等多项核心功能</w:t>
            </w:r>
            <w:r>
              <w:rPr>
                <w:rFonts w:hint="eastAsia" w:ascii="宋体" w:hAnsi="宋体" w:eastAsia="宋体" w:cs="宋体"/>
                <w:b/>
                <w:bCs/>
                <w:color w:val="auto"/>
                <w:sz w:val="21"/>
                <w:szCs w:val="21"/>
                <w:lang w:eastAsia="zh-CN"/>
              </w:rPr>
              <w:t>。</w:t>
            </w:r>
          </w:p>
        </w:tc>
      </w:tr>
      <w:tr w14:paraId="4150E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continue"/>
            <w:noWrap w:val="0"/>
            <w:vAlign w:val="center"/>
          </w:tcPr>
          <w:p w14:paraId="52EBA467">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p>
        </w:tc>
        <w:tc>
          <w:tcPr>
            <w:tcW w:w="4192" w:type="pct"/>
            <w:noWrap w:val="0"/>
            <w:vAlign w:val="center"/>
          </w:tcPr>
          <w:p w14:paraId="7CE729CD">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支持对已停止更新的Windows系统的全网一键清点，管理员可快速筛选出全网已停止更新的Windows系统的数量和具体的终端</w:t>
            </w:r>
            <w:r>
              <w:rPr>
                <w:rFonts w:hint="eastAsia" w:ascii="宋体" w:hAnsi="宋体" w:eastAsia="宋体" w:cs="宋体"/>
                <w:color w:val="auto"/>
                <w:sz w:val="21"/>
                <w:szCs w:val="21"/>
                <w:lang w:eastAsia="zh-CN"/>
              </w:rPr>
              <w:t>。</w:t>
            </w:r>
          </w:p>
        </w:tc>
      </w:tr>
      <w:tr w14:paraId="13623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continue"/>
            <w:noWrap w:val="0"/>
            <w:vAlign w:val="center"/>
          </w:tcPr>
          <w:p w14:paraId="6CD631D8">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p>
        </w:tc>
        <w:tc>
          <w:tcPr>
            <w:tcW w:w="4192" w:type="pct"/>
            <w:noWrap w:val="0"/>
            <w:vAlign w:val="center"/>
          </w:tcPr>
          <w:p w14:paraId="7F8C8EA7">
            <w:pPr>
              <w:pStyle w:val="27"/>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支持基于应用、端口和账号的清点，可辅助客户进行已停更Windows系统的风险识别。</w:t>
            </w:r>
          </w:p>
        </w:tc>
      </w:tr>
    </w:tbl>
    <w:p w14:paraId="619427D3">
      <w:pPr>
        <w:pStyle w:val="27"/>
        <w:numPr>
          <w:ilvl w:val="0"/>
          <w:numId w:val="12"/>
        </w:numPr>
        <w:snapToGrid w:val="0"/>
        <w:spacing w:line="360" w:lineRule="auto"/>
        <w:ind w:firstLineChars="0"/>
        <w:contextualSpacing/>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服务期间，提供的终端安全防护软件技术参数如下：</w:t>
      </w:r>
    </w:p>
    <w:p w14:paraId="48F2C4CD">
      <w:pPr>
        <w:pStyle w:val="27"/>
        <w:numPr>
          <w:ilvl w:val="0"/>
          <w:numId w:val="0"/>
        </w:numPr>
        <w:snapToGrid w:val="0"/>
        <w:spacing w:line="360" w:lineRule="auto"/>
        <w:ind w:leftChars="0"/>
        <w:contextualSpacing/>
        <w:rPr>
          <w:rFonts w:hint="eastAsia" w:ascii="宋体" w:hAnsi="宋体" w:eastAsia="宋体" w:cs="宋体"/>
          <w:color w:val="auto"/>
          <w:szCs w:val="21"/>
        </w:rPr>
      </w:pPr>
    </w:p>
    <w:p w14:paraId="5740117A">
      <w:pPr>
        <w:pStyle w:val="27"/>
        <w:numPr>
          <w:ilvl w:val="0"/>
          <w:numId w:val="11"/>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考核检查支撑服务</w:t>
      </w:r>
    </w:p>
    <w:p w14:paraId="4FEB56CD">
      <w:pPr>
        <w:pStyle w:val="27"/>
        <w:widowControl/>
        <w:numPr>
          <w:ilvl w:val="0"/>
          <w:numId w:val="13"/>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服务内容：派出</w:t>
      </w:r>
      <w:r>
        <w:rPr>
          <w:rFonts w:hint="eastAsia" w:ascii="宋体" w:hAnsi="宋体" w:eastAsia="宋体" w:cs="宋体"/>
          <w:color w:val="auto"/>
          <w:szCs w:val="21"/>
          <w:lang w:val="en-US" w:eastAsia="zh-CN"/>
        </w:rPr>
        <w:t>服务人员</w:t>
      </w:r>
      <w:r>
        <w:rPr>
          <w:rFonts w:hint="eastAsia" w:ascii="宋体" w:hAnsi="宋体" w:eastAsia="宋体" w:cs="宋体"/>
          <w:color w:val="auto"/>
          <w:szCs w:val="21"/>
        </w:rPr>
        <w:t>，提供检查工具，按照</w:t>
      </w:r>
      <w:r>
        <w:rPr>
          <w:rFonts w:hint="eastAsia" w:ascii="宋体" w:hAnsi="宋体" w:eastAsia="宋体" w:cs="宋体"/>
          <w:color w:val="auto"/>
          <w:szCs w:val="21"/>
          <w:lang w:val="en-US" w:eastAsia="zh-CN"/>
        </w:rPr>
        <w:t>本</w:t>
      </w:r>
      <w:r>
        <w:rPr>
          <w:rFonts w:hint="eastAsia" w:ascii="宋体" w:hAnsi="宋体" w:eastAsia="宋体" w:cs="宋体"/>
          <w:color w:val="auto"/>
          <w:szCs w:val="21"/>
        </w:rPr>
        <w:t>年度市教育局网络安全工作责任制考核办法</w:t>
      </w:r>
      <w:r>
        <w:rPr>
          <w:rFonts w:hint="eastAsia" w:ascii="宋体" w:hAnsi="宋体" w:eastAsia="宋体" w:cs="宋体"/>
          <w:color w:val="auto"/>
          <w:szCs w:val="21"/>
          <w:lang w:val="en-US" w:eastAsia="zh-CN"/>
        </w:rPr>
        <w:t>或技术检查</w:t>
      </w:r>
      <w:r>
        <w:rPr>
          <w:rFonts w:hint="eastAsia" w:ascii="宋体" w:hAnsi="宋体" w:eastAsia="宋体" w:cs="宋体"/>
          <w:color w:val="auto"/>
          <w:szCs w:val="21"/>
        </w:rPr>
        <w:t>的相关要求，提前帮助学校自查，协助学校进行整改；</w:t>
      </w:r>
    </w:p>
    <w:p w14:paraId="3ED47B52">
      <w:pPr>
        <w:pStyle w:val="27"/>
        <w:widowControl/>
        <w:numPr>
          <w:ilvl w:val="0"/>
          <w:numId w:val="13"/>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服务方式：现场检查。</w:t>
      </w:r>
    </w:p>
    <w:p w14:paraId="126DDC61">
      <w:pPr>
        <w:pStyle w:val="27"/>
        <w:widowControl/>
        <w:numPr>
          <w:ilvl w:val="0"/>
          <w:numId w:val="13"/>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服务频次：每年1次。</w:t>
      </w:r>
    </w:p>
    <w:p w14:paraId="1BAC29EA">
      <w:pPr>
        <w:pStyle w:val="27"/>
        <w:widowControl/>
        <w:numPr>
          <w:ilvl w:val="0"/>
          <w:numId w:val="13"/>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lang w:eastAsia="zh-CN"/>
        </w:rPr>
        <w:t>服务交付</w:t>
      </w:r>
      <w:r>
        <w:rPr>
          <w:rFonts w:hint="eastAsia" w:ascii="宋体" w:hAnsi="宋体" w:eastAsia="宋体" w:cs="宋体"/>
          <w:color w:val="auto"/>
          <w:szCs w:val="21"/>
        </w:rPr>
        <w:t>：《网络安全检查报告》。</w:t>
      </w:r>
    </w:p>
    <w:p w14:paraId="3A571871">
      <w:pPr>
        <w:pStyle w:val="27"/>
        <w:numPr>
          <w:ilvl w:val="0"/>
          <w:numId w:val="11"/>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lang w:val="en-US" w:eastAsia="zh-CN"/>
        </w:rPr>
        <w:t>重要时期保障</w:t>
      </w:r>
      <w:r>
        <w:rPr>
          <w:rFonts w:hint="eastAsia" w:ascii="宋体" w:hAnsi="宋体" w:eastAsia="宋体" w:cs="宋体"/>
          <w:iCs/>
          <w:color w:val="auto"/>
          <w:szCs w:val="21"/>
        </w:rPr>
        <w:t>服务</w:t>
      </w:r>
    </w:p>
    <w:p w14:paraId="5CE9F281">
      <w:pPr>
        <w:pStyle w:val="27"/>
        <w:widowControl/>
        <w:numPr>
          <w:ilvl w:val="0"/>
          <w:numId w:val="14"/>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内容：在重要活动、重要会议、重大节假日等重要时期，面临攻击手段多、频率高的安全态势，为防范重大网络安全事件的发生，提供重保团队帮助完善安全防护体系，重保前开展风险检测和整改加固，重保中开展监测预警和应急处置，重保后进行总结复盘和优化提升，确保重要信息系统在重要时期的安全稳定运行。</w:t>
      </w:r>
    </w:p>
    <w:p w14:paraId="6C38FD27">
      <w:pPr>
        <w:pStyle w:val="27"/>
        <w:widowControl/>
        <w:numPr>
          <w:ilvl w:val="0"/>
          <w:numId w:val="14"/>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服务方式：远程或现场</w:t>
      </w:r>
      <w:r>
        <w:rPr>
          <w:rFonts w:hint="eastAsia" w:ascii="宋体" w:hAnsi="宋体" w:eastAsia="宋体" w:cs="宋体"/>
          <w:iCs/>
          <w:color w:val="auto"/>
          <w:szCs w:val="21"/>
          <w:lang w:val="en-US" w:eastAsia="zh-CN"/>
        </w:rPr>
        <w:t>服务</w:t>
      </w:r>
      <w:r>
        <w:rPr>
          <w:rFonts w:hint="eastAsia" w:ascii="宋体" w:hAnsi="宋体" w:eastAsia="宋体" w:cs="宋体"/>
          <w:iCs/>
          <w:color w:val="auto"/>
          <w:szCs w:val="21"/>
        </w:rPr>
        <w:t>。</w:t>
      </w:r>
    </w:p>
    <w:p w14:paraId="1ACABA5E">
      <w:pPr>
        <w:pStyle w:val="27"/>
        <w:widowControl/>
        <w:numPr>
          <w:ilvl w:val="0"/>
          <w:numId w:val="14"/>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服务交付：《</w:t>
      </w:r>
      <w:r>
        <w:rPr>
          <w:rFonts w:hint="eastAsia" w:ascii="宋体" w:hAnsi="宋体" w:eastAsia="宋体" w:cs="宋体"/>
          <w:iCs/>
          <w:color w:val="auto"/>
          <w:szCs w:val="21"/>
          <w:lang w:val="en-US" w:eastAsia="zh-CN"/>
        </w:rPr>
        <w:t>重要时期保障</w:t>
      </w:r>
      <w:r>
        <w:rPr>
          <w:rFonts w:hint="eastAsia" w:ascii="宋体" w:hAnsi="宋体" w:eastAsia="宋体" w:cs="宋体"/>
          <w:iCs/>
          <w:color w:val="auto"/>
          <w:szCs w:val="21"/>
        </w:rPr>
        <w:t>工作</w:t>
      </w:r>
      <w:r>
        <w:rPr>
          <w:rFonts w:hint="eastAsia" w:ascii="宋体" w:hAnsi="宋体" w:eastAsia="宋体" w:cs="宋体"/>
          <w:iCs/>
          <w:color w:val="auto"/>
          <w:szCs w:val="21"/>
          <w:lang w:val="en-US" w:eastAsia="zh-CN"/>
        </w:rPr>
        <w:t>报告</w:t>
      </w:r>
      <w:r>
        <w:rPr>
          <w:rFonts w:hint="eastAsia" w:ascii="宋体" w:hAnsi="宋体" w:eastAsia="宋体" w:cs="宋体"/>
          <w:iCs/>
          <w:color w:val="auto"/>
          <w:szCs w:val="21"/>
        </w:rPr>
        <w:t>》</w:t>
      </w:r>
      <w:r>
        <w:rPr>
          <w:rFonts w:hint="eastAsia" w:ascii="宋体" w:hAnsi="宋体" w:eastAsia="宋体" w:cs="宋体"/>
          <w:iCs/>
          <w:color w:val="auto"/>
          <w:szCs w:val="21"/>
          <w:lang w:eastAsia="zh-CN"/>
        </w:rPr>
        <w:t>。</w:t>
      </w:r>
    </w:p>
    <w:p w14:paraId="37F3026B">
      <w:pPr>
        <w:pStyle w:val="27"/>
        <w:numPr>
          <w:ilvl w:val="0"/>
          <w:numId w:val="11"/>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网络资产</w:t>
      </w:r>
      <w:r>
        <w:rPr>
          <w:rFonts w:hint="eastAsia" w:ascii="宋体" w:hAnsi="宋体" w:eastAsia="宋体" w:cs="宋体"/>
          <w:iCs/>
          <w:color w:val="auto"/>
          <w:szCs w:val="21"/>
          <w:lang w:val="en-US" w:eastAsia="zh-CN"/>
        </w:rPr>
        <w:t>治理</w:t>
      </w:r>
      <w:r>
        <w:rPr>
          <w:rFonts w:hint="eastAsia" w:ascii="宋体" w:hAnsi="宋体" w:eastAsia="宋体" w:cs="宋体"/>
          <w:iCs/>
          <w:color w:val="auto"/>
          <w:szCs w:val="21"/>
        </w:rPr>
        <w:t>服务</w:t>
      </w:r>
    </w:p>
    <w:p w14:paraId="0777BE22">
      <w:pPr>
        <w:pStyle w:val="27"/>
        <w:widowControl/>
        <w:numPr>
          <w:ilvl w:val="0"/>
          <w:numId w:val="15"/>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服务内容：为学校梳理电脑、网络设备、系统网站、摄像头等各类网络资产，填报到市教育局“</w:t>
      </w:r>
      <w:r>
        <w:rPr>
          <w:rFonts w:hint="eastAsia" w:ascii="宋体" w:hAnsi="宋体" w:eastAsia="宋体" w:cs="宋体"/>
          <w:iCs/>
          <w:color w:val="auto"/>
          <w:szCs w:val="21"/>
          <w:lang w:val="en-US" w:eastAsia="zh-CN"/>
        </w:rPr>
        <w:t>网络</w:t>
      </w:r>
      <w:r>
        <w:rPr>
          <w:rFonts w:hint="eastAsia" w:ascii="宋体" w:hAnsi="宋体" w:eastAsia="宋体" w:cs="宋体"/>
          <w:iCs/>
          <w:color w:val="auto"/>
          <w:szCs w:val="21"/>
        </w:rPr>
        <w:t>安全运维管理平台”</w:t>
      </w:r>
    </w:p>
    <w:p w14:paraId="0568CF24">
      <w:pPr>
        <w:pStyle w:val="27"/>
        <w:widowControl/>
        <w:numPr>
          <w:ilvl w:val="0"/>
          <w:numId w:val="15"/>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服务频次：每个季度1次，一年4次；</w:t>
      </w:r>
    </w:p>
    <w:p w14:paraId="0C09A2C4">
      <w:pPr>
        <w:pStyle w:val="27"/>
        <w:widowControl/>
        <w:numPr>
          <w:ilvl w:val="0"/>
          <w:numId w:val="15"/>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w:t>
      </w:r>
      <w:r>
        <w:rPr>
          <w:rFonts w:hint="eastAsia" w:ascii="宋体" w:hAnsi="宋体" w:eastAsia="宋体" w:cs="宋体"/>
          <w:iCs/>
          <w:color w:val="auto"/>
          <w:szCs w:val="21"/>
          <w:lang w:val="en-US" w:eastAsia="zh-CN"/>
        </w:rPr>
        <w:t>交付</w:t>
      </w:r>
      <w:r>
        <w:rPr>
          <w:rFonts w:hint="eastAsia" w:ascii="宋体" w:hAnsi="宋体" w:eastAsia="宋体" w:cs="宋体"/>
          <w:iCs/>
          <w:color w:val="auto"/>
          <w:szCs w:val="21"/>
        </w:rPr>
        <w:t>：《</w:t>
      </w:r>
      <w:r>
        <w:rPr>
          <w:rFonts w:hint="eastAsia" w:ascii="宋体" w:hAnsi="宋体" w:eastAsia="宋体" w:cs="宋体"/>
          <w:iCs/>
          <w:color w:val="auto"/>
          <w:szCs w:val="21"/>
          <w:lang w:val="en-US" w:eastAsia="zh-CN"/>
        </w:rPr>
        <w:t>网络</w:t>
      </w:r>
      <w:r>
        <w:rPr>
          <w:rFonts w:hint="eastAsia" w:ascii="宋体" w:hAnsi="宋体" w:eastAsia="宋体" w:cs="宋体"/>
          <w:iCs/>
          <w:color w:val="auto"/>
          <w:szCs w:val="21"/>
        </w:rPr>
        <w:t>资产台账清单》。</w:t>
      </w:r>
    </w:p>
    <w:p w14:paraId="00B0A303">
      <w:pPr>
        <w:pStyle w:val="27"/>
        <w:numPr>
          <w:ilvl w:val="0"/>
          <w:numId w:val="11"/>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高级安全检测服务</w:t>
      </w:r>
    </w:p>
    <w:p w14:paraId="614EB97C">
      <w:pPr>
        <w:pStyle w:val="27"/>
        <w:widowControl/>
        <w:numPr>
          <w:ilvl w:val="0"/>
          <w:numId w:val="16"/>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及时发现学校存在的弱口令、高危漏洞、基线不合规、高危端口等安全隐患，避免引发安全事件被通报。</w:t>
      </w:r>
    </w:p>
    <w:p w14:paraId="120C234A">
      <w:pPr>
        <w:pStyle w:val="27"/>
        <w:widowControl/>
        <w:numPr>
          <w:ilvl w:val="0"/>
          <w:numId w:val="16"/>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服务内容：通过专业漏洞扫描工具</w:t>
      </w:r>
      <w:r>
        <w:rPr>
          <w:rFonts w:hint="eastAsia" w:ascii="宋体" w:hAnsi="宋体" w:eastAsia="宋体" w:cs="宋体"/>
          <w:iCs/>
          <w:color w:val="auto"/>
          <w:szCs w:val="21"/>
          <w:lang w:eastAsia="zh-CN"/>
        </w:rPr>
        <w:t>、</w:t>
      </w:r>
      <w:r>
        <w:rPr>
          <w:rFonts w:hint="eastAsia" w:ascii="宋体" w:hAnsi="宋体" w:eastAsia="宋体" w:cs="宋体"/>
          <w:iCs/>
          <w:color w:val="auto"/>
          <w:szCs w:val="21"/>
          <w:lang w:val="en-US" w:eastAsia="zh-CN"/>
        </w:rPr>
        <w:t>代码审计工具和专家</w:t>
      </w:r>
      <w:r>
        <w:rPr>
          <w:rFonts w:hint="eastAsia" w:ascii="宋体" w:hAnsi="宋体" w:eastAsia="宋体" w:cs="宋体"/>
          <w:iCs/>
          <w:color w:val="auto"/>
          <w:szCs w:val="21"/>
        </w:rPr>
        <w:t>渗透测试帮助学校及时发现电脑终端、服务器、业务系统（网站）、数据库、摄像头、打印机、网络设备等各类信息资产存在的弱口令、高危漏洞、高危端口等风险隐患，并提出整改方案；</w:t>
      </w:r>
    </w:p>
    <w:p w14:paraId="7D6BF136">
      <w:pPr>
        <w:pStyle w:val="27"/>
        <w:widowControl/>
        <w:numPr>
          <w:ilvl w:val="0"/>
          <w:numId w:val="16"/>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服务频次：每学期1次，1年2次；</w:t>
      </w:r>
    </w:p>
    <w:p w14:paraId="5C6A30CB">
      <w:pPr>
        <w:pStyle w:val="27"/>
        <w:widowControl/>
        <w:numPr>
          <w:ilvl w:val="0"/>
          <w:numId w:val="16"/>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lang w:eastAsia="zh-CN"/>
        </w:rPr>
        <w:t>服务交付</w:t>
      </w:r>
      <w:r>
        <w:rPr>
          <w:rFonts w:hint="eastAsia" w:ascii="宋体" w:hAnsi="宋体" w:eastAsia="宋体" w:cs="宋体"/>
          <w:iCs/>
          <w:color w:val="auto"/>
          <w:szCs w:val="21"/>
        </w:rPr>
        <w:t>：《风险检测报告》。</w:t>
      </w:r>
    </w:p>
    <w:p w14:paraId="51FFCE37">
      <w:pPr>
        <w:pStyle w:val="27"/>
        <w:widowControl/>
        <w:numPr>
          <w:ilvl w:val="0"/>
          <w:numId w:val="16"/>
        </w:numPr>
        <w:snapToGrid w:val="0"/>
        <w:spacing w:line="360" w:lineRule="auto"/>
        <w:ind w:firstLineChars="0"/>
        <w:contextualSpacing/>
        <w:rPr>
          <w:rFonts w:hint="eastAsia" w:ascii="宋体" w:hAnsi="宋体" w:eastAsia="宋体" w:cs="宋体"/>
          <w:iCs/>
          <w:color w:val="auto"/>
          <w:szCs w:val="21"/>
        </w:rPr>
      </w:pPr>
      <w:r>
        <w:rPr>
          <w:rFonts w:hint="eastAsia" w:ascii="宋体" w:hAnsi="宋体" w:eastAsia="宋体" w:cs="宋体"/>
          <w:iCs/>
          <w:color w:val="auto"/>
          <w:szCs w:val="21"/>
          <w:lang w:val="en-US" w:eastAsia="zh-CN"/>
        </w:rPr>
        <w:t>投标人</w:t>
      </w:r>
      <w:r>
        <w:rPr>
          <w:rFonts w:hint="eastAsia" w:ascii="宋体" w:hAnsi="宋体" w:eastAsia="宋体" w:cs="宋体"/>
          <w:iCs/>
          <w:color w:val="auto"/>
          <w:szCs w:val="21"/>
        </w:rPr>
        <w:t>需提供专业</w:t>
      </w:r>
      <w:r>
        <w:rPr>
          <w:rFonts w:hint="eastAsia" w:ascii="宋体" w:hAnsi="宋体" w:eastAsia="宋体" w:cs="宋体"/>
          <w:iCs/>
          <w:color w:val="auto"/>
          <w:szCs w:val="21"/>
          <w:lang w:val="en-US" w:eastAsia="zh-CN"/>
        </w:rPr>
        <w:t>的</w:t>
      </w:r>
      <w:r>
        <w:rPr>
          <w:rFonts w:hint="eastAsia" w:ascii="宋体" w:hAnsi="宋体" w:eastAsia="宋体" w:cs="宋体"/>
          <w:iCs/>
          <w:color w:val="auto"/>
          <w:szCs w:val="21"/>
        </w:rPr>
        <w:t>漏洞扫描工具，技术参数要求如下：</w:t>
      </w:r>
    </w:p>
    <w:tbl>
      <w:tblPr>
        <w:tblStyle w:val="15"/>
        <w:tblW w:w="9078"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50"/>
        <w:gridCol w:w="8528"/>
      </w:tblGrid>
      <w:tr w14:paraId="39D8D6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550" w:type="dxa"/>
            <w:vAlign w:val="center"/>
          </w:tcPr>
          <w:p w14:paraId="358089A6">
            <w:pPr>
              <w:widowControl w:val="0"/>
              <w:spacing w:line="360" w:lineRule="auto"/>
              <w:ind w:left="82"/>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序号</w:t>
            </w:r>
          </w:p>
        </w:tc>
        <w:tc>
          <w:tcPr>
            <w:tcW w:w="8528" w:type="dxa"/>
            <w:vAlign w:val="center"/>
          </w:tcPr>
          <w:p w14:paraId="07D1F121">
            <w:pPr>
              <w:widowControl w:val="0"/>
              <w:spacing w:line="360" w:lineRule="auto"/>
              <w:ind w:left="82"/>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技术指标要求</w:t>
            </w:r>
          </w:p>
        </w:tc>
      </w:tr>
      <w:tr w14:paraId="32C972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50" w:type="dxa"/>
            <w:vAlign w:val="center"/>
          </w:tcPr>
          <w:p w14:paraId="7CADDC59">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1</w:t>
            </w:r>
          </w:p>
        </w:tc>
        <w:tc>
          <w:tcPr>
            <w:tcW w:w="8528" w:type="dxa"/>
            <w:vAlign w:val="center"/>
          </w:tcPr>
          <w:p w14:paraId="06D6EACD">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漏洞扫描系统支持实现对主流操作系统（如windows、liunx等）、主流数据库（如oracle、mysql、sql server等）、中间件、网络及安全设备的配置安全合规检测。</w:t>
            </w:r>
          </w:p>
        </w:tc>
      </w:tr>
      <w:tr w14:paraId="47A422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50" w:type="dxa"/>
            <w:vAlign w:val="center"/>
          </w:tcPr>
          <w:p w14:paraId="743EC68C">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w:t>
            </w:r>
          </w:p>
        </w:tc>
        <w:tc>
          <w:tcPr>
            <w:tcW w:w="8528" w:type="dxa"/>
            <w:vAlign w:val="center"/>
          </w:tcPr>
          <w:p w14:paraId="45137F9D">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漏洞扫描系统支持可检测的漏洞类型兼容CVE、CNCVE、CNNVD、CNVD、Bugtraq等主流标准。</w:t>
            </w:r>
          </w:p>
        </w:tc>
      </w:tr>
      <w:tr w14:paraId="4BB443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50" w:type="dxa"/>
            <w:vAlign w:val="center"/>
          </w:tcPr>
          <w:p w14:paraId="34AA65B5">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3</w:t>
            </w:r>
          </w:p>
        </w:tc>
        <w:tc>
          <w:tcPr>
            <w:tcW w:w="8528" w:type="dxa"/>
            <w:vAlign w:val="center"/>
          </w:tcPr>
          <w:p w14:paraId="1634BB58">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漏洞扫描系统内置不同的漏洞模板针对Unix、Windows操作系统、网络设备和防火墙等模板，同时支持用户自定义扫描范围和扫描策略。</w:t>
            </w:r>
          </w:p>
        </w:tc>
      </w:tr>
      <w:tr w14:paraId="43B61A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33" w:hRule="atLeast"/>
        </w:trPr>
        <w:tc>
          <w:tcPr>
            <w:tcW w:w="550" w:type="dxa"/>
            <w:vAlign w:val="center"/>
          </w:tcPr>
          <w:p w14:paraId="20F2457F">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4</w:t>
            </w:r>
          </w:p>
        </w:tc>
        <w:tc>
          <w:tcPr>
            <w:tcW w:w="8528" w:type="dxa"/>
            <w:vAlign w:val="center"/>
          </w:tcPr>
          <w:p w14:paraId="0748FB04">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漏洞扫描系统需具备单独口令猜测扫描任务，支持多种口令猜测方式，包括利用SMB、TE LNET、FTP、SSH、POP3、TOMCAT、SQL SERVER、MYSQL、ORACLE、SYBASE、DB2、SNMP等协议进行口令猜测，允许外挂用户提供的用户名字典、密码字典和用户名密码组合字典。</w:t>
            </w:r>
          </w:p>
        </w:tc>
      </w:tr>
      <w:tr w14:paraId="06236B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09" w:hRule="atLeast"/>
        </w:trPr>
        <w:tc>
          <w:tcPr>
            <w:tcW w:w="550" w:type="dxa"/>
            <w:vAlign w:val="center"/>
          </w:tcPr>
          <w:p w14:paraId="5C979865">
            <w:pPr>
              <w:keepNext w:val="0"/>
              <w:keepLines w:val="0"/>
              <w:pageBreakBefore w:val="0"/>
              <w:widowControl w:val="0"/>
              <w:kinsoku/>
              <w:wordWrap/>
              <w:overflowPunct/>
              <w:topLinePunct w:val="0"/>
              <w:autoSpaceDE/>
              <w:autoSpaceDN/>
              <w:bidi w:val="0"/>
              <w:adjustRightInd/>
              <w:spacing w:before="437" w:beforeLines="100" w:line="360" w:lineRule="auto"/>
              <w:ind w:left="88"/>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5</w:t>
            </w:r>
          </w:p>
        </w:tc>
        <w:tc>
          <w:tcPr>
            <w:tcW w:w="8528" w:type="dxa"/>
            <w:vAlign w:val="center"/>
          </w:tcPr>
          <w:p w14:paraId="0796FAD1">
            <w:pPr>
              <w:keepNext w:val="0"/>
              <w:keepLines w:val="0"/>
              <w:pageBreakBefore w:val="0"/>
              <w:widowControl w:val="0"/>
              <w:kinsoku/>
              <w:wordWrap/>
              <w:overflowPunct/>
              <w:topLinePunct w:val="0"/>
              <w:autoSpaceDE/>
              <w:autoSpaceDN/>
              <w:bidi w:val="0"/>
              <w:adjustRightInd/>
              <w:snapToGrid/>
              <w:spacing w:before="0" w:beforeLines="0" w:line="360" w:lineRule="auto"/>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b/>
                <w:bCs/>
                <w:color w:val="auto"/>
                <w:kern w:val="2"/>
                <w:sz w:val="21"/>
                <w:szCs w:val="21"/>
                <w:lang w:val="en-US" w:eastAsia="zh-CN" w:bidi="zh-CN"/>
              </w:rPr>
              <w:t>▲</w:t>
            </w:r>
            <w:r>
              <w:rPr>
                <w:rFonts w:hint="eastAsia" w:ascii="宋体" w:hAnsi="宋体" w:eastAsia="宋体" w:cs="宋体"/>
                <w:b/>
                <w:bCs/>
                <w:color w:val="auto"/>
                <w:kern w:val="2"/>
                <w:sz w:val="21"/>
                <w:szCs w:val="21"/>
                <w:lang w:val="en-US" w:eastAsia="zh-CN" w:bidi="ar-SA"/>
              </w:rPr>
              <w:t>漏洞扫描系统需具有通过仪表盘直观展示资产风险值、主机风险等级分布、资产风险趋势、资产风险分布趋势等内容，并可查看详情。同时支持导出相应的检查报表。</w:t>
            </w:r>
          </w:p>
        </w:tc>
      </w:tr>
    </w:tbl>
    <w:p w14:paraId="47E3F4E6">
      <w:pPr>
        <w:pStyle w:val="27"/>
        <w:keepNext w:val="0"/>
        <w:keepLines w:val="0"/>
        <w:pageBreakBefore w:val="0"/>
        <w:widowControl/>
        <w:numPr>
          <w:ilvl w:val="0"/>
          <w:numId w:val="16"/>
        </w:numPr>
        <w:kinsoku/>
        <w:wordWrap/>
        <w:overflowPunct/>
        <w:topLinePunct w:val="0"/>
        <w:autoSpaceDE/>
        <w:autoSpaceDN/>
        <w:bidi w:val="0"/>
        <w:adjustRightInd/>
        <w:snapToGrid w:val="0"/>
        <w:spacing w:before="219" w:beforeLines="50" w:line="360" w:lineRule="auto"/>
        <w:ind w:left="420" w:hanging="420" w:firstLineChars="0"/>
        <w:contextualSpacing/>
        <w:textAlignment w:val="auto"/>
        <w:rPr>
          <w:rFonts w:hint="eastAsia" w:ascii="宋体" w:hAnsi="宋体" w:eastAsia="宋体" w:cs="宋体"/>
          <w:color w:val="auto"/>
          <w:szCs w:val="21"/>
        </w:rPr>
      </w:pPr>
      <w:r>
        <w:rPr>
          <w:rFonts w:hint="eastAsia" w:ascii="宋体" w:hAnsi="宋体" w:eastAsia="宋体" w:cs="宋体"/>
          <w:color w:val="auto"/>
          <w:szCs w:val="21"/>
          <w:lang w:val="en-US" w:eastAsia="zh-CN"/>
        </w:rPr>
        <w:t>投标人</w:t>
      </w:r>
      <w:r>
        <w:rPr>
          <w:rFonts w:hint="eastAsia" w:ascii="宋体" w:hAnsi="宋体" w:eastAsia="宋体" w:cs="宋体"/>
          <w:color w:val="auto"/>
          <w:szCs w:val="21"/>
        </w:rPr>
        <w:t>需提供针对摄像头、视频监控系统的风险评估工具，技术参数要求如下：</w:t>
      </w:r>
    </w:p>
    <w:tbl>
      <w:tblPr>
        <w:tblStyle w:val="15"/>
        <w:tblpPr w:leftFromText="180" w:rightFromText="180" w:vertAnchor="text" w:horzAnchor="page" w:tblpX="1419" w:tblpY="369"/>
        <w:tblOverlap w:val="never"/>
        <w:tblW w:w="9083"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66"/>
        <w:gridCol w:w="8517"/>
      </w:tblGrid>
      <w:tr w14:paraId="50E75D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566" w:type="dxa"/>
            <w:vAlign w:val="center"/>
          </w:tcPr>
          <w:p w14:paraId="149C9D25">
            <w:pPr>
              <w:widowControl w:val="0"/>
              <w:spacing w:line="360" w:lineRule="auto"/>
              <w:ind w:left="82"/>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序号</w:t>
            </w:r>
          </w:p>
        </w:tc>
        <w:tc>
          <w:tcPr>
            <w:tcW w:w="8517" w:type="dxa"/>
            <w:vAlign w:val="center"/>
          </w:tcPr>
          <w:p w14:paraId="6FCE74D3">
            <w:pPr>
              <w:widowControl w:val="0"/>
              <w:spacing w:line="360" w:lineRule="auto"/>
              <w:ind w:left="82"/>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指标详细内容</w:t>
            </w:r>
          </w:p>
        </w:tc>
      </w:tr>
      <w:tr w14:paraId="49AB30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66" w:type="dxa"/>
            <w:vAlign w:val="center"/>
          </w:tcPr>
          <w:p w14:paraId="4D054AC8">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1</w:t>
            </w:r>
          </w:p>
        </w:tc>
        <w:tc>
          <w:tcPr>
            <w:tcW w:w="8517" w:type="dxa"/>
            <w:vAlign w:val="center"/>
          </w:tcPr>
          <w:p w14:paraId="4ABA7A61">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b/>
                <w:bCs/>
                <w:color w:val="auto"/>
                <w:kern w:val="2"/>
                <w:sz w:val="21"/>
                <w:szCs w:val="21"/>
                <w:u w:val="none"/>
                <w:lang w:val="en-US" w:eastAsia="zh-CN" w:bidi="zh-CN"/>
              </w:rPr>
              <w:t>▲</w:t>
            </w:r>
            <w:r>
              <w:rPr>
                <w:rFonts w:hint="eastAsia" w:ascii="宋体" w:hAnsi="宋体" w:eastAsia="宋体" w:cs="宋体"/>
                <w:b/>
                <w:bCs/>
                <w:color w:val="auto"/>
                <w:kern w:val="2"/>
                <w:sz w:val="21"/>
                <w:szCs w:val="21"/>
                <w:u w:val="none"/>
                <w:lang w:val="zh-CN" w:eastAsia="zh-CN" w:bidi="zh-CN"/>
              </w:rPr>
              <w:t>有设备指纹库。要求设备指纹库支持海康、大华、宇视、同为、天地伟业、亚安、中星微、雄迈、三星、索尼、晶睿、友讯、安迅士、派尔高、奇偶科技、Lilin、LinkSys、Y-cam和Intellinet</w:t>
            </w:r>
            <w:r>
              <w:rPr>
                <w:rFonts w:hint="eastAsia" w:ascii="宋体" w:hAnsi="宋体" w:eastAsia="宋体" w:cs="宋体"/>
                <w:b/>
                <w:bCs/>
                <w:color w:val="auto"/>
                <w:kern w:val="2"/>
                <w:sz w:val="21"/>
                <w:szCs w:val="21"/>
                <w:u w:val="none"/>
                <w:lang w:val="en-US" w:eastAsia="zh-CN" w:bidi="zh-CN"/>
              </w:rPr>
              <w:t>或更多</w:t>
            </w:r>
            <w:r>
              <w:rPr>
                <w:rFonts w:hint="eastAsia" w:ascii="宋体" w:hAnsi="宋体" w:eastAsia="宋体" w:cs="宋体"/>
                <w:b/>
                <w:bCs/>
                <w:color w:val="auto"/>
                <w:kern w:val="2"/>
                <w:sz w:val="21"/>
                <w:szCs w:val="21"/>
                <w:u w:val="none"/>
                <w:lang w:val="zh-CN" w:eastAsia="zh-CN" w:bidi="zh-CN"/>
              </w:rPr>
              <w:t>主流厂商的网络摄像机、NVR、DVR设备</w:t>
            </w:r>
            <w:r>
              <w:rPr>
                <w:rFonts w:hint="eastAsia" w:ascii="宋体" w:hAnsi="宋体" w:eastAsia="宋体" w:cs="宋体"/>
                <w:b/>
                <w:bCs/>
                <w:color w:val="auto"/>
                <w:kern w:val="2"/>
                <w:sz w:val="21"/>
                <w:szCs w:val="21"/>
                <w:u w:val="none"/>
                <w:lang w:val="en-US" w:eastAsia="zh-CN" w:bidi="ar-SA"/>
              </w:rPr>
              <w:t>。</w:t>
            </w:r>
          </w:p>
        </w:tc>
      </w:tr>
      <w:tr w14:paraId="068F57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9" w:hRule="atLeast"/>
        </w:trPr>
        <w:tc>
          <w:tcPr>
            <w:tcW w:w="566" w:type="dxa"/>
            <w:vAlign w:val="center"/>
          </w:tcPr>
          <w:p w14:paraId="06C5538D">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w:t>
            </w:r>
          </w:p>
        </w:tc>
        <w:tc>
          <w:tcPr>
            <w:tcW w:w="8517" w:type="dxa"/>
            <w:vAlign w:val="center"/>
          </w:tcPr>
          <w:p w14:paraId="0F7D0F47">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zh-CN" w:eastAsia="zh-CN" w:bidi="zh-CN"/>
              </w:rPr>
              <w:t>具有</w:t>
            </w:r>
            <w:r>
              <w:rPr>
                <w:rFonts w:hint="eastAsia" w:ascii="宋体" w:hAnsi="宋体" w:eastAsia="宋体" w:cs="宋体"/>
                <w:color w:val="auto"/>
                <w:kern w:val="2"/>
                <w:sz w:val="21"/>
                <w:szCs w:val="21"/>
                <w:lang w:val="en-US" w:eastAsia="zh-CN" w:bidi="zh-CN"/>
              </w:rPr>
              <w:t>RTSP</w:t>
            </w:r>
            <w:r>
              <w:rPr>
                <w:rFonts w:hint="eastAsia" w:ascii="宋体" w:hAnsi="宋体" w:eastAsia="宋体" w:cs="宋体"/>
                <w:color w:val="auto"/>
                <w:kern w:val="2"/>
                <w:sz w:val="21"/>
                <w:szCs w:val="21"/>
                <w:lang w:val="zh-CN" w:eastAsia="zh-CN" w:bidi="zh-CN"/>
              </w:rPr>
              <w:t>、</w:t>
            </w:r>
            <w:r>
              <w:rPr>
                <w:rFonts w:hint="eastAsia" w:ascii="宋体" w:hAnsi="宋体" w:eastAsia="宋体" w:cs="宋体"/>
                <w:color w:val="auto"/>
                <w:kern w:val="2"/>
                <w:sz w:val="21"/>
                <w:szCs w:val="21"/>
                <w:lang w:val="en-US" w:eastAsia="zh-CN" w:bidi="zh-CN"/>
              </w:rPr>
              <w:t>ONVIF</w:t>
            </w:r>
            <w:r>
              <w:rPr>
                <w:rFonts w:hint="eastAsia" w:ascii="宋体" w:hAnsi="宋体" w:eastAsia="宋体" w:cs="宋体"/>
                <w:color w:val="auto"/>
                <w:kern w:val="2"/>
                <w:sz w:val="21"/>
                <w:szCs w:val="21"/>
                <w:lang w:val="zh-CN" w:eastAsia="zh-CN" w:bidi="zh-CN"/>
              </w:rPr>
              <w:t>、</w:t>
            </w:r>
            <w:r>
              <w:rPr>
                <w:rFonts w:hint="eastAsia" w:ascii="宋体" w:hAnsi="宋体" w:eastAsia="宋体" w:cs="宋体"/>
                <w:color w:val="auto"/>
                <w:kern w:val="2"/>
                <w:sz w:val="21"/>
                <w:szCs w:val="21"/>
                <w:lang w:val="en-US" w:eastAsia="zh-CN" w:bidi="zh-CN"/>
              </w:rPr>
              <w:t>PSIA</w:t>
            </w:r>
            <w:r>
              <w:rPr>
                <w:rFonts w:hint="eastAsia" w:ascii="宋体" w:hAnsi="宋体" w:eastAsia="宋体" w:cs="宋体"/>
                <w:color w:val="auto"/>
                <w:kern w:val="2"/>
                <w:sz w:val="21"/>
                <w:szCs w:val="21"/>
                <w:lang w:val="zh-CN" w:eastAsia="zh-CN" w:bidi="zh-CN"/>
              </w:rPr>
              <w:t>、</w:t>
            </w:r>
            <w:r>
              <w:rPr>
                <w:rFonts w:hint="eastAsia" w:ascii="宋体" w:hAnsi="宋体" w:eastAsia="宋体" w:cs="宋体"/>
                <w:color w:val="auto"/>
                <w:kern w:val="2"/>
                <w:sz w:val="21"/>
                <w:szCs w:val="21"/>
                <w:lang w:val="en-US" w:eastAsia="zh-CN" w:bidi="zh-CN"/>
              </w:rPr>
              <w:t>Telnet</w:t>
            </w:r>
            <w:r>
              <w:rPr>
                <w:rFonts w:hint="eastAsia" w:ascii="宋体" w:hAnsi="宋体" w:eastAsia="宋体" w:cs="宋体"/>
                <w:color w:val="auto"/>
                <w:kern w:val="2"/>
                <w:sz w:val="21"/>
                <w:szCs w:val="21"/>
                <w:lang w:val="zh-CN" w:eastAsia="zh-CN" w:bidi="zh-CN"/>
              </w:rPr>
              <w:t>、</w:t>
            </w:r>
            <w:r>
              <w:rPr>
                <w:rFonts w:hint="eastAsia" w:ascii="宋体" w:hAnsi="宋体" w:eastAsia="宋体" w:cs="宋体"/>
                <w:color w:val="auto"/>
                <w:kern w:val="2"/>
                <w:sz w:val="21"/>
                <w:szCs w:val="21"/>
                <w:lang w:val="en-US" w:eastAsia="zh-CN" w:bidi="zh-CN"/>
              </w:rPr>
              <w:t>SSH</w:t>
            </w:r>
            <w:r>
              <w:rPr>
                <w:rFonts w:hint="eastAsia" w:ascii="宋体" w:hAnsi="宋体" w:eastAsia="宋体" w:cs="宋体"/>
                <w:color w:val="auto"/>
                <w:kern w:val="2"/>
                <w:sz w:val="21"/>
                <w:szCs w:val="21"/>
                <w:lang w:val="zh-CN" w:eastAsia="zh-CN" w:bidi="zh-CN"/>
              </w:rPr>
              <w:t>、</w:t>
            </w:r>
            <w:r>
              <w:rPr>
                <w:rFonts w:hint="eastAsia" w:ascii="宋体" w:hAnsi="宋体" w:eastAsia="宋体" w:cs="宋体"/>
                <w:color w:val="auto"/>
                <w:kern w:val="2"/>
                <w:sz w:val="21"/>
                <w:szCs w:val="21"/>
                <w:lang w:val="en-US" w:eastAsia="zh-CN" w:bidi="zh-CN"/>
              </w:rPr>
              <w:t>HTTP</w:t>
            </w:r>
            <w:r>
              <w:rPr>
                <w:rFonts w:hint="eastAsia" w:ascii="宋体" w:hAnsi="宋体" w:eastAsia="宋体" w:cs="宋体"/>
                <w:color w:val="auto"/>
                <w:kern w:val="2"/>
                <w:sz w:val="21"/>
                <w:szCs w:val="21"/>
                <w:lang w:val="zh-CN" w:eastAsia="zh-CN" w:bidi="zh-CN"/>
              </w:rPr>
              <w:t>、</w:t>
            </w:r>
            <w:r>
              <w:rPr>
                <w:rFonts w:hint="eastAsia" w:ascii="宋体" w:hAnsi="宋体" w:eastAsia="宋体" w:cs="宋体"/>
                <w:color w:val="auto"/>
                <w:kern w:val="2"/>
                <w:sz w:val="21"/>
                <w:szCs w:val="21"/>
                <w:lang w:val="en-US" w:eastAsia="zh-CN" w:bidi="zh-CN"/>
              </w:rPr>
              <w:t>SNMP</w:t>
            </w:r>
            <w:r>
              <w:rPr>
                <w:rFonts w:hint="eastAsia" w:ascii="宋体" w:hAnsi="宋体" w:eastAsia="宋体" w:cs="宋体"/>
                <w:color w:val="auto"/>
                <w:kern w:val="2"/>
                <w:sz w:val="21"/>
                <w:szCs w:val="21"/>
                <w:lang w:val="zh-CN" w:eastAsia="zh-CN" w:bidi="zh-CN"/>
              </w:rPr>
              <w:t>、</w:t>
            </w:r>
            <w:r>
              <w:rPr>
                <w:rFonts w:hint="eastAsia" w:ascii="宋体" w:hAnsi="宋体" w:eastAsia="宋体" w:cs="宋体"/>
                <w:color w:val="auto"/>
                <w:kern w:val="2"/>
                <w:sz w:val="21"/>
                <w:szCs w:val="21"/>
                <w:lang w:val="en-US" w:eastAsia="zh-CN" w:bidi="zh-CN"/>
              </w:rPr>
              <w:t>UPNP</w:t>
            </w:r>
            <w:r>
              <w:rPr>
                <w:rFonts w:hint="eastAsia" w:ascii="宋体" w:hAnsi="宋体" w:eastAsia="宋体" w:cs="宋体"/>
                <w:color w:val="auto"/>
                <w:kern w:val="2"/>
                <w:sz w:val="21"/>
                <w:szCs w:val="21"/>
                <w:lang w:val="zh-CN" w:eastAsia="zh-CN" w:bidi="zh-CN"/>
              </w:rPr>
              <w:t>等不少于</w:t>
            </w:r>
            <w:r>
              <w:rPr>
                <w:rFonts w:hint="eastAsia" w:ascii="宋体" w:hAnsi="宋体" w:eastAsia="宋体" w:cs="宋体"/>
                <w:color w:val="auto"/>
                <w:kern w:val="2"/>
                <w:sz w:val="21"/>
                <w:szCs w:val="21"/>
                <w:lang w:val="en-US" w:eastAsia="zh-CN" w:bidi="zh-CN"/>
              </w:rPr>
              <w:t>100</w:t>
            </w:r>
            <w:r>
              <w:rPr>
                <w:rFonts w:hint="eastAsia" w:ascii="宋体" w:hAnsi="宋体" w:eastAsia="宋体" w:cs="宋体"/>
                <w:color w:val="auto"/>
                <w:kern w:val="2"/>
                <w:sz w:val="21"/>
                <w:szCs w:val="21"/>
                <w:lang w:val="zh-CN" w:eastAsia="zh-CN" w:bidi="zh-CN"/>
              </w:rPr>
              <w:t>个协议指纹探测</w:t>
            </w:r>
            <w:r>
              <w:rPr>
                <w:rFonts w:hint="eastAsia" w:ascii="宋体" w:hAnsi="宋体" w:eastAsia="宋体" w:cs="宋体"/>
                <w:color w:val="auto"/>
                <w:kern w:val="2"/>
                <w:sz w:val="21"/>
                <w:szCs w:val="21"/>
                <w:lang w:val="en-US" w:eastAsia="zh-CN" w:bidi="ar-SA"/>
              </w:rPr>
              <w:t>。</w:t>
            </w:r>
          </w:p>
        </w:tc>
      </w:tr>
      <w:tr w14:paraId="708F79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66" w:type="dxa"/>
            <w:vAlign w:val="center"/>
          </w:tcPr>
          <w:p w14:paraId="496D3361">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3</w:t>
            </w:r>
          </w:p>
        </w:tc>
        <w:tc>
          <w:tcPr>
            <w:tcW w:w="8517" w:type="dxa"/>
            <w:vAlign w:val="center"/>
          </w:tcPr>
          <w:p w14:paraId="4F5E5AA0">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zh-CN" w:eastAsia="zh-CN" w:bidi="zh-CN"/>
              </w:rPr>
              <w:t>漏洞探测支持缓冲区溢出、SQL注入、XSS、命令注入、目录遍历、CGI认证缺失、ONVIF认证缺失、硬编码和验证绕过的类型，支持不少于150个以上漏洞的探测识别</w:t>
            </w:r>
            <w:r>
              <w:rPr>
                <w:rFonts w:hint="eastAsia" w:ascii="宋体" w:hAnsi="宋体" w:eastAsia="宋体" w:cs="宋体"/>
                <w:color w:val="auto"/>
                <w:kern w:val="2"/>
                <w:sz w:val="21"/>
                <w:szCs w:val="21"/>
                <w:lang w:val="en-US" w:eastAsia="zh-CN" w:bidi="ar-SA"/>
              </w:rPr>
              <w:t>。</w:t>
            </w:r>
          </w:p>
        </w:tc>
      </w:tr>
      <w:tr w14:paraId="2A3AC4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566" w:type="dxa"/>
            <w:vAlign w:val="center"/>
          </w:tcPr>
          <w:p w14:paraId="7013EA5E">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4</w:t>
            </w:r>
          </w:p>
        </w:tc>
        <w:tc>
          <w:tcPr>
            <w:tcW w:w="8517" w:type="dxa"/>
            <w:vAlign w:val="center"/>
          </w:tcPr>
          <w:p w14:paraId="25D97654">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b/>
                <w:bCs/>
                <w:color w:val="auto"/>
                <w:kern w:val="2"/>
                <w:sz w:val="21"/>
                <w:szCs w:val="21"/>
                <w:lang w:val="en-US" w:eastAsia="zh-CN" w:bidi="zh-CN"/>
              </w:rPr>
              <w:t>▲</w:t>
            </w:r>
            <w:r>
              <w:rPr>
                <w:rFonts w:hint="eastAsia" w:ascii="宋体" w:hAnsi="宋体" w:eastAsia="宋体" w:cs="宋体"/>
                <w:b/>
                <w:bCs/>
                <w:color w:val="auto"/>
                <w:kern w:val="2"/>
                <w:sz w:val="21"/>
                <w:szCs w:val="21"/>
                <w:lang w:val="zh-CN" w:eastAsia="zh-CN" w:bidi="zh-CN"/>
              </w:rPr>
              <w:t>漏洞验证支持选择是否检测破坏型漏洞</w:t>
            </w:r>
            <w:r>
              <w:rPr>
                <w:rFonts w:hint="eastAsia" w:ascii="宋体" w:hAnsi="宋体" w:eastAsia="宋体" w:cs="宋体"/>
                <w:b/>
                <w:bCs/>
                <w:color w:val="auto"/>
                <w:kern w:val="2"/>
                <w:sz w:val="21"/>
                <w:szCs w:val="21"/>
                <w:lang w:val="en-US" w:eastAsia="zh-CN" w:bidi="ar-SA"/>
              </w:rPr>
              <w:t>。</w:t>
            </w:r>
          </w:p>
        </w:tc>
      </w:tr>
      <w:tr w14:paraId="728DEF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66" w:type="dxa"/>
            <w:vAlign w:val="center"/>
          </w:tcPr>
          <w:p w14:paraId="73F7CFCC">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5</w:t>
            </w:r>
          </w:p>
        </w:tc>
        <w:tc>
          <w:tcPr>
            <w:tcW w:w="8517" w:type="dxa"/>
            <w:vAlign w:val="center"/>
          </w:tcPr>
          <w:p w14:paraId="5561BF26">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b/>
                <w:bCs/>
                <w:color w:val="auto"/>
                <w:kern w:val="2"/>
                <w:sz w:val="21"/>
                <w:szCs w:val="21"/>
                <w:lang w:val="en-US" w:eastAsia="zh-CN" w:bidi="zh-CN"/>
              </w:rPr>
              <w:t>▲</w:t>
            </w:r>
            <w:r>
              <w:rPr>
                <w:rFonts w:hint="eastAsia" w:ascii="宋体" w:hAnsi="宋体" w:eastAsia="宋体" w:cs="宋体"/>
                <w:b/>
                <w:bCs/>
                <w:color w:val="auto"/>
                <w:kern w:val="2"/>
                <w:sz w:val="21"/>
                <w:szCs w:val="21"/>
                <w:lang w:val="zh-CN" w:eastAsia="zh-CN" w:bidi="zh-CN"/>
              </w:rPr>
              <w:t>任务管理支持查看通过漏洞验证获取的信息，包括视频监控画面泄露等</w:t>
            </w:r>
            <w:r>
              <w:rPr>
                <w:rFonts w:hint="eastAsia" w:ascii="宋体" w:hAnsi="宋体" w:eastAsia="宋体" w:cs="宋体"/>
                <w:b/>
                <w:bCs/>
                <w:color w:val="auto"/>
                <w:kern w:val="2"/>
                <w:sz w:val="21"/>
                <w:szCs w:val="21"/>
                <w:lang w:val="en-US" w:eastAsia="zh-CN" w:bidi="ar-SA"/>
              </w:rPr>
              <w:t>。</w:t>
            </w:r>
          </w:p>
        </w:tc>
      </w:tr>
    </w:tbl>
    <w:p w14:paraId="61CEF160">
      <w:pPr>
        <w:pStyle w:val="27"/>
        <w:widowControl/>
        <w:numPr>
          <w:ilvl w:val="0"/>
          <w:numId w:val="16"/>
        </w:numPr>
        <w:snapToGrid w:val="0"/>
        <w:spacing w:before="219" w:beforeLines="50" w:after="219" w:afterLines="50" w:line="360" w:lineRule="auto"/>
        <w:ind w:left="42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lang w:val="en-US" w:eastAsia="zh-CN"/>
        </w:rPr>
        <w:t>投标人</w:t>
      </w:r>
      <w:r>
        <w:rPr>
          <w:rFonts w:hint="eastAsia" w:ascii="宋体" w:hAnsi="宋体" w:eastAsia="宋体" w:cs="宋体"/>
          <w:color w:val="auto"/>
          <w:szCs w:val="21"/>
        </w:rPr>
        <w:t>需提供专业代码审计工具，技术参数要求如下：</w:t>
      </w:r>
    </w:p>
    <w:tbl>
      <w:tblPr>
        <w:tblStyle w:val="15"/>
        <w:tblW w:w="9078"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83"/>
        <w:gridCol w:w="8495"/>
      </w:tblGrid>
      <w:tr w14:paraId="05B87B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583" w:type="dxa"/>
            <w:vAlign w:val="center"/>
          </w:tcPr>
          <w:p w14:paraId="279EEB01">
            <w:pPr>
              <w:widowControl w:val="0"/>
              <w:spacing w:line="360" w:lineRule="auto"/>
              <w:ind w:left="82"/>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序号</w:t>
            </w:r>
          </w:p>
        </w:tc>
        <w:tc>
          <w:tcPr>
            <w:tcW w:w="8495" w:type="dxa"/>
            <w:vAlign w:val="center"/>
          </w:tcPr>
          <w:p w14:paraId="0D54AA68">
            <w:pPr>
              <w:widowControl w:val="0"/>
              <w:spacing w:line="360" w:lineRule="auto"/>
              <w:ind w:left="82"/>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指标详细内容</w:t>
            </w:r>
          </w:p>
        </w:tc>
      </w:tr>
      <w:tr w14:paraId="274C93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83" w:type="dxa"/>
            <w:vAlign w:val="center"/>
          </w:tcPr>
          <w:p w14:paraId="5B13B402">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1</w:t>
            </w:r>
          </w:p>
        </w:tc>
        <w:tc>
          <w:tcPr>
            <w:tcW w:w="8495" w:type="dxa"/>
            <w:vAlign w:val="center"/>
          </w:tcPr>
          <w:p w14:paraId="29EDFAC6">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b/>
                <w:bCs/>
                <w:color w:val="auto"/>
                <w:kern w:val="2"/>
                <w:sz w:val="21"/>
                <w:szCs w:val="21"/>
                <w:lang w:val="en-US" w:eastAsia="zh-CN" w:bidi="ar-SA"/>
              </w:rPr>
              <w:t>▲支持Java /Python/C/C++/C#/Go/PHP/JavaScript/Swift/Ruby等不少于10种主流编程语言开发的软件源代码检测；支持基于收集流量重放请求与基于代码数据流安装插桩Agent的两种模式，其中插桩模式支持Java、Golang、.NET Framework、.NET Core、Node.js、Python、PHP等七种语言。</w:t>
            </w:r>
          </w:p>
        </w:tc>
      </w:tr>
      <w:tr w14:paraId="403854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83" w:type="dxa"/>
            <w:vAlign w:val="center"/>
          </w:tcPr>
          <w:p w14:paraId="63CEA29B">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w:t>
            </w:r>
          </w:p>
        </w:tc>
        <w:tc>
          <w:tcPr>
            <w:tcW w:w="8495" w:type="dxa"/>
            <w:vAlign w:val="center"/>
          </w:tcPr>
          <w:p w14:paraId="39A7229E">
            <w:pPr>
              <w:widowControl w:val="0"/>
              <w:spacing w:line="360" w:lineRule="auto"/>
              <w:jc w:val="both"/>
              <w:rPr>
                <w:rFonts w:hint="eastAsia" w:ascii="宋体" w:hAnsi="宋体" w:eastAsia="宋体" w:cs="宋体"/>
                <w:color w:val="auto"/>
                <w:kern w:val="2"/>
                <w:sz w:val="21"/>
                <w:szCs w:val="21"/>
                <w:lang w:val="en-US" w:eastAsia="zh-CN" w:bidi="ar-SA"/>
              </w:rPr>
            </w:pPr>
            <w:r>
              <w:rPr>
                <w:rFonts w:hint="eastAsia" w:ascii="宋体" w:hAnsi="宋体" w:eastAsia="宋体" w:cs="宋体"/>
                <w:b/>
                <w:bCs/>
                <w:color w:val="auto"/>
                <w:kern w:val="2"/>
                <w:sz w:val="21"/>
                <w:szCs w:val="21"/>
                <w:lang w:val="en-US" w:eastAsia="zh-CN" w:bidi="ar-SA"/>
              </w:rPr>
              <w:t>▲支持多种检测依赖分析技术，包括但不限于包管理扫描、模拟构建、代码片段扫描、镜像扫描等。</w:t>
            </w:r>
          </w:p>
        </w:tc>
      </w:tr>
      <w:tr w14:paraId="014EC9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9" w:hRule="atLeast"/>
        </w:trPr>
        <w:tc>
          <w:tcPr>
            <w:tcW w:w="583" w:type="dxa"/>
            <w:vAlign w:val="center"/>
          </w:tcPr>
          <w:p w14:paraId="78A1B829">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3</w:t>
            </w:r>
          </w:p>
        </w:tc>
        <w:tc>
          <w:tcPr>
            <w:tcW w:w="8495" w:type="dxa"/>
            <w:vAlign w:val="center"/>
          </w:tcPr>
          <w:p w14:paraId="4D78BFA5">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支持软件成分安全风险管理，支持CVE、CNVD、CNNVD等漏洞库相关展示，内容包括但不限于：漏洞名称、漏洞等级、威胁类型、公布时间、更新时间、CPE2.3、CVSS2.0评分、厂商、漏洞描述、参考链接等。</w:t>
            </w:r>
          </w:p>
        </w:tc>
      </w:tr>
    </w:tbl>
    <w:p w14:paraId="4897C797">
      <w:pPr>
        <w:pStyle w:val="27"/>
        <w:numPr>
          <w:ilvl w:val="0"/>
          <w:numId w:val="11"/>
        </w:numPr>
        <w:snapToGrid w:val="0"/>
        <w:spacing w:before="219" w:beforeLines="50" w:line="360" w:lineRule="auto"/>
        <w:ind w:left="42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rPr>
        <w:t>远程巡检处置服务</w:t>
      </w:r>
    </w:p>
    <w:p w14:paraId="35A81720">
      <w:pPr>
        <w:pStyle w:val="27"/>
        <w:widowControl/>
        <w:numPr>
          <w:ilvl w:val="0"/>
          <w:numId w:val="17"/>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安全专家通过远程方式，为学校提供日常巡检、漏洞修复、事件处置、配置整改等服务。</w:t>
      </w:r>
    </w:p>
    <w:p w14:paraId="4673A616">
      <w:pPr>
        <w:pStyle w:val="27"/>
        <w:widowControl/>
        <w:numPr>
          <w:ilvl w:val="0"/>
          <w:numId w:val="17"/>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服务内容：对终端电脑、网络设备、安全设备等进行定期巡检，对高危漏洞进行修复，对安全事件进行排查处置，帮助学校关注并按时处理市教育局下发的工单</w:t>
      </w:r>
      <w:r>
        <w:rPr>
          <w:rFonts w:hint="eastAsia" w:ascii="宋体" w:hAnsi="宋体" w:eastAsia="宋体" w:cs="宋体"/>
          <w:color w:val="auto"/>
          <w:szCs w:val="21"/>
          <w:lang w:eastAsia="zh-CN"/>
        </w:rPr>
        <w:t>。</w:t>
      </w:r>
    </w:p>
    <w:p w14:paraId="33599809">
      <w:pPr>
        <w:pStyle w:val="27"/>
        <w:widowControl/>
        <w:numPr>
          <w:ilvl w:val="0"/>
          <w:numId w:val="17"/>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服务频次：每周巡检1次，每个月出具一份报告；</w:t>
      </w:r>
    </w:p>
    <w:p w14:paraId="6B7C39C8">
      <w:pPr>
        <w:pStyle w:val="27"/>
        <w:widowControl/>
        <w:numPr>
          <w:ilvl w:val="0"/>
          <w:numId w:val="17"/>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lang w:eastAsia="zh-CN"/>
        </w:rPr>
        <w:t>服务交付</w:t>
      </w:r>
      <w:r>
        <w:rPr>
          <w:rFonts w:hint="eastAsia" w:ascii="宋体" w:hAnsi="宋体" w:eastAsia="宋体" w:cs="宋体"/>
          <w:color w:val="auto"/>
          <w:szCs w:val="21"/>
        </w:rPr>
        <w:t>：《</w:t>
      </w:r>
      <w:r>
        <w:rPr>
          <w:rFonts w:hint="eastAsia" w:ascii="宋体" w:hAnsi="宋体" w:eastAsia="宋体" w:cs="宋体"/>
          <w:color w:val="auto"/>
          <w:szCs w:val="21"/>
          <w:lang w:val="en-US" w:eastAsia="zh-CN"/>
        </w:rPr>
        <w:t>远程</w:t>
      </w:r>
      <w:r>
        <w:rPr>
          <w:rFonts w:hint="eastAsia" w:ascii="宋体" w:hAnsi="宋体" w:eastAsia="宋体" w:cs="宋体"/>
          <w:color w:val="auto"/>
          <w:szCs w:val="21"/>
        </w:rPr>
        <w:t>巡检处置报告》。</w:t>
      </w:r>
    </w:p>
    <w:p w14:paraId="737E6C06">
      <w:pPr>
        <w:pStyle w:val="27"/>
        <w:numPr>
          <w:ilvl w:val="0"/>
          <w:numId w:val="11"/>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lang w:val="en-US" w:eastAsia="zh-CN"/>
        </w:rPr>
        <w:t>现场</w:t>
      </w:r>
      <w:r>
        <w:rPr>
          <w:rFonts w:hint="eastAsia" w:ascii="宋体" w:hAnsi="宋体" w:eastAsia="宋体" w:cs="宋体"/>
          <w:color w:val="auto"/>
          <w:szCs w:val="21"/>
        </w:rPr>
        <w:t>巡检处置服务</w:t>
      </w:r>
    </w:p>
    <w:p w14:paraId="6C91225A">
      <w:pPr>
        <w:pStyle w:val="27"/>
        <w:widowControl/>
        <w:numPr>
          <w:ilvl w:val="0"/>
          <w:numId w:val="18"/>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安全专家到学校现场，为学校提供日常巡检、漏洞修复、事件处置、配置整改等服务。</w:t>
      </w:r>
    </w:p>
    <w:p w14:paraId="4F7A6D04">
      <w:pPr>
        <w:pStyle w:val="27"/>
        <w:widowControl/>
        <w:numPr>
          <w:ilvl w:val="0"/>
          <w:numId w:val="18"/>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服务内容：对终端电脑、网络设备、安全设备等进行定期巡检，对高危漏洞进行修复，对安全事件进行排查处置。</w:t>
      </w:r>
    </w:p>
    <w:p w14:paraId="2BF988D5">
      <w:pPr>
        <w:pStyle w:val="27"/>
        <w:widowControl/>
        <w:numPr>
          <w:ilvl w:val="0"/>
          <w:numId w:val="18"/>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服务频次：每个季度1次，一年共计4次</w:t>
      </w:r>
      <w:r>
        <w:rPr>
          <w:rFonts w:hint="eastAsia" w:ascii="宋体" w:hAnsi="宋体" w:eastAsia="宋体" w:cs="宋体"/>
          <w:color w:val="auto"/>
          <w:szCs w:val="21"/>
          <w:lang w:eastAsia="zh-CN"/>
        </w:rPr>
        <w:t>。</w:t>
      </w:r>
    </w:p>
    <w:p w14:paraId="08F88D41">
      <w:pPr>
        <w:pStyle w:val="27"/>
        <w:widowControl/>
        <w:numPr>
          <w:ilvl w:val="0"/>
          <w:numId w:val="18"/>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lang w:eastAsia="zh-CN"/>
        </w:rPr>
        <w:t>服务交付</w:t>
      </w:r>
      <w:r>
        <w:rPr>
          <w:rFonts w:hint="eastAsia" w:ascii="宋体" w:hAnsi="宋体" w:eastAsia="宋体" w:cs="宋体"/>
          <w:color w:val="auto"/>
          <w:szCs w:val="21"/>
        </w:rPr>
        <w:t>：《现场巡检处置报告》。</w:t>
      </w:r>
    </w:p>
    <w:p w14:paraId="5AB3E687">
      <w:pPr>
        <w:pStyle w:val="27"/>
        <w:numPr>
          <w:ilvl w:val="0"/>
          <w:numId w:val="11"/>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iCs/>
          <w:color w:val="auto"/>
          <w:szCs w:val="21"/>
          <w:lang w:val="en-US" w:eastAsia="zh-CN"/>
        </w:rPr>
        <w:t>服务人员要求</w:t>
      </w:r>
    </w:p>
    <w:p w14:paraId="56422668">
      <w:pPr>
        <w:pStyle w:val="27"/>
        <w:widowControl/>
        <w:numPr>
          <w:ilvl w:val="0"/>
          <w:numId w:val="19"/>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lang w:val="en-US" w:eastAsia="zh-CN"/>
        </w:rPr>
        <w:t>本项目需投入不少于2名服务人员。</w:t>
      </w:r>
    </w:p>
    <w:p w14:paraId="66800C01">
      <w:pPr>
        <w:pStyle w:val="27"/>
        <w:widowControl/>
        <w:numPr>
          <w:ilvl w:val="0"/>
          <w:numId w:val="19"/>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 w:val="21"/>
          <w:szCs w:val="21"/>
        </w:rPr>
        <w:t>具备计算机硬件和软件相关知识</w:t>
      </w:r>
      <w:r>
        <w:rPr>
          <w:rFonts w:hint="eastAsia" w:ascii="宋体" w:hAnsi="宋体" w:eastAsia="宋体" w:cs="宋体"/>
          <w:color w:val="auto"/>
          <w:sz w:val="21"/>
          <w:szCs w:val="21"/>
          <w:lang w:eastAsia="zh-CN"/>
        </w:rPr>
        <w:t>。</w:t>
      </w:r>
    </w:p>
    <w:p w14:paraId="1C64AD75">
      <w:pPr>
        <w:pStyle w:val="27"/>
        <w:widowControl/>
        <w:numPr>
          <w:ilvl w:val="0"/>
          <w:numId w:val="19"/>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lang w:val="en-US" w:eastAsia="zh-CN"/>
        </w:rPr>
        <w:t>具</w:t>
      </w:r>
      <w:r>
        <w:rPr>
          <w:rFonts w:hint="eastAsia" w:ascii="宋体" w:hAnsi="宋体" w:eastAsia="宋体" w:cs="宋体"/>
          <w:color w:val="auto"/>
          <w:sz w:val="21"/>
          <w:szCs w:val="21"/>
        </w:rPr>
        <w:t>备</w:t>
      </w:r>
      <w:r>
        <w:rPr>
          <w:rFonts w:hint="eastAsia" w:ascii="宋体" w:hAnsi="宋体" w:eastAsia="宋体" w:cs="宋体"/>
          <w:color w:val="auto"/>
          <w:szCs w:val="21"/>
        </w:rPr>
        <w:t>计算机网络系统的规划、设计，网络设备的软硬件安装调试，网络系统的运行、维护和管理的</w:t>
      </w:r>
      <w:r>
        <w:rPr>
          <w:rFonts w:hint="eastAsia" w:ascii="宋体" w:hAnsi="宋体" w:eastAsia="宋体" w:cs="宋体"/>
          <w:color w:val="auto"/>
          <w:szCs w:val="21"/>
          <w:lang w:val="en-US" w:eastAsia="zh-CN"/>
        </w:rPr>
        <w:t>知识</w:t>
      </w:r>
      <w:r>
        <w:rPr>
          <w:rFonts w:hint="eastAsia" w:ascii="宋体" w:hAnsi="宋体" w:eastAsia="宋体" w:cs="宋体"/>
          <w:color w:val="auto"/>
          <w:szCs w:val="21"/>
        </w:rPr>
        <w:t>。</w:t>
      </w:r>
    </w:p>
    <w:p w14:paraId="67DB3B5E">
      <w:pPr>
        <w:pStyle w:val="27"/>
        <w:widowControl/>
        <w:numPr>
          <w:ilvl w:val="0"/>
          <w:numId w:val="19"/>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lang w:val="en-US" w:eastAsia="zh-CN"/>
        </w:rPr>
        <w:t>具备信息系统安全设施的运行维护和配置管理经验，能处理信息系统一般安全风险问题的。</w:t>
      </w:r>
    </w:p>
    <w:p w14:paraId="7F1E0BF4">
      <w:pPr>
        <w:pStyle w:val="27"/>
        <w:numPr>
          <w:ilvl w:val="0"/>
          <w:numId w:val="11"/>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lang w:val="en-US" w:eastAsia="zh-CN"/>
        </w:rPr>
        <w:t>其他要求</w:t>
      </w:r>
    </w:p>
    <w:p w14:paraId="5BF27FB0">
      <w:pPr>
        <w:pStyle w:val="27"/>
        <w:widowControl/>
        <w:numPr>
          <w:ilvl w:val="0"/>
          <w:numId w:val="20"/>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lang w:val="en-US" w:eastAsia="zh-CN"/>
        </w:rPr>
        <w:t>投标人需提供</w:t>
      </w:r>
      <w:r>
        <w:rPr>
          <w:rFonts w:hint="eastAsia" w:ascii="宋体" w:hAnsi="宋体" w:eastAsia="宋体" w:cs="宋体"/>
          <w:color w:val="auto"/>
          <w:szCs w:val="21"/>
        </w:rPr>
        <w:t>质量保证方案</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能保障项目顺利实施并针对项目提出</w:t>
      </w:r>
      <w:r>
        <w:rPr>
          <w:rFonts w:hint="eastAsia" w:ascii="宋体" w:hAnsi="宋体" w:eastAsia="宋体" w:cs="宋体"/>
          <w:color w:val="auto"/>
          <w:szCs w:val="21"/>
        </w:rPr>
        <w:t>详细具体的</w:t>
      </w:r>
      <w:r>
        <w:rPr>
          <w:rFonts w:hint="eastAsia" w:ascii="宋体" w:hAnsi="宋体" w:eastAsia="宋体" w:cs="宋体"/>
          <w:color w:val="auto"/>
          <w:szCs w:val="21"/>
          <w:lang w:val="en-US" w:eastAsia="zh-CN"/>
        </w:rPr>
        <w:t>合理化建议。</w:t>
      </w:r>
    </w:p>
    <w:p w14:paraId="3139E6B4">
      <w:pPr>
        <w:pStyle w:val="27"/>
        <w:widowControl/>
        <w:numPr>
          <w:ilvl w:val="0"/>
          <w:numId w:val="20"/>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 w:val="21"/>
          <w:szCs w:val="21"/>
          <w:lang w:val="en-US" w:eastAsia="zh-CN"/>
        </w:rPr>
        <w:t>投标人需做好</w:t>
      </w:r>
      <w:r>
        <w:rPr>
          <w:rFonts w:hint="eastAsia" w:ascii="宋体" w:hAnsi="宋体" w:eastAsia="宋体" w:cs="宋体"/>
          <w:color w:val="auto"/>
          <w:sz w:val="21"/>
          <w:szCs w:val="21"/>
        </w:rPr>
        <w:t>信息安全保密工作</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服务人员应有保密意识，不得泄露</w:t>
      </w:r>
      <w:r>
        <w:rPr>
          <w:rFonts w:hint="eastAsia" w:ascii="宋体" w:hAnsi="宋体" w:eastAsia="宋体" w:cs="宋体"/>
          <w:color w:val="auto"/>
          <w:sz w:val="21"/>
          <w:szCs w:val="21"/>
          <w:lang w:val="en-US" w:eastAsia="zh-CN"/>
        </w:rPr>
        <w:t>学校</w:t>
      </w:r>
      <w:r>
        <w:rPr>
          <w:rFonts w:hint="eastAsia" w:ascii="宋体" w:hAnsi="宋体" w:eastAsia="宋体" w:cs="宋体"/>
          <w:color w:val="auto"/>
          <w:sz w:val="21"/>
          <w:szCs w:val="21"/>
        </w:rPr>
        <w:t>相关任何涉密信息或文件</w:t>
      </w:r>
      <w:r>
        <w:rPr>
          <w:rFonts w:hint="eastAsia" w:ascii="宋体" w:hAnsi="宋体" w:eastAsia="宋体" w:cs="宋体"/>
          <w:color w:val="auto"/>
          <w:sz w:val="21"/>
          <w:szCs w:val="21"/>
          <w:lang w:eastAsia="zh-CN"/>
        </w:rPr>
        <w:t>。</w:t>
      </w:r>
    </w:p>
    <w:p w14:paraId="1E79F196">
      <w:pPr>
        <w:pStyle w:val="27"/>
        <w:widowControl/>
        <w:numPr>
          <w:ilvl w:val="0"/>
          <w:numId w:val="20"/>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 w:val="21"/>
          <w:szCs w:val="21"/>
          <w:lang w:val="en-US" w:eastAsia="zh-CN"/>
        </w:rPr>
        <w:t>投标人需提供应急保障方案，在特殊节日或发生特殊事件时能提供应急人员支撑学校网络安全。在接到采购人紧急服务通知后能于1.5小时内到达现场。如遇到黑客攻击能提供</w:t>
      </w:r>
      <w:r>
        <w:rPr>
          <w:rFonts w:hint="eastAsia" w:ascii="宋体" w:hAnsi="宋体" w:eastAsia="宋体" w:cs="宋体"/>
          <w:color w:val="auto"/>
          <w:szCs w:val="21"/>
        </w:rPr>
        <w:t>应急设备</w:t>
      </w:r>
      <w:r>
        <w:rPr>
          <w:rFonts w:hint="eastAsia" w:ascii="宋体" w:hAnsi="宋体" w:eastAsia="宋体" w:cs="宋体"/>
          <w:color w:val="auto"/>
          <w:szCs w:val="21"/>
          <w:lang w:val="en-US" w:eastAsia="zh-CN"/>
        </w:rPr>
        <w:t>保障学校网络设备。</w:t>
      </w:r>
    </w:p>
    <w:bookmarkEnd w:id="8"/>
    <w:p w14:paraId="562D3B83">
      <w:pPr>
        <w:pageBreakBefore/>
        <w:spacing w:after="217" w:afterLines="50"/>
        <w:jc w:val="center"/>
        <w:outlineLvl w:val="1"/>
        <w:rPr>
          <w:rFonts w:hint="eastAsia" w:ascii="宋体" w:hAnsi="宋体" w:eastAsia="宋体" w:cs="宋体"/>
          <w:color w:val="auto"/>
          <w:kern w:val="0"/>
          <w:sz w:val="20"/>
          <w:szCs w:val="20"/>
          <w:lang w:eastAsia="zh-Hans"/>
        </w:rPr>
      </w:pPr>
      <w:bookmarkStart w:id="9" w:name="_Toc169807542"/>
      <w:bookmarkStart w:id="10" w:name="_Toc169799780"/>
      <w:r>
        <w:rPr>
          <w:rFonts w:hint="eastAsia" w:ascii="宋体" w:hAnsi="宋体" w:eastAsia="宋体" w:cs="宋体"/>
          <w:b/>
          <w:color w:val="auto"/>
          <w:kern w:val="0"/>
          <w:sz w:val="36"/>
          <w:szCs w:val="20"/>
          <w:lang w:eastAsia="zh-Hans"/>
        </w:rPr>
        <w:t>第三章 投标人须知</w:t>
      </w:r>
      <w:bookmarkEnd w:id="9"/>
      <w:bookmarkEnd w:id="10"/>
    </w:p>
    <w:p w14:paraId="2050E244">
      <w:pPr>
        <w:widowControl/>
        <w:ind w:firstLine="48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7"/>
        <w:widowControl/>
        <w:numPr>
          <w:ilvl w:val="0"/>
          <w:numId w:val="21"/>
        </w:numPr>
        <w:tabs>
          <w:tab w:val="left" w:pos="426"/>
          <w:tab w:val="left" w:pos="709"/>
          <w:tab w:val="left" w:pos="1418"/>
        </w:tabs>
        <w:ind w:hanging="2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名词解释</w:t>
      </w:r>
    </w:p>
    <w:p w14:paraId="2DAD81C8">
      <w:pPr>
        <w:pStyle w:val="27"/>
        <w:widowControl/>
        <w:numPr>
          <w:ilvl w:val="0"/>
          <w:numId w:val="22"/>
        </w:numPr>
        <w:tabs>
          <w:tab w:val="left" w:pos="284"/>
        </w:tabs>
        <w:ind w:left="284" w:hanging="284"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采购代理机构：是指负责整个采购活动的组织，依法负责编制和发布招标文件，对招标文件拥有最终的解释权，不以任何身份出任评标委员会成员。</w:t>
      </w:r>
    </w:p>
    <w:p w14:paraId="0BE39DDD">
      <w:pPr>
        <w:pStyle w:val="27"/>
        <w:widowControl/>
        <w:numPr>
          <w:ilvl w:val="0"/>
          <w:numId w:val="22"/>
        </w:numPr>
        <w:tabs>
          <w:tab w:val="left" w:pos="284"/>
        </w:tabs>
        <w:ind w:left="284" w:hanging="284"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采购人：是指采购活动当事人之一，负责项目的整体规划、技术方案可行性设计论证与实施，作为合同采购方（用户）的主体承担质疑回复、履行合同、验收与评价等义务。</w:t>
      </w:r>
    </w:p>
    <w:p w14:paraId="72A88B11">
      <w:pPr>
        <w:pStyle w:val="27"/>
        <w:widowControl/>
        <w:numPr>
          <w:ilvl w:val="0"/>
          <w:numId w:val="22"/>
        </w:numPr>
        <w:tabs>
          <w:tab w:val="left" w:pos="284"/>
        </w:tabs>
        <w:ind w:left="284" w:hanging="284"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投标人：是指向采购人提供货物、工程或者服务的法人、其他组织或者自然人。</w:t>
      </w:r>
    </w:p>
    <w:p w14:paraId="0B546C34">
      <w:pPr>
        <w:pStyle w:val="27"/>
        <w:widowControl/>
        <w:numPr>
          <w:ilvl w:val="0"/>
          <w:numId w:val="22"/>
        </w:numPr>
        <w:tabs>
          <w:tab w:val="left" w:pos="284"/>
        </w:tabs>
        <w:ind w:left="284" w:hanging="284"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评标委员会：是指根据《中华人民共和国政府采购法》等法律法规规定，由采购人代表和有关专家组成以确定中标供应商或者推荐中标候选人的临时组织。</w:t>
      </w:r>
    </w:p>
    <w:p w14:paraId="74BA097A">
      <w:pPr>
        <w:pStyle w:val="27"/>
        <w:widowControl/>
        <w:numPr>
          <w:ilvl w:val="0"/>
          <w:numId w:val="22"/>
        </w:numPr>
        <w:tabs>
          <w:tab w:val="left" w:pos="284"/>
        </w:tabs>
        <w:ind w:left="284" w:hanging="284"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7"/>
        <w:widowControl/>
        <w:numPr>
          <w:ilvl w:val="0"/>
          <w:numId w:val="22"/>
        </w:numPr>
        <w:tabs>
          <w:tab w:val="left" w:pos="284"/>
        </w:tabs>
        <w:ind w:left="284" w:hanging="284"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招标文件：是指包括招标公告和招标文件及其补充、变更和澄清等一系列文件。</w:t>
      </w:r>
    </w:p>
    <w:p w14:paraId="4628512F">
      <w:pPr>
        <w:pStyle w:val="27"/>
        <w:widowControl/>
        <w:numPr>
          <w:ilvl w:val="0"/>
          <w:numId w:val="21"/>
        </w:numPr>
        <w:spacing w:before="217" w:beforeLines="50"/>
        <w:ind w:left="442" w:hanging="442" w:firstLineChars="0"/>
        <w:jc w:val="left"/>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Cs w:val="21"/>
          <w:lang w:eastAsia="zh-Hans"/>
        </w:rPr>
        <w:t>须知前附表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hint="eastAsia" w:ascii="宋体" w:hAnsi="宋体" w:eastAsia="宋体" w:cs="宋体"/>
                <w:color w:val="auto"/>
                <w:kern w:val="0"/>
                <w:szCs w:val="21"/>
                <w:lang w:eastAsia="zh-Hans"/>
              </w:rPr>
            </w:pPr>
            <w:bookmarkStart w:id="11" w:name="_Hlk169877316"/>
            <w:r>
              <w:rPr>
                <w:rFonts w:hint="eastAsia" w:ascii="宋体" w:hAnsi="宋体" w:eastAsia="宋体" w:cs="宋体"/>
                <w:color w:val="auto"/>
                <w:kern w:val="0"/>
                <w:szCs w:val="21"/>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序号</w:t>
            </w:r>
          </w:p>
        </w:tc>
        <w:tc>
          <w:tcPr>
            <w:tcW w:w="997" w:type="pct"/>
            <w:vAlign w:val="center"/>
          </w:tcPr>
          <w:p w14:paraId="13045B76">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条款名称</w:t>
            </w:r>
          </w:p>
        </w:tc>
        <w:tc>
          <w:tcPr>
            <w:tcW w:w="3619" w:type="pct"/>
            <w:vAlign w:val="center"/>
          </w:tcPr>
          <w:p w14:paraId="2935692D">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1</w:t>
            </w:r>
          </w:p>
        </w:tc>
        <w:tc>
          <w:tcPr>
            <w:tcW w:w="997" w:type="pct"/>
            <w:vAlign w:val="center"/>
          </w:tcPr>
          <w:p w14:paraId="08CF0C39">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项目属性</w:t>
            </w:r>
          </w:p>
        </w:tc>
        <w:tc>
          <w:tcPr>
            <w:tcW w:w="3619" w:type="pct"/>
            <w:vAlign w:val="center"/>
          </w:tcPr>
          <w:p w14:paraId="0A1497F0">
            <w:pPr>
              <w:widowControl/>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项目属性</w:t>
            </w:r>
            <w:r>
              <w:rPr>
                <w:rFonts w:hint="eastAsia" w:ascii="宋体" w:hAnsi="宋体" w:eastAsia="宋体" w:cs="宋体"/>
                <w:color w:val="auto"/>
                <w:kern w:val="0"/>
                <w:szCs w:val="21"/>
              </w:rPr>
              <w:t>：服务</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2</w:t>
            </w:r>
          </w:p>
        </w:tc>
        <w:tc>
          <w:tcPr>
            <w:tcW w:w="997" w:type="pct"/>
            <w:vAlign w:val="center"/>
          </w:tcPr>
          <w:p w14:paraId="06D49070">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rPr>
              <w:t>资金属性</w:t>
            </w:r>
          </w:p>
        </w:tc>
        <w:tc>
          <w:tcPr>
            <w:tcW w:w="3619" w:type="pct"/>
            <w:vAlign w:val="center"/>
          </w:tcPr>
          <w:p w14:paraId="23B5DB27">
            <w:pPr>
              <w:widowControl/>
              <w:rPr>
                <w:rFonts w:hint="eastAsia" w:ascii="宋体" w:hAnsi="宋体" w:eastAsia="宋体" w:cs="宋体"/>
                <w:color w:val="auto"/>
                <w:kern w:val="0"/>
                <w:szCs w:val="21"/>
              </w:rPr>
            </w:pPr>
            <w:r>
              <w:rPr>
                <w:rFonts w:hint="eastAsia" w:ascii="宋体" w:hAnsi="宋体" w:eastAsia="宋体" w:cs="宋体"/>
                <w:color w:val="auto"/>
                <w:kern w:val="0"/>
                <w:szCs w:val="21"/>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3</w:t>
            </w:r>
          </w:p>
        </w:tc>
        <w:tc>
          <w:tcPr>
            <w:tcW w:w="997" w:type="pct"/>
            <w:vAlign w:val="center"/>
          </w:tcPr>
          <w:p w14:paraId="6277B0F9">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评标办法</w:t>
            </w:r>
          </w:p>
        </w:tc>
        <w:tc>
          <w:tcPr>
            <w:tcW w:w="3619" w:type="pct"/>
          </w:tcPr>
          <w:p w14:paraId="24CD24CA">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4</w:t>
            </w:r>
          </w:p>
        </w:tc>
        <w:tc>
          <w:tcPr>
            <w:tcW w:w="997" w:type="pct"/>
            <w:vAlign w:val="center"/>
          </w:tcPr>
          <w:p w14:paraId="453E591E">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现场踏勘</w:t>
            </w:r>
          </w:p>
        </w:tc>
        <w:tc>
          <w:tcPr>
            <w:tcW w:w="3619" w:type="pct"/>
          </w:tcPr>
          <w:p w14:paraId="03EDA9B2">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5</w:t>
            </w:r>
          </w:p>
        </w:tc>
        <w:tc>
          <w:tcPr>
            <w:tcW w:w="997" w:type="pct"/>
            <w:vAlign w:val="center"/>
          </w:tcPr>
          <w:p w14:paraId="763B5D57">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投标有效期</w:t>
            </w:r>
          </w:p>
        </w:tc>
        <w:tc>
          <w:tcPr>
            <w:tcW w:w="3619" w:type="pct"/>
          </w:tcPr>
          <w:p w14:paraId="5E78C339">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从提交投标文件的截止之日起90日历天。</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6</w:t>
            </w:r>
          </w:p>
        </w:tc>
        <w:tc>
          <w:tcPr>
            <w:tcW w:w="997" w:type="pct"/>
            <w:vAlign w:val="center"/>
          </w:tcPr>
          <w:p w14:paraId="481D515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投标保证金</w:t>
            </w:r>
          </w:p>
        </w:tc>
        <w:tc>
          <w:tcPr>
            <w:tcW w:w="3619" w:type="pct"/>
          </w:tcPr>
          <w:p w14:paraId="0BDB161A">
            <w:pPr>
              <w:widowControl/>
              <w:jc w:val="left"/>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本项目不收取投标保证金</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7</w:t>
            </w:r>
          </w:p>
        </w:tc>
        <w:tc>
          <w:tcPr>
            <w:tcW w:w="997" w:type="pct"/>
            <w:vAlign w:val="center"/>
          </w:tcPr>
          <w:p w14:paraId="72063B79">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投标文件要求</w:t>
            </w:r>
          </w:p>
        </w:tc>
        <w:tc>
          <w:tcPr>
            <w:tcW w:w="3619" w:type="pct"/>
          </w:tcPr>
          <w:p w14:paraId="7424858B">
            <w:pPr>
              <w:widowControl/>
              <w:jc w:val="left"/>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一、电子投标文件：</w:t>
            </w:r>
          </w:p>
          <w:p w14:paraId="3DE569D8">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电子投标文件U盘(或光盘)</w:t>
            </w:r>
            <w:r>
              <w:rPr>
                <w:rFonts w:hint="eastAsia" w:ascii="宋体" w:hAnsi="宋体" w:eastAsia="宋体" w:cs="宋体"/>
                <w:color w:val="auto"/>
                <w:kern w:val="0"/>
                <w:szCs w:val="21"/>
              </w:rPr>
              <w:t>1</w:t>
            </w:r>
            <w:r>
              <w:rPr>
                <w:rFonts w:hint="eastAsia" w:ascii="宋体" w:hAnsi="宋体" w:eastAsia="宋体" w:cs="宋体"/>
                <w:color w:val="auto"/>
                <w:kern w:val="0"/>
                <w:szCs w:val="21"/>
                <w:lang w:eastAsia="zh-Hans"/>
              </w:rPr>
              <w:t>份。</w:t>
            </w:r>
          </w:p>
          <w:p w14:paraId="722E9ECD">
            <w:pPr>
              <w:widowControl/>
              <w:jc w:val="left"/>
              <w:rPr>
                <w:rFonts w:hint="eastAsia" w:ascii="宋体" w:hAnsi="宋体" w:eastAsia="宋体" w:cs="宋体"/>
                <w:color w:val="auto"/>
                <w:kern w:val="0"/>
                <w:szCs w:val="21"/>
              </w:rPr>
            </w:pPr>
            <w:r>
              <w:rPr>
                <w:rFonts w:hint="eastAsia" w:ascii="宋体" w:hAnsi="宋体" w:eastAsia="宋体" w:cs="宋体"/>
                <w:b/>
                <w:color w:val="auto"/>
                <w:kern w:val="0"/>
                <w:szCs w:val="21"/>
                <w:lang w:eastAsia="zh-Hans"/>
              </w:rPr>
              <w:t>二、投标文件：</w:t>
            </w:r>
          </w:p>
          <w:p w14:paraId="0E437443">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投标文件正本</w:t>
            </w:r>
            <w:r>
              <w:rPr>
                <w:rFonts w:hint="eastAsia" w:ascii="宋体" w:hAnsi="宋体" w:eastAsia="宋体" w:cs="宋体"/>
                <w:color w:val="auto"/>
                <w:kern w:val="0"/>
                <w:szCs w:val="21"/>
              </w:rPr>
              <w:t>1</w:t>
            </w:r>
            <w:r>
              <w:rPr>
                <w:rFonts w:hint="eastAsia" w:ascii="宋体" w:hAnsi="宋体" w:eastAsia="宋体" w:cs="宋体"/>
                <w:color w:val="auto"/>
                <w:kern w:val="0"/>
                <w:szCs w:val="21"/>
                <w:lang w:eastAsia="zh-Hans"/>
              </w:rPr>
              <w:t>份，投标文件副本</w:t>
            </w:r>
            <w:r>
              <w:rPr>
                <w:rFonts w:hint="eastAsia" w:ascii="宋体" w:hAnsi="宋体" w:eastAsia="宋体" w:cs="宋体"/>
                <w:color w:val="auto"/>
                <w:kern w:val="0"/>
                <w:szCs w:val="21"/>
              </w:rPr>
              <w:t>5</w:t>
            </w:r>
            <w:r>
              <w:rPr>
                <w:rFonts w:hint="eastAsia" w:ascii="宋体" w:hAnsi="宋体" w:eastAsia="宋体" w:cs="宋体"/>
                <w:color w:val="auto"/>
                <w:kern w:val="0"/>
                <w:szCs w:val="21"/>
                <w:lang w:eastAsia="zh-Hans"/>
              </w:rPr>
              <w:t>份。</w:t>
            </w:r>
          </w:p>
          <w:p w14:paraId="592934D7">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（递交的投标文件需密封完好，每套投标文件须清楚地标明“正本”或“副本”。若副本与正本不符，以正本为准。）</w:t>
            </w:r>
          </w:p>
          <w:p w14:paraId="727708AC">
            <w:pPr>
              <w:widowControl/>
              <w:jc w:val="left"/>
              <w:rPr>
                <w:rFonts w:hint="eastAsia" w:ascii="宋体" w:hAnsi="宋体" w:eastAsia="宋体" w:cs="宋体"/>
                <w:b/>
                <w:bCs/>
                <w:color w:val="auto"/>
                <w:kern w:val="0"/>
                <w:szCs w:val="21"/>
              </w:rPr>
            </w:pPr>
            <w:r>
              <w:rPr>
                <w:rFonts w:hint="eastAsia" w:ascii="宋体" w:hAnsi="宋体" w:eastAsia="宋体" w:cs="宋体"/>
                <w:b/>
                <w:bCs/>
                <w:color w:val="auto"/>
                <w:kern w:val="0"/>
                <w:szCs w:val="21"/>
              </w:rPr>
              <w:t>三、唱标信封：</w:t>
            </w:r>
          </w:p>
          <w:p w14:paraId="251A53DE">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8</w:t>
            </w:r>
          </w:p>
        </w:tc>
        <w:tc>
          <w:tcPr>
            <w:tcW w:w="997" w:type="pct"/>
            <w:vAlign w:val="center"/>
          </w:tcPr>
          <w:p w14:paraId="25244CA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中标候选供应商推荐家数</w:t>
            </w:r>
          </w:p>
        </w:tc>
        <w:tc>
          <w:tcPr>
            <w:tcW w:w="3619" w:type="pct"/>
            <w:vAlign w:val="center"/>
          </w:tcPr>
          <w:p w14:paraId="7C9E2491">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val="en-US" w:eastAsia="zh-CN"/>
              </w:rPr>
              <w:t>3</w:t>
            </w:r>
            <w:r>
              <w:rPr>
                <w:rFonts w:hint="eastAsia" w:ascii="宋体" w:hAnsi="宋体" w:eastAsia="宋体" w:cs="宋体"/>
                <w:color w:val="auto"/>
                <w:kern w:val="0"/>
                <w:szCs w:val="21"/>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9</w:t>
            </w:r>
          </w:p>
        </w:tc>
        <w:tc>
          <w:tcPr>
            <w:tcW w:w="997" w:type="pct"/>
            <w:vAlign w:val="center"/>
          </w:tcPr>
          <w:p w14:paraId="6B51D0D0">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中标供应商数量</w:t>
            </w:r>
          </w:p>
        </w:tc>
        <w:tc>
          <w:tcPr>
            <w:tcW w:w="3619" w:type="pct"/>
            <w:vAlign w:val="center"/>
          </w:tcPr>
          <w:p w14:paraId="3CC4AD61">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10</w:t>
            </w:r>
          </w:p>
        </w:tc>
        <w:tc>
          <w:tcPr>
            <w:tcW w:w="997" w:type="pct"/>
            <w:vAlign w:val="center"/>
          </w:tcPr>
          <w:p w14:paraId="204C4964">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有效供应商家数</w:t>
            </w:r>
          </w:p>
        </w:tc>
        <w:tc>
          <w:tcPr>
            <w:tcW w:w="3619" w:type="pct"/>
            <w:vAlign w:val="center"/>
          </w:tcPr>
          <w:p w14:paraId="29A83F12">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3家</w:t>
            </w:r>
          </w:p>
          <w:p w14:paraId="36886E4B">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11</w:t>
            </w:r>
          </w:p>
        </w:tc>
        <w:tc>
          <w:tcPr>
            <w:tcW w:w="997" w:type="pct"/>
            <w:vAlign w:val="center"/>
          </w:tcPr>
          <w:p w14:paraId="0269D287">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中标供应商确定方式</w:t>
            </w:r>
          </w:p>
        </w:tc>
        <w:tc>
          <w:tcPr>
            <w:tcW w:w="3619" w:type="pct"/>
            <w:vAlign w:val="center"/>
          </w:tcPr>
          <w:p w14:paraId="30BE4449">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84" w:type="pct"/>
            <w:vAlign w:val="center"/>
          </w:tcPr>
          <w:p w14:paraId="70532622">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12</w:t>
            </w:r>
          </w:p>
        </w:tc>
        <w:tc>
          <w:tcPr>
            <w:tcW w:w="997" w:type="pct"/>
            <w:vAlign w:val="center"/>
          </w:tcPr>
          <w:p w14:paraId="40EAE654">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代理服务费</w:t>
            </w:r>
          </w:p>
        </w:tc>
        <w:tc>
          <w:tcPr>
            <w:tcW w:w="3619" w:type="pct"/>
            <w:vAlign w:val="center"/>
          </w:tcPr>
          <w:p w14:paraId="39992AB2">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收取。采购机构代理</w:t>
            </w:r>
            <w:r>
              <w:rPr>
                <w:rFonts w:hint="eastAsia" w:ascii="宋体" w:hAnsi="宋体" w:eastAsia="宋体" w:cs="宋体"/>
                <w:color w:val="auto"/>
                <w:kern w:val="0"/>
                <w:szCs w:val="21"/>
                <w:lang w:val="en-US" w:eastAsia="zh-CN"/>
              </w:rPr>
              <w:t>向中标供应商定额收取</w:t>
            </w:r>
            <w:r>
              <w:rPr>
                <w:rFonts w:hint="eastAsia" w:ascii="宋体" w:hAnsi="宋体" w:eastAsia="宋体" w:cs="宋体"/>
                <w:color w:val="auto"/>
                <w:kern w:val="0"/>
                <w:szCs w:val="21"/>
                <w:lang w:eastAsia="zh-Hans"/>
              </w:rPr>
              <w:t>代理服务费</w:t>
            </w:r>
            <w:r>
              <w:rPr>
                <w:rFonts w:hint="eastAsia" w:ascii="宋体" w:hAnsi="宋体" w:eastAsia="宋体" w:cs="宋体"/>
                <w:color w:val="auto"/>
                <w:kern w:val="0"/>
                <w:szCs w:val="21"/>
                <w:lang w:val="en-US" w:eastAsia="zh-CN"/>
              </w:rPr>
              <w:t>¥6,000.00元</w:t>
            </w:r>
            <w:r>
              <w:rPr>
                <w:rFonts w:hint="eastAsia" w:ascii="宋体" w:hAnsi="宋体" w:eastAsia="宋体" w:cs="宋体"/>
                <w:color w:val="auto"/>
                <w:kern w:val="0"/>
                <w:szCs w:val="21"/>
                <w:lang w:eastAsia="zh-Hans"/>
              </w:rPr>
              <w:t>。</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13</w:t>
            </w:r>
          </w:p>
        </w:tc>
        <w:tc>
          <w:tcPr>
            <w:tcW w:w="997" w:type="pct"/>
            <w:vAlign w:val="center"/>
          </w:tcPr>
          <w:p w14:paraId="6174E5BF">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代理服务费收取方式</w:t>
            </w:r>
          </w:p>
        </w:tc>
        <w:tc>
          <w:tcPr>
            <w:tcW w:w="3619" w:type="pct"/>
            <w:vAlign w:val="center"/>
          </w:tcPr>
          <w:p w14:paraId="5C9EABB9">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384" w:type="pct"/>
            <w:vAlign w:val="center"/>
          </w:tcPr>
          <w:p w14:paraId="6C2CC520">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14</w:t>
            </w:r>
          </w:p>
        </w:tc>
        <w:tc>
          <w:tcPr>
            <w:tcW w:w="997" w:type="pct"/>
            <w:vAlign w:val="center"/>
          </w:tcPr>
          <w:p w14:paraId="0C935ACF">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履约担保</w:t>
            </w:r>
          </w:p>
        </w:tc>
        <w:tc>
          <w:tcPr>
            <w:tcW w:w="3619" w:type="pct"/>
            <w:vAlign w:val="center"/>
          </w:tcPr>
          <w:p w14:paraId="0C0F662F">
            <w:pP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本项目不收取履约担保</w:t>
            </w:r>
          </w:p>
        </w:tc>
      </w:tr>
      <w:bookmarkEnd w:id="11"/>
    </w:tbl>
    <w:p w14:paraId="5685938B">
      <w:pPr>
        <w:pStyle w:val="27"/>
        <w:keepLines/>
        <w:numPr>
          <w:ilvl w:val="0"/>
          <w:numId w:val="21"/>
        </w:numPr>
        <w:spacing w:before="217" w:beforeLines="50"/>
        <w:ind w:left="442" w:hanging="442" w:firstLineChars="0"/>
        <w:jc w:val="left"/>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Cs w:val="21"/>
          <w:lang w:eastAsia="zh-Hans"/>
        </w:rPr>
        <w:t>说明</w:t>
      </w:r>
    </w:p>
    <w:p w14:paraId="5D7A1E2D">
      <w:pPr>
        <w:pStyle w:val="27"/>
        <w:widowControl/>
        <w:numPr>
          <w:ilvl w:val="3"/>
          <w:numId w:val="23"/>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总则</w:t>
      </w:r>
    </w:p>
    <w:p w14:paraId="30E486A8">
      <w:pPr>
        <w:widowControl/>
        <w:ind w:firstLine="48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采购人、采购代理机构及投标人进行的本次采购活动参考《中华人民共和国政府采购法》及其配套的法规、规章、政策。</w:t>
      </w:r>
    </w:p>
    <w:p w14:paraId="4A0E9A7F">
      <w:pPr>
        <w:widowControl/>
        <w:ind w:firstLine="48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本次公开招标项目，是以招标公告的方式邀请非特定的投标人参加投标。</w:t>
      </w:r>
    </w:p>
    <w:p w14:paraId="03789974">
      <w:pPr>
        <w:pStyle w:val="27"/>
        <w:widowControl/>
        <w:numPr>
          <w:ilvl w:val="3"/>
          <w:numId w:val="23"/>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适用范围</w:t>
      </w:r>
    </w:p>
    <w:p w14:paraId="44A3B495">
      <w:pPr>
        <w:widowControl/>
        <w:ind w:firstLine="48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本招标文件仅适用于本次招标公告中所涉及的项目和内容。</w:t>
      </w:r>
    </w:p>
    <w:p w14:paraId="57538FDE">
      <w:pPr>
        <w:pStyle w:val="27"/>
        <w:widowControl/>
        <w:numPr>
          <w:ilvl w:val="3"/>
          <w:numId w:val="23"/>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进口产品</w:t>
      </w:r>
    </w:p>
    <w:p w14:paraId="3BC32C63">
      <w:pPr>
        <w:widowControl/>
        <w:ind w:firstLine="420" w:firstLineChars="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若本项目允许采购进口产品，供应商应保证所投产品可履行合法报通关手续进入中国关境内。</w:t>
      </w:r>
    </w:p>
    <w:p w14:paraId="498AABA7">
      <w:pPr>
        <w:widowControl/>
        <w:ind w:firstLine="420" w:firstLineChars="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若本项目不允许采购进口产品，如供应商所投产品为进口产品，其响应将被认定为响应无效。</w:t>
      </w:r>
    </w:p>
    <w:p w14:paraId="67E80FC4">
      <w:pPr>
        <w:pStyle w:val="27"/>
        <w:widowControl/>
        <w:numPr>
          <w:ilvl w:val="3"/>
          <w:numId w:val="23"/>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投标的费用</w:t>
      </w:r>
    </w:p>
    <w:p w14:paraId="4CB1B3D6">
      <w:pPr>
        <w:widowControl/>
        <w:ind w:firstLine="48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不论投标结果如何，投标人应承担所有与准备和参加投标有关的费用。采购代理机构和采购人均无义务和责任承担相关费用。</w:t>
      </w:r>
    </w:p>
    <w:p w14:paraId="584CE638">
      <w:pPr>
        <w:pStyle w:val="27"/>
        <w:widowControl/>
        <w:numPr>
          <w:ilvl w:val="3"/>
          <w:numId w:val="23"/>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以联合体形式投标的，应符合以下规定：</w:t>
      </w:r>
    </w:p>
    <w:p w14:paraId="4F4BC43C">
      <w:pPr>
        <w:pStyle w:val="27"/>
        <w:widowControl/>
        <w:numPr>
          <w:ilvl w:val="0"/>
          <w:numId w:val="24"/>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联合体各方均应当满足《中华人民共和国政府采购法》第二十二条规定的条件，并在投标文件中提供联合体各方的相关证明材料。</w:t>
      </w:r>
    </w:p>
    <w:p w14:paraId="450E482B">
      <w:pPr>
        <w:pStyle w:val="27"/>
        <w:widowControl/>
        <w:numPr>
          <w:ilvl w:val="0"/>
          <w:numId w:val="24"/>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7"/>
        <w:widowControl/>
        <w:numPr>
          <w:ilvl w:val="0"/>
          <w:numId w:val="24"/>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对于需交投标保证金的，以牵头方名义缴纳。</w:t>
      </w:r>
    </w:p>
    <w:p w14:paraId="3220C318">
      <w:pPr>
        <w:pStyle w:val="27"/>
        <w:widowControl/>
        <w:numPr>
          <w:ilvl w:val="0"/>
          <w:numId w:val="24"/>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联合体成员存在不良信用记录的，视同联合体存在不良信用记录。</w:t>
      </w:r>
    </w:p>
    <w:p w14:paraId="12F91C66">
      <w:pPr>
        <w:pStyle w:val="27"/>
        <w:widowControl/>
        <w:numPr>
          <w:ilvl w:val="0"/>
          <w:numId w:val="24"/>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7"/>
        <w:widowControl/>
        <w:numPr>
          <w:ilvl w:val="0"/>
          <w:numId w:val="24"/>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联合体各方应当共同与采购人签订采购合同，就合同约定的事项对采购人承担连带责任。</w:t>
      </w:r>
    </w:p>
    <w:p w14:paraId="7A114DF7">
      <w:pPr>
        <w:pStyle w:val="27"/>
        <w:widowControl/>
        <w:numPr>
          <w:ilvl w:val="3"/>
          <w:numId w:val="23"/>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关联企业投标说明</w:t>
      </w:r>
    </w:p>
    <w:p w14:paraId="48228F9A">
      <w:pPr>
        <w:pStyle w:val="27"/>
        <w:widowControl/>
        <w:numPr>
          <w:ilvl w:val="0"/>
          <w:numId w:val="25"/>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7"/>
        <w:widowControl/>
        <w:numPr>
          <w:ilvl w:val="0"/>
          <w:numId w:val="25"/>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7"/>
        <w:widowControl/>
        <w:numPr>
          <w:ilvl w:val="3"/>
          <w:numId w:val="23"/>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关于中小微企业投标</w:t>
      </w:r>
    </w:p>
    <w:p w14:paraId="051325A6">
      <w:pPr>
        <w:widowControl/>
        <w:ind w:firstLine="48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小微企业响应是指在政府采购活动中，供应商提供的货物均由中小微企业制造、工程均由中小微企业承建或者服务均由中小微企业承接，并在投标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4A97F199">
      <w:pPr>
        <w:widowControl/>
        <w:ind w:firstLine="48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58611E5">
      <w:pPr>
        <w:pStyle w:val="27"/>
        <w:widowControl/>
        <w:numPr>
          <w:ilvl w:val="3"/>
          <w:numId w:val="23"/>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纪律与保密事项</w:t>
      </w:r>
    </w:p>
    <w:p w14:paraId="48F6C3D4">
      <w:pPr>
        <w:pStyle w:val="27"/>
        <w:widowControl/>
        <w:numPr>
          <w:ilvl w:val="0"/>
          <w:numId w:val="26"/>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7"/>
        <w:widowControl/>
        <w:numPr>
          <w:ilvl w:val="0"/>
          <w:numId w:val="26"/>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在确定中标供应商之前，投标人不得与采购人就投标价格、投标方案等实质性内容进行谈判，也不得私下接触评标委员会成员。</w:t>
      </w:r>
    </w:p>
    <w:p w14:paraId="5CEE174B">
      <w:pPr>
        <w:pStyle w:val="27"/>
        <w:widowControl/>
        <w:numPr>
          <w:ilvl w:val="3"/>
          <w:numId w:val="23"/>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语言文字以及度量衡单位</w:t>
      </w:r>
    </w:p>
    <w:p w14:paraId="62EC4C2E">
      <w:pPr>
        <w:pStyle w:val="27"/>
        <w:widowControl/>
        <w:numPr>
          <w:ilvl w:val="0"/>
          <w:numId w:val="27"/>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7"/>
        <w:widowControl/>
        <w:numPr>
          <w:ilvl w:val="0"/>
          <w:numId w:val="27"/>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7"/>
        <w:widowControl/>
        <w:numPr>
          <w:ilvl w:val="0"/>
          <w:numId w:val="27"/>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投标人所提供的货物和服务均应以人民币报价，货币单位：元。</w:t>
      </w:r>
    </w:p>
    <w:p w14:paraId="12B6F9B4">
      <w:pPr>
        <w:pStyle w:val="27"/>
        <w:widowControl/>
        <w:numPr>
          <w:ilvl w:val="3"/>
          <w:numId w:val="23"/>
        </w:numPr>
        <w:ind w:left="284" w:hanging="284" w:firstLineChars="0"/>
        <w:jc w:val="left"/>
        <w:outlineLvl w:val="3"/>
        <w:rPr>
          <w:rFonts w:hint="eastAsia" w:ascii="宋体" w:hAnsi="宋体" w:eastAsia="宋体" w:cs="宋体"/>
          <w:b/>
          <w:color w:val="auto"/>
          <w:kern w:val="0"/>
          <w:szCs w:val="21"/>
          <w:lang w:eastAsia="zh-Hans"/>
        </w:rPr>
      </w:pPr>
      <w:r>
        <w:rPr>
          <w:rFonts w:hint="eastAsia" w:ascii="宋体" w:hAnsi="宋体" w:eastAsia="宋体" w:cs="宋体"/>
          <w:b/>
          <w:color w:val="auto"/>
          <w:kern w:val="0"/>
          <w:szCs w:val="21"/>
          <w:lang w:eastAsia="zh-Hans"/>
        </w:rPr>
        <w:t>现场踏勘（如有）</w:t>
      </w:r>
    </w:p>
    <w:p w14:paraId="6B7921E8">
      <w:pPr>
        <w:pStyle w:val="27"/>
        <w:widowControl/>
        <w:numPr>
          <w:ilvl w:val="0"/>
          <w:numId w:val="28"/>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招标文件规定组织踏勘现场的，采购人按招标文件规定的时间、地点组织投标人踏勘项目现场。</w:t>
      </w:r>
    </w:p>
    <w:p w14:paraId="3FC0313F">
      <w:pPr>
        <w:pStyle w:val="27"/>
        <w:widowControl/>
        <w:numPr>
          <w:ilvl w:val="0"/>
          <w:numId w:val="28"/>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投标人自行承担踏勘现场发生的责任、风险和自身费用。</w:t>
      </w:r>
    </w:p>
    <w:p w14:paraId="2394A03C">
      <w:pPr>
        <w:pStyle w:val="27"/>
        <w:widowControl/>
        <w:numPr>
          <w:ilvl w:val="0"/>
          <w:numId w:val="28"/>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采购人在踏勘现场中介绍的资料和数据等，只是为了使投标人能够利用招标人现有的资料。招标人对投标人由此而作出的推论、解释和结论概不负责。</w:t>
      </w:r>
    </w:p>
    <w:p w14:paraId="17D3F158">
      <w:pPr>
        <w:pStyle w:val="27"/>
        <w:widowControl/>
        <w:numPr>
          <w:ilvl w:val="0"/>
          <w:numId w:val="21"/>
        </w:numPr>
        <w:spacing w:before="217" w:beforeLines="50"/>
        <w:ind w:left="442" w:hanging="442"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招标文件的澄清和修改</w:t>
      </w:r>
    </w:p>
    <w:p w14:paraId="230598D3">
      <w:pPr>
        <w:pStyle w:val="27"/>
        <w:widowControl/>
        <w:numPr>
          <w:ilvl w:val="0"/>
          <w:numId w:val="29"/>
        </w:numPr>
        <w:ind w:firstLineChars="0"/>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7"/>
        <w:widowControl/>
        <w:numPr>
          <w:ilvl w:val="0"/>
          <w:numId w:val="29"/>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7"/>
        <w:widowControl/>
        <w:numPr>
          <w:ilvl w:val="0"/>
          <w:numId w:val="29"/>
        </w:numPr>
        <w:ind w:firstLineChars="0"/>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hint="eastAsia" w:ascii="宋体" w:hAnsi="宋体" w:eastAsia="宋体" w:cs="宋体"/>
          <w:color w:val="auto"/>
          <w:kern w:val="0"/>
          <w:sz w:val="20"/>
          <w:szCs w:val="20"/>
          <w:lang w:eastAsia="zh-Hans"/>
        </w:rPr>
        <w:t>人。</w:t>
      </w:r>
    </w:p>
    <w:p w14:paraId="08AFF6C5">
      <w:pPr>
        <w:pStyle w:val="27"/>
        <w:widowControl/>
        <w:numPr>
          <w:ilvl w:val="0"/>
          <w:numId w:val="21"/>
        </w:numPr>
        <w:spacing w:before="217" w:beforeLines="50"/>
        <w:ind w:left="442" w:hanging="442" w:firstLineChars="0"/>
        <w:jc w:val="left"/>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Cs w:val="21"/>
          <w:lang w:eastAsia="zh-Hans"/>
        </w:rPr>
        <w:t>投标要求</w:t>
      </w:r>
    </w:p>
    <w:p w14:paraId="197AA2EC">
      <w:pPr>
        <w:pStyle w:val="27"/>
        <w:widowControl/>
        <w:numPr>
          <w:ilvl w:val="0"/>
          <w:numId w:val="30"/>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投标文件的制作</w:t>
      </w:r>
    </w:p>
    <w:p w14:paraId="50E51ECF">
      <w:pPr>
        <w:pStyle w:val="27"/>
        <w:widowControl/>
        <w:numPr>
          <w:ilvl w:val="0"/>
          <w:numId w:val="31"/>
        </w:numPr>
        <w:ind w:left="567" w:hanging="567"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DB8A8D7">
      <w:pPr>
        <w:pStyle w:val="27"/>
        <w:widowControl/>
        <w:numPr>
          <w:ilvl w:val="0"/>
          <w:numId w:val="31"/>
        </w:numPr>
        <w:ind w:left="567" w:hanging="567"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投标报价包括本项目采购需求和投入使用的所有费用，包括但不限于主件、标准附件、备品备件、施工、服务、专用工具、安装、调试、检验、培训、运输、保险、税款等。</w:t>
      </w:r>
    </w:p>
    <w:p w14:paraId="129BC949">
      <w:pPr>
        <w:pStyle w:val="27"/>
        <w:widowControl/>
        <w:numPr>
          <w:ilvl w:val="0"/>
          <w:numId w:val="31"/>
        </w:numPr>
        <w:ind w:left="567" w:hanging="567"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如有对多个采购包投标的，要对每个采购包独立制作投标文件。</w:t>
      </w:r>
    </w:p>
    <w:p w14:paraId="4B4BD946">
      <w:pPr>
        <w:pStyle w:val="27"/>
        <w:widowControl/>
        <w:numPr>
          <w:ilvl w:val="0"/>
          <w:numId w:val="31"/>
        </w:numPr>
        <w:ind w:left="567" w:hanging="567"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招标文件中，凡标有“★”的地方均为实质性响应条款，投标人若有一项带“★”的条款未响应或不满足，将按无效投标处理。</w:t>
      </w:r>
    </w:p>
    <w:p w14:paraId="18C2CE35">
      <w:pPr>
        <w:pStyle w:val="27"/>
        <w:widowControl/>
        <w:numPr>
          <w:ilvl w:val="0"/>
          <w:numId w:val="31"/>
        </w:numPr>
        <w:ind w:left="567" w:hanging="567"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7"/>
        <w:widowControl/>
        <w:numPr>
          <w:ilvl w:val="0"/>
          <w:numId w:val="31"/>
        </w:numPr>
        <w:ind w:left="567" w:hanging="567"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7"/>
        <w:widowControl/>
        <w:numPr>
          <w:ilvl w:val="0"/>
          <w:numId w:val="31"/>
        </w:numPr>
        <w:tabs>
          <w:tab w:val="left" w:pos="709"/>
        </w:tabs>
        <w:ind w:left="567" w:hanging="567" w:firstLineChars="0"/>
        <w:jc w:val="left"/>
        <w:rPr>
          <w:rFonts w:hint="eastAsia" w:ascii="宋体" w:hAnsi="宋体" w:eastAsia="宋体" w:cs="宋体"/>
          <w:color w:val="auto"/>
          <w:kern w:val="0"/>
          <w:szCs w:val="21"/>
          <w:shd w:val="clear" w:color="auto" w:fill="FFC000"/>
          <w:lang w:eastAsia="zh-Hans"/>
        </w:rPr>
      </w:pPr>
      <w:r>
        <w:rPr>
          <w:rFonts w:hint="eastAsia" w:ascii="宋体" w:hAnsi="宋体" w:eastAsia="宋体" w:cs="宋体"/>
          <w:color w:val="auto"/>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宋体"/>
          <w:color w:val="auto"/>
          <w:kern w:val="0"/>
          <w:szCs w:val="21"/>
          <w:lang w:val="en-US" w:eastAsia="zh-CN"/>
        </w:rPr>
        <w:t>采购人有关</w:t>
      </w:r>
      <w:r>
        <w:rPr>
          <w:rFonts w:hint="eastAsia" w:ascii="宋体" w:hAnsi="宋体" w:eastAsia="宋体" w:cs="宋体"/>
          <w:color w:val="auto"/>
          <w:kern w:val="0"/>
          <w:szCs w:val="21"/>
          <w:lang w:eastAsia="zh-Hans"/>
        </w:rPr>
        <w:t>部门。</w:t>
      </w:r>
    </w:p>
    <w:p w14:paraId="204880C2">
      <w:pPr>
        <w:pStyle w:val="27"/>
        <w:widowControl/>
        <w:numPr>
          <w:ilvl w:val="0"/>
          <w:numId w:val="30"/>
        </w:numPr>
        <w:ind w:left="284" w:hanging="284" w:firstLineChars="0"/>
        <w:jc w:val="left"/>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Cs w:val="21"/>
          <w:lang w:eastAsia="zh-Hans"/>
        </w:rPr>
        <w:t>投标文件的式样和签署</w:t>
      </w:r>
    </w:p>
    <w:p w14:paraId="089CD0AB">
      <w:pPr>
        <w:pStyle w:val="27"/>
        <w:widowControl/>
        <w:numPr>
          <w:ilvl w:val="0"/>
          <w:numId w:val="32"/>
        </w:numPr>
        <w:ind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投标文件的式样：投标人应准备一份投标文件正本、电子投标文件、唱标信封和</w:t>
      </w:r>
      <w:r>
        <w:rPr>
          <w:rFonts w:hint="eastAsia" w:ascii="宋体" w:hAnsi="宋体" w:eastAsia="宋体" w:cs="宋体"/>
          <w:b/>
          <w:bCs/>
          <w:color w:val="auto"/>
          <w:kern w:val="0"/>
          <w:szCs w:val="21"/>
          <w:u w:val="single"/>
          <w:lang w:eastAsia="zh-Hans"/>
        </w:rPr>
        <w:t>详见须知前附表</w:t>
      </w:r>
      <w:r>
        <w:rPr>
          <w:rFonts w:hint="eastAsia" w:ascii="宋体" w:hAnsi="宋体" w:eastAsia="宋体" w:cs="宋体"/>
          <w:color w:val="auto"/>
          <w:kern w:val="0"/>
          <w:szCs w:val="21"/>
          <w:lang w:eastAsia="zh-Hans"/>
        </w:rPr>
        <w:t>中规定数目的副本，投标文件的副本可采用正本的复印件。每套投标文件须清楚地标明“正本”或“副本”。若副本与正本不符，以正本为准。</w:t>
      </w:r>
    </w:p>
    <w:p w14:paraId="787AF337">
      <w:pPr>
        <w:pStyle w:val="27"/>
        <w:widowControl/>
        <w:numPr>
          <w:ilvl w:val="0"/>
          <w:numId w:val="32"/>
        </w:numPr>
        <w:ind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投标文件的签署：</w:t>
      </w:r>
    </w:p>
    <w:p w14:paraId="0129EC5D">
      <w:pPr>
        <w:pStyle w:val="27"/>
        <w:widowControl/>
        <w:numPr>
          <w:ilvl w:val="0"/>
          <w:numId w:val="33"/>
        </w:numPr>
        <w:ind w:left="567" w:hanging="567"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7"/>
        <w:widowControl/>
        <w:numPr>
          <w:ilvl w:val="0"/>
          <w:numId w:val="33"/>
        </w:numPr>
        <w:ind w:left="567" w:hanging="567"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投标文件中的任何重要的插字、涂改和增删，必须由法定代表人或经其正式授权的代表在旁边签署</w:t>
      </w:r>
    </w:p>
    <w:p w14:paraId="6E2EE6EA">
      <w:pPr>
        <w:pStyle w:val="27"/>
        <w:widowControl/>
        <w:numPr>
          <w:ilvl w:val="0"/>
          <w:numId w:val="32"/>
        </w:numPr>
        <w:ind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投标文件的“正本”及所有“副本”的封面及骑缝均须由投标人加盖投标人公章。</w:t>
      </w:r>
    </w:p>
    <w:p w14:paraId="365508CF">
      <w:pPr>
        <w:widowControl/>
        <w:jc w:val="left"/>
        <w:outlineLvl w:val="3"/>
        <w:rPr>
          <w:rFonts w:hint="eastAsia" w:ascii="宋体" w:hAnsi="宋体" w:eastAsia="宋体" w:cs="宋体"/>
          <w:color w:val="auto"/>
          <w:kern w:val="0"/>
          <w:szCs w:val="21"/>
        </w:rPr>
      </w:pPr>
    </w:p>
    <w:p w14:paraId="3E910E9D">
      <w:pPr>
        <w:pStyle w:val="27"/>
        <w:widowControl/>
        <w:numPr>
          <w:ilvl w:val="0"/>
          <w:numId w:val="30"/>
        </w:numPr>
        <w:ind w:left="284" w:hanging="284" w:firstLineChars="0"/>
        <w:jc w:val="left"/>
        <w:outlineLvl w:val="3"/>
        <w:rPr>
          <w:rFonts w:hint="eastAsia" w:ascii="宋体" w:hAnsi="宋体" w:eastAsia="宋体" w:cs="宋体"/>
          <w:b/>
          <w:bCs/>
          <w:color w:val="auto"/>
          <w:szCs w:val="21"/>
        </w:rPr>
      </w:pPr>
      <w:r>
        <w:rPr>
          <w:rFonts w:hint="eastAsia" w:ascii="宋体" w:hAnsi="宋体" w:eastAsia="宋体" w:cs="宋体"/>
          <w:b/>
          <w:color w:val="auto"/>
          <w:kern w:val="0"/>
          <w:szCs w:val="21"/>
          <w:lang w:eastAsia="zh-Hans"/>
        </w:rPr>
        <w:t>投标文件的递交</w:t>
      </w:r>
    </w:p>
    <w:p w14:paraId="5DEA7C0B">
      <w:pPr>
        <w:pStyle w:val="27"/>
        <w:numPr>
          <w:ilvl w:val="0"/>
          <w:numId w:val="34"/>
        </w:numPr>
        <w:ind w:firstLineChars="0"/>
        <w:rPr>
          <w:rFonts w:hint="eastAsia" w:ascii="宋体" w:hAnsi="宋体" w:eastAsia="宋体" w:cs="宋体"/>
          <w:b/>
          <w:color w:val="auto"/>
          <w:szCs w:val="21"/>
        </w:rPr>
      </w:pPr>
      <w:bookmarkStart w:id="12" w:name="_Toc357676131"/>
      <w:r>
        <w:rPr>
          <w:rFonts w:hint="eastAsia" w:ascii="宋体" w:hAnsi="宋体" w:eastAsia="宋体" w:cs="宋体"/>
          <w:b/>
          <w:color w:val="auto"/>
          <w:szCs w:val="21"/>
        </w:rPr>
        <w:t>投标文件的装订、密封和标记</w:t>
      </w:r>
      <w:bookmarkEnd w:id="12"/>
    </w:p>
    <w:p w14:paraId="07A59821">
      <w:pPr>
        <w:pStyle w:val="27"/>
        <w:numPr>
          <w:ilvl w:val="0"/>
          <w:numId w:val="35"/>
        </w:numPr>
        <w:tabs>
          <w:tab w:val="left" w:pos="851"/>
        </w:tabs>
        <w:ind w:left="567" w:hanging="567" w:firstLineChars="0"/>
        <w:rPr>
          <w:rFonts w:hint="eastAsia" w:ascii="宋体" w:hAnsi="宋体" w:eastAsia="宋体" w:cs="宋体"/>
          <w:bCs/>
          <w:color w:val="auto"/>
          <w:szCs w:val="21"/>
        </w:rPr>
      </w:pPr>
      <w:r>
        <w:rPr>
          <w:rFonts w:hint="eastAsia" w:ascii="宋体" w:hAnsi="宋体" w:eastAsia="宋体" w:cs="宋体"/>
          <w:bCs/>
          <w:color w:val="auto"/>
          <w:szCs w:val="21"/>
        </w:rPr>
        <w:t>投标人应当对投标文件进行装订（所有文件均不允许采用活动夹方式装订），如投标人对招标文件多个包组进行投标的，其投标文件的编制应按每个包的要求分别装订和封装。</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1413" w:type="pct"/>
            <w:vAlign w:val="center"/>
          </w:tcPr>
          <w:p w14:paraId="36D22BF8">
            <w:pPr>
              <w:jc w:val="center"/>
              <w:rPr>
                <w:rFonts w:hint="eastAsia" w:ascii="宋体" w:hAnsi="宋体" w:eastAsia="宋体" w:cs="宋体"/>
                <w:b/>
                <w:color w:val="auto"/>
                <w:szCs w:val="21"/>
              </w:rPr>
            </w:pPr>
            <w:r>
              <w:rPr>
                <w:rFonts w:hint="eastAsia" w:ascii="宋体" w:hAnsi="宋体" w:eastAsia="宋体" w:cs="宋体"/>
                <w:b/>
                <w:color w:val="auto"/>
                <w:szCs w:val="21"/>
              </w:rPr>
              <w:t>文件名称</w:t>
            </w:r>
          </w:p>
        </w:tc>
        <w:tc>
          <w:tcPr>
            <w:tcW w:w="926" w:type="pct"/>
            <w:vAlign w:val="center"/>
          </w:tcPr>
          <w:p w14:paraId="37ED881C">
            <w:pPr>
              <w:jc w:val="center"/>
              <w:rPr>
                <w:rFonts w:hint="eastAsia" w:ascii="宋体" w:hAnsi="宋体" w:eastAsia="宋体" w:cs="宋体"/>
                <w:b/>
                <w:color w:val="auto"/>
                <w:szCs w:val="21"/>
              </w:rPr>
            </w:pPr>
            <w:r>
              <w:rPr>
                <w:rFonts w:hint="eastAsia" w:ascii="宋体" w:hAnsi="宋体" w:eastAsia="宋体" w:cs="宋体"/>
                <w:b/>
                <w:color w:val="auto"/>
                <w:szCs w:val="21"/>
              </w:rPr>
              <w:t>装订</w:t>
            </w:r>
          </w:p>
        </w:tc>
        <w:tc>
          <w:tcPr>
            <w:tcW w:w="2264" w:type="pct"/>
            <w:vAlign w:val="center"/>
          </w:tcPr>
          <w:p w14:paraId="2E8B6ACC">
            <w:pPr>
              <w:jc w:val="center"/>
              <w:rPr>
                <w:rFonts w:hint="eastAsia" w:ascii="宋体" w:hAnsi="宋体" w:eastAsia="宋体" w:cs="宋体"/>
                <w:b/>
                <w:color w:val="auto"/>
                <w:szCs w:val="21"/>
              </w:rPr>
            </w:pPr>
            <w:r>
              <w:rPr>
                <w:rFonts w:hint="eastAsia" w:ascii="宋体" w:hAnsi="宋体" w:eastAsia="宋体" w:cs="宋体"/>
                <w:b/>
                <w:color w:val="auto"/>
                <w:szCs w:val="21"/>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413" w:type="pct"/>
            <w:vAlign w:val="center"/>
          </w:tcPr>
          <w:p w14:paraId="5E574EB8">
            <w:pPr>
              <w:jc w:val="center"/>
              <w:rPr>
                <w:rFonts w:hint="eastAsia" w:ascii="宋体" w:hAnsi="宋体" w:eastAsia="宋体" w:cs="宋体"/>
                <w:color w:val="auto"/>
                <w:szCs w:val="21"/>
              </w:rPr>
            </w:pPr>
            <w:r>
              <w:rPr>
                <w:rFonts w:hint="eastAsia" w:ascii="宋体" w:hAnsi="宋体" w:eastAsia="宋体" w:cs="宋体"/>
                <w:color w:val="auto"/>
                <w:szCs w:val="21"/>
              </w:rPr>
              <w:t>投标文件</w:t>
            </w:r>
          </w:p>
        </w:tc>
        <w:tc>
          <w:tcPr>
            <w:tcW w:w="926" w:type="pct"/>
            <w:vAlign w:val="center"/>
          </w:tcPr>
          <w:p w14:paraId="5673BFD6">
            <w:pPr>
              <w:jc w:val="center"/>
              <w:rPr>
                <w:rFonts w:hint="eastAsia" w:ascii="宋体" w:hAnsi="宋体" w:eastAsia="宋体" w:cs="宋体"/>
                <w:color w:val="auto"/>
                <w:szCs w:val="21"/>
              </w:rPr>
            </w:pPr>
            <w:r>
              <w:rPr>
                <w:rFonts w:hint="eastAsia" w:ascii="宋体" w:hAnsi="宋体" w:eastAsia="宋体" w:cs="宋体"/>
                <w:color w:val="auto"/>
                <w:szCs w:val="21"/>
              </w:rPr>
              <w:t>独立装订</w:t>
            </w:r>
          </w:p>
        </w:tc>
        <w:tc>
          <w:tcPr>
            <w:tcW w:w="2264" w:type="pct"/>
            <w:vAlign w:val="center"/>
          </w:tcPr>
          <w:p w14:paraId="31934A29">
            <w:pPr>
              <w:jc w:val="center"/>
              <w:rPr>
                <w:rFonts w:hint="eastAsia" w:ascii="宋体" w:hAnsi="宋体" w:eastAsia="宋体" w:cs="宋体"/>
                <w:color w:val="auto"/>
                <w:szCs w:val="21"/>
              </w:rPr>
            </w:pPr>
            <w:r>
              <w:rPr>
                <w:rFonts w:hint="eastAsia" w:ascii="宋体" w:hAnsi="宋体" w:eastAsia="宋体" w:cs="宋体"/>
                <w:color w:val="auto"/>
                <w:szCs w:val="21"/>
              </w:rPr>
              <w:t>正本、副本一起密封包装</w:t>
            </w:r>
          </w:p>
          <w:p w14:paraId="7A90E36D">
            <w:pPr>
              <w:jc w:val="center"/>
              <w:rPr>
                <w:rFonts w:hint="eastAsia" w:ascii="宋体" w:hAnsi="宋体" w:eastAsia="宋体" w:cs="宋体"/>
                <w:color w:val="auto"/>
                <w:szCs w:val="21"/>
              </w:rPr>
            </w:pPr>
            <w:r>
              <w:rPr>
                <w:rFonts w:hint="eastAsia" w:ascii="宋体" w:hAnsi="宋体" w:eastAsia="宋体" w:cs="宋体"/>
                <w:color w:val="auto"/>
                <w:szCs w:val="21"/>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413" w:type="pct"/>
            <w:vAlign w:val="center"/>
          </w:tcPr>
          <w:p w14:paraId="6C498650">
            <w:pPr>
              <w:jc w:val="center"/>
              <w:rPr>
                <w:rFonts w:hint="eastAsia" w:ascii="宋体" w:hAnsi="宋体" w:eastAsia="宋体" w:cs="宋体"/>
                <w:color w:val="auto"/>
                <w:szCs w:val="21"/>
              </w:rPr>
            </w:pPr>
            <w:r>
              <w:rPr>
                <w:rFonts w:hint="eastAsia" w:ascii="宋体" w:hAnsi="宋体" w:eastAsia="宋体" w:cs="宋体"/>
                <w:color w:val="auto"/>
                <w:szCs w:val="21"/>
              </w:rPr>
              <w:t>唱标信封</w:t>
            </w:r>
          </w:p>
        </w:tc>
        <w:tc>
          <w:tcPr>
            <w:tcW w:w="926" w:type="pct"/>
            <w:vAlign w:val="center"/>
          </w:tcPr>
          <w:p w14:paraId="5BB2893F">
            <w:pPr>
              <w:jc w:val="center"/>
              <w:rPr>
                <w:rFonts w:hint="eastAsia" w:ascii="宋体" w:hAnsi="宋体" w:eastAsia="宋体" w:cs="宋体"/>
                <w:color w:val="auto"/>
                <w:szCs w:val="21"/>
              </w:rPr>
            </w:pPr>
            <w:r>
              <w:rPr>
                <w:rFonts w:hint="eastAsia" w:ascii="宋体" w:hAnsi="宋体" w:eastAsia="宋体" w:cs="宋体"/>
                <w:color w:val="auto"/>
                <w:szCs w:val="21"/>
              </w:rPr>
              <w:t>独立装订</w:t>
            </w:r>
          </w:p>
        </w:tc>
        <w:tc>
          <w:tcPr>
            <w:tcW w:w="2264" w:type="pct"/>
            <w:vAlign w:val="center"/>
          </w:tcPr>
          <w:p w14:paraId="6B481C29">
            <w:pPr>
              <w:jc w:val="center"/>
              <w:rPr>
                <w:rFonts w:hint="eastAsia" w:ascii="宋体" w:hAnsi="宋体" w:eastAsia="宋体" w:cs="宋体"/>
                <w:color w:val="auto"/>
                <w:szCs w:val="21"/>
              </w:rPr>
            </w:pPr>
            <w:r>
              <w:rPr>
                <w:rFonts w:hint="eastAsia" w:ascii="宋体" w:hAnsi="宋体" w:eastAsia="宋体" w:cs="宋体"/>
                <w:color w:val="auto"/>
                <w:szCs w:val="21"/>
              </w:rPr>
              <w:t>单独密封包装</w:t>
            </w:r>
          </w:p>
        </w:tc>
      </w:tr>
    </w:tbl>
    <w:p w14:paraId="2473E1C4">
      <w:pPr>
        <w:pStyle w:val="27"/>
        <w:numPr>
          <w:ilvl w:val="0"/>
          <w:numId w:val="35"/>
        </w:numPr>
        <w:tabs>
          <w:tab w:val="left" w:pos="851"/>
        </w:tabs>
        <w:ind w:left="567" w:hanging="567" w:firstLineChars="0"/>
        <w:rPr>
          <w:rFonts w:hint="eastAsia" w:ascii="宋体" w:hAnsi="宋体" w:eastAsia="宋体" w:cs="宋体"/>
          <w:bCs/>
          <w:color w:val="auto"/>
          <w:szCs w:val="21"/>
        </w:rPr>
      </w:pPr>
      <w:r>
        <w:rPr>
          <w:rFonts w:hint="eastAsia" w:ascii="宋体" w:hAnsi="宋体" w:eastAsia="宋体" w:cs="宋体"/>
          <w:bCs/>
          <w:color w:val="auto"/>
          <w:szCs w:val="21"/>
        </w:rPr>
        <w:t>电子投标文件</w:t>
      </w:r>
      <w:bookmarkStart w:id="13" w:name="_Hlk86740118"/>
      <w:r>
        <w:rPr>
          <w:rFonts w:hint="eastAsia" w:ascii="宋体" w:hAnsi="宋体" w:eastAsia="宋体" w:cs="宋体"/>
          <w:bCs/>
          <w:color w:val="auto"/>
          <w:szCs w:val="21"/>
        </w:rPr>
        <w:t>须同时提交以下文件</w:t>
      </w:r>
      <w:bookmarkEnd w:id="13"/>
      <w:r>
        <w:rPr>
          <w:rFonts w:hint="eastAsia" w:ascii="宋体" w:hAnsi="宋体" w:eastAsia="宋体" w:cs="宋体"/>
          <w:bCs/>
          <w:color w:val="auto"/>
          <w:szCs w:val="21"/>
        </w:rPr>
        <w:t>：</w:t>
      </w:r>
      <w:bookmarkStart w:id="14" w:name="_Hlk86740096"/>
      <w:r>
        <w:rPr>
          <w:rFonts w:hint="eastAsia" w:ascii="宋体" w:hAnsi="宋体" w:eastAsia="宋体" w:cs="宋体"/>
          <w:bCs/>
          <w:color w:val="auto"/>
          <w:szCs w:val="21"/>
        </w:rPr>
        <w:t>①可编辑的WORD或 EXCEL 格式文件。②按招标文件要求签署、盖章后的正本投标文件扫描成PDF格式文件。电子文件由光盘或U盘储存</w:t>
      </w:r>
      <w:bookmarkEnd w:id="14"/>
      <w:r>
        <w:rPr>
          <w:rFonts w:hint="eastAsia" w:ascii="宋体" w:hAnsi="宋体" w:eastAsia="宋体" w:cs="宋体"/>
          <w:bCs/>
          <w:color w:val="auto"/>
          <w:szCs w:val="21"/>
        </w:rPr>
        <w:t>。</w:t>
      </w:r>
    </w:p>
    <w:p w14:paraId="0CA8DBE5">
      <w:pPr>
        <w:pStyle w:val="27"/>
        <w:numPr>
          <w:ilvl w:val="0"/>
          <w:numId w:val="35"/>
        </w:numPr>
        <w:tabs>
          <w:tab w:val="left" w:pos="851"/>
        </w:tabs>
        <w:ind w:left="567" w:hanging="567" w:firstLineChars="0"/>
        <w:rPr>
          <w:rFonts w:hint="eastAsia" w:ascii="宋体" w:hAnsi="宋体" w:eastAsia="宋体" w:cs="宋体"/>
          <w:bCs/>
          <w:color w:val="auto"/>
          <w:szCs w:val="21"/>
        </w:rPr>
      </w:pPr>
      <w:r>
        <w:rPr>
          <w:rFonts w:hint="eastAsia" w:ascii="宋体" w:hAnsi="宋体" w:eastAsia="宋体" w:cs="宋体"/>
          <w:bCs/>
          <w:color w:val="auto"/>
          <w:szCs w:val="21"/>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14:paraId="4508A2CD">
      <w:pPr>
        <w:pStyle w:val="27"/>
        <w:widowControl/>
        <w:numPr>
          <w:ilvl w:val="0"/>
          <w:numId w:val="30"/>
        </w:numPr>
        <w:ind w:left="284" w:hanging="284" w:firstLineChars="0"/>
        <w:jc w:val="left"/>
        <w:outlineLvl w:val="3"/>
        <w:rPr>
          <w:rFonts w:hint="eastAsia" w:ascii="宋体" w:hAnsi="宋体" w:eastAsia="宋体" w:cs="宋体"/>
          <w:b/>
          <w:color w:val="auto"/>
          <w:szCs w:val="21"/>
        </w:rPr>
      </w:pPr>
      <w:r>
        <w:rPr>
          <w:rFonts w:hint="eastAsia" w:ascii="宋体" w:hAnsi="宋体" w:eastAsia="宋体" w:cs="宋体"/>
          <w:b/>
          <w:color w:val="auto"/>
          <w:kern w:val="0"/>
          <w:szCs w:val="21"/>
          <w:lang w:eastAsia="zh-Hans"/>
        </w:rPr>
        <w:t>投标文件包装密封</w:t>
      </w:r>
    </w:p>
    <w:p w14:paraId="775A7EAB">
      <w:pPr>
        <w:pStyle w:val="27"/>
        <w:numPr>
          <w:ilvl w:val="0"/>
          <w:numId w:val="36"/>
        </w:numPr>
        <w:tabs>
          <w:tab w:val="left" w:pos="426"/>
        </w:tabs>
        <w:ind w:left="567" w:hanging="567" w:firstLineChars="0"/>
        <w:rPr>
          <w:rFonts w:hint="eastAsia" w:ascii="宋体" w:hAnsi="宋体" w:eastAsia="宋体" w:cs="宋体"/>
          <w:bCs/>
          <w:color w:val="auto"/>
          <w:szCs w:val="21"/>
        </w:rPr>
      </w:pPr>
      <w:r>
        <w:rPr>
          <w:rFonts w:hint="eastAsia" w:ascii="宋体" w:hAnsi="宋体" w:eastAsia="宋体" w:cs="宋体"/>
          <w:bCs/>
          <w:color w:val="auto"/>
          <w:szCs w:val="21"/>
        </w:rPr>
        <w:t>投标人应将投标文件密封包装；</w:t>
      </w:r>
    </w:p>
    <w:p w14:paraId="65BA4B0C">
      <w:pPr>
        <w:pStyle w:val="27"/>
        <w:numPr>
          <w:ilvl w:val="0"/>
          <w:numId w:val="36"/>
        </w:numPr>
        <w:tabs>
          <w:tab w:val="left" w:pos="426"/>
        </w:tabs>
        <w:ind w:left="567" w:hanging="567" w:firstLineChars="0"/>
        <w:rPr>
          <w:rFonts w:hint="eastAsia" w:ascii="宋体" w:hAnsi="宋体" w:eastAsia="宋体" w:cs="宋体"/>
          <w:bCs/>
          <w:color w:val="auto"/>
          <w:szCs w:val="21"/>
        </w:rPr>
      </w:pPr>
      <w:r>
        <w:rPr>
          <w:rFonts w:hint="eastAsia" w:ascii="宋体" w:hAnsi="宋体" w:eastAsia="宋体" w:cs="宋体"/>
          <w:bCs/>
          <w:color w:val="auto"/>
          <w:szCs w:val="21"/>
        </w:rPr>
        <w:t>不足以造成投标文件可从外包装内散出而导致投标文件泄密的，不认定为投标文件未密封。</w:t>
      </w:r>
    </w:p>
    <w:p w14:paraId="36DDFEFA">
      <w:pPr>
        <w:pStyle w:val="27"/>
        <w:numPr>
          <w:ilvl w:val="0"/>
          <w:numId w:val="36"/>
        </w:numPr>
        <w:tabs>
          <w:tab w:val="left" w:pos="426"/>
        </w:tabs>
        <w:ind w:left="567" w:hanging="567" w:firstLineChars="0"/>
        <w:rPr>
          <w:rFonts w:hint="eastAsia" w:ascii="宋体" w:hAnsi="宋体" w:eastAsia="宋体" w:cs="宋体"/>
          <w:bCs/>
          <w:color w:val="auto"/>
          <w:szCs w:val="21"/>
        </w:rPr>
      </w:pPr>
      <w:r>
        <w:rPr>
          <w:rFonts w:hint="eastAsia" w:ascii="宋体" w:hAnsi="宋体" w:eastAsia="宋体" w:cs="宋体"/>
          <w:bCs/>
          <w:color w:val="auto"/>
          <w:szCs w:val="21"/>
        </w:rPr>
        <w:t>包装封套均应注明：</w:t>
      </w:r>
    </w:p>
    <w:p w14:paraId="7D8B7AB5">
      <w:pPr>
        <w:pStyle w:val="27"/>
        <w:ind w:left="567" w:firstLine="0" w:firstLineChars="0"/>
        <w:rPr>
          <w:rFonts w:hint="eastAsia" w:ascii="宋体" w:hAnsi="宋体" w:eastAsia="宋体" w:cs="宋体"/>
          <w:color w:val="auto"/>
          <w:szCs w:val="21"/>
          <w:u w:val="single"/>
        </w:rPr>
      </w:pPr>
      <w:r>
        <w:rPr>
          <w:rFonts w:hint="eastAsia" w:ascii="宋体" w:hAnsi="宋体" w:eastAsia="宋体" w:cs="宋体"/>
          <w:bCs/>
          <w:color w:val="auto"/>
          <w:szCs w:val="21"/>
        </w:rPr>
        <w:t>收件人名称：</w:t>
      </w:r>
      <w:r>
        <w:rPr>
          <w:rFonts w:hint="eastAsia" w:ascii="宋体" w:hAnsi="宋体" w:eastAsia="宋体" w:cs="宋体"/>
          <w:color w:val="auto"/>
          <w:szCs w:val="21"/>
          <w:u w:val="single"/>
        </w:rPr>
        <w:t xml:space="preserve"> 广东智汇城市招标采购有限公司   </w:t>
      </w:r>
    </w:p>
    <w:p w14:paraId="6AEF734D">
      <w:pPr>
        <w:pStyle w:val="27"/>
        <w:ind w:left="567" w:firstLine="0" w:firstLineChars="0"/>
        <w:rPr>
          <w:rFonts w:hint="eastAsia" w:ascii="宋体" w:hAnsi="宋体" w:eastAsia="宋体" w:cs="宋体"/>
          <w:bCs/>
          <w:color w:val="auto"/>
          <w:szCs w:val="21"/>
        </w:rPr>
      </w:pPr>
      <w:r>
        <w:rPr>
          <w:rFonts w:hint="eastAsia" w:ascii="宋体" w:hAnsi="宋体" w:eastAsia="宋体" w:cs="宋体"/>
          <w:color w:val="auto"/>
          <w:szCs w:val="21"/>
        </w:rPr>
        <w:t>投标人名称：</w:t>
      </w:r>
      <w:r>
        <w:rPr>
          <w:rFonts w:hint="eastAsia" w:ascii="宋体" w:hAnsi="宋体" w:eastAsia="宋体" w:cs="宋体"/>
          <w:color w:val="auto"/>
          <w:szCs w:val="21"/>
          <w:u w:val="single"/>
        </w:rPr>
        <w:t xml:space="preserve">                                </w:t>
      </w:r>
    </w:p>
    <w:p w14:paraId="7F27536B">
      <w:pPr>
        <w:pStyle w:val="27"/>
        <w:ind w:left="567" w:firstLine="0" w:firstLineChars="0"/>
        <w:rPr>
          <w:rFonts w:hint="eastAsia" w:ascii="宋体" w:hAnsi="宋体" w:eastAsia="宋体" w:cs="宋体"/>
          <w:bCs/>
          <w:color w:val="auto"/>
          <w:szCs w:val="21"/>
        </w:rPr>
      </w:pPr>
      <w:r>
        <w:rPr>
          <w:rFonts w:hint="eastAsia" w:ascii="宋体" w:hAnsi="宋体" w:eastAsia="宋体" w:cs="宋体"/>
          <w:bCs/>
          <w:color w:val="auto"/>
          <w:szCs w:val="21"/>
        </w:rPr>
        <w:t>项目名称：</w:t>
      </w:r>
      <w:r>
        <w:rPr>
          <w:rFonts w:hint="eastAsia" w:ascii="宋体" w:hAnsi="宋体" w:eastAsia="宋体" w:cs="宋体"/>
          <w:bCs/>
          <w:color w:val="auto"/>
          <w:szCs w:val="21"/>
          <w:u w:val="single"/>
        </w:rPr>
        <w:t xml:space="preserve">        （详见投标邀请）          </w:t>
      </w:r>
    </w:p>
    <w:p w14:paraId="22B83937">
      <w:pPr>
        <w:pStyle w:val="27"/>
        <w:ind w:left="567" w:firstLine="0" w:firstLineChars="0"/>
        <w:rPr>
          <w:rFonts w:hint="eastAsia" w:ascii="宋体" w:hAnsi="宋体" w:eastAsia="宋体" w:cs="宋体"/>
          <w:bCs/>
          <w:color w:val="auto"/>
          <w:szCs w:val="21"/>
        </w:rPr>
      </w:pPr>
      <w:r>
        <w:rPr>
          <w:rFonts w:hint="eastAsia" w:ascii="宋体" w:hAnsi="宋体" w:eastAsia="宋体" w:cs="宋体"/>
          <w:bCs/>
          <w:color w:val="auto"/>
          <w:szCs w:val="21"/>
        </w:rPr>
        <w:t>项目编号：</w:t>
      </w:r>
      <w:r>
        <w:rPr>
          <w:rFonts w:hint="eastAsia" w:ascii="宋体" w:hAnsi="宋体" w:eastAsia="宋体" w:cs="宋体"/>
          <w:bCs/>
          <w:color w:val="auto"/>
          <w:szCs w:val="21"/>
          <w:u w:val="single"/>
        </w:rPr>
        <w:t xml:space="preserve">        （详见投标邀请）          </w:t>
      </w:r>
    </w:p>
    <w:p w14:paraId="1077CAE0">
      <w:pPr>
        <w:pStyle w:val="27"/>
        <w:ind w:left="567" w:firstLine="0" w:firstLineChars="0"/>
        <w:rPr>
          <w:rFonts w:hint="eastAsia" w:ascii="宋体" w:hAnsi="宋体" w:eastAsia="宋体" w:cs="宋体"/>
          <w:bCs/>
          <w:color w:val="auto"/>
          <w:szCs w:val="21"/>
        </w:rPr>
      </w:pPr>
      <w:r>
        <w:rPr>
          <w:rFonts w:hint="eastAsia" w:ascii="宋体" w:hAnsi="宋体" w:eastAsia="宋体" w:cs="宋体"/>
          <w:bCs/>
          <w:color w:val="auto"/>
          <w:szCs w:val="21"/>
        </w:rPr>
        <w:t>注明：“</w:t>
      </w:r>
      <w:r>
        <w:rPr>
          <w:rFonts w:hint="eastAsia" w:ascii="宋体" w:hAnsi="宋体" w:eastAsia="宋体" w:cs="宋体"/>
          <w:bCs/>
          <w:color w:val="auto"/>
          <w:szCs w:val="21"/>
          <w:u w:val="single"/>
        </w:rPr>
        <w:t xml:space="preserve">于  年  月  日北京时间  ：  </w:t>
      </w:r>
      <w:r>
        <w:rPr>
          <w:rFonts w:hint="eastAsia" w:ascii="宋体" w:hAnsi="宋体" w:eastAsia="宋体" w:cs="宋体"/>
          <w:bCs/>
          <w:color w:val="auto"/>
          <w:szCs w:val="21"/>
        </w:rPr>
        <w:t>（详见投标邀请）之前不得启封”的字样。</w:t>
      </w:r>
    </w:p>
    <w:p w14:paraId="2644F5A9">
      <w:pPr>
        <w:widowControl/>
        <w:ind w:firstLine="404" w:firstLineChars="200"/>
        <w:jc w:val="left"/>
        <w:outlineLvl w:val="3"/>
        <w:rPr>
          <w:rFonts w:hint="eastAsia" w:ascii="宋体" w:hAnsi="宋体" w:eastAsia="宋体" w:cs="宋体"/>
          <w:color w:val="auto"/>
          <w:kern w:val="0"/>
          <w:szCs w:val="21"/>
        </w:rPr>
      </w:pPr>
      <w:r>
        <w:rPr>
          <w:rFonts w:hint="eastAsia" w:ascii="宋体" w:hAnsi="宋体" w:eastAsia="宋体" w:cs="宋体"/>
          <w:bCs/>
          <w:color w:val="auto"/>
          <w:spacing w:val="-4"/>
          <w:szCs w:val="21"/>
        </w:rPr>
        <w:t>如果未按本须知上款要求加写标记和密封，采购代理机构对误投或提前启封概不负责。</w:t>
      </w:r>
    </w:p>
    <w:p w14:paraId="1DF40DA3">
      <w:pPr>
        <w:pStyle w:val="27"/>
        <w:widowControl/>
        <w:numPr>
          <w:ilvl w:val="0"/>
          <w:numId w:val="30"/>
        </w:numPr>
        <w:spacing w:before="217" w:beforeLines="50"/>
        <w:ind w:left="284" w:hanging="284" w:firstLineChars="0"/>
        <w:jc w:val="left"/>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Cs w:val="21"/>
          <w:lang w:eastAsia="zh-Hans"/>
        </w:rPr>
        <w:t>投标文件的修改、撤回与撤销</w:t>
      </w:r>
    </w:p>
    <w:p w14:paraId="6C97C593">
      <w:pPr>
        <w:pStyle w:val="27"/>
        <w:widowControl/>
        <w:numPr>
          <w:ilvl w:val="0"/>
          <w:numId w:val="37"/>
        </w:numPr>
        <w:ind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7"/>
        <w:widowControl/>
        <w:numPr>
          <w:ilvl w:val="0"/>
          <w:numId w:val="37"/>
        </w:numPr>
        <w:ind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在投标截止时间之后，投标人不得对其投标文件做任何修改和补充。</w:t>
      </w:r>
    </w:p>
    <w:p w14:paraId="44C880E8">
      <w:pPr>
        <w:pStyle w:val="27"/>
        <w:widowControl/>
        <w:numPr>
          <w:ilvl w:val="0"/>
          <w:numId w:val="37"/>
        </w:numPr>
        <w:ind w:firstLineChars="0"/>
        <w:jc w:val="left"/>
        <w:rPr>
          <w:rFonts w:hint="eastAsia" w:ascii="宋体" w:hAnsi="宋体" w:eastAsia="宋体" w:cs="宋体"/>
          <w:color w:val="auto"/>
          <w:kern w:val="0"/>
          <w:sz w:val="20"/>
          <w:szCs w:val="20"/>
        </w:rPr>
      </w:pPr>
      <w:r>
        <w:rPr>
          <w:rFonts w:hint="eastAsia" w:ascii="宋体" w:hAnsi="宋体" w:eastAsia="宋体" w:cs="宋体"/>
          <w:color w:val="auto"/>
          <w:kern w:val="0"/>
          <w:szCs w:val="21"/>
        </w:rPr>
        <w:t>在提交投标文件截止时间至投标有效期满之前，投标人不得撤回其投标文件。</w:t>
      </w:r>
    </w:p>
    <w:p w14:paraId="5B06180D">
      <w:pPr>
        <w:pStyle w:val="27"/>
        <w:widowControl/>
        <w:numPr>
          <w:ilvl w:val="0"/>
          <w:numId w:val="30"/>
        </w:numPr>
        <w:spacing w:before="217" w:beforeLines="50"/>
        <w:ind w:left="284" w:hanging="284" w:firstLineChars="0"/>
        <w:jc w:val="left"/>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Cs w:val="21"/>
          <w:lang w:eastAsia="zh-Hans"/>
        </w:rPr>
        <w:t>投标保证金</w:t>
      </w:r>
    </w:p>
    <w:p w14:paraId="13D58769">
      <w:pPr>
        <w:pStyle w:val="27"/>
        <w:widowControl/>
        <w:numPr>
          <w:ilvl w:val="0"/>
          <w:numId w:val="38"/>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投标保证金的缴纳</w:t>
      </w:r>
    </w:p>
    <w:p w14:paraId="5909AF1A">
      <w:pPr>
        <w:pStyle w:val="27"/>
        <w:widowControl/>
        <w:numPr>
          <w:ilvl w:val="0"/>
          <w:numId w:val="39"/>
        </w:numPr>
        <w:ind w:left="567" w:hanging="567"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投标人在提交投标文件时，应按投标人须知前附表规定的金额和缴纳要求缴纳投标保证金，并作为其投标文件的组成部分。</w:t>
      </w:r>
    </w:p>
    <w:p w14:paraId="09E9AB64">
      <w:pPr>
        <w:pStyle w:val="27"/>
        <w:widowControl/>
        <w:numPr>
          <w:ilvl w:val="0"/>
          <w:numId w:val="39"/>
        </w:numPr>
        <w:ind w:left="567" w:hanging="567"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如采用转账、支票、本票、汇票形式提交的，投标保证金从投标人基本账户递交；请各投标人在投标文件递交截止时间前按</w:t>
      </w:r>
      <w:bookmarkStart w:id="15" w:name="_Hlk169879945"/>
      <w:r>
        <w:rPr>
          <w:rFonts w:hint="eastAsia" w:ascii="宋体" w:hAnsi="宋体" w:eastAsia="宋体" w:cs="宋体"/>
          <w:color w:val="auto"/>
          <w:kern w:val="0"/>
          <w:szCs w:val="21"/>
          <w:u w:val="single"/>
          <w:lang w:eastAsia="zh-Hans"/>
        </w:rPr>
        <w:t>须知前附表</w:t>
      </w:r>
      <w:r>
        <w:rPr>
          <w:rFonts w:hint="eastAsia" w:ascii="宋体" w:hAnsi="宋体" w:eastAsia="宋体" w:cs="宋体"/>
          <w:color w:val="auto"/>
          <w:kern w:val="0"/>
          <w:szCs w:val="21"/>
          <w:lang w:eastAsia="zh-Hans"/>
        </w:rPr>
        <w:t>规定的金额递交至采购代理机构，到账情况以开标时采购代理机构查询的信息为准。</w:t>
      </w:r>
    </w:p>
    <w:bookmarkEnd w:id="15"/>
    <w:p w14:paraId="08ED3A20">
      <w:pPr>
        <w:pStyle w:val="27"/>
        <w:widowControl/>
        <w:numPr>
          <w:ilvl w:val="0"/>
          <w:numId w:val="39"/>
        </w:numPr>
        <w:ind w:left="567" w:hanging="567"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如采用金融机构、专业担保机构开具的投标担保函、投标保证保险函等形式提交投标保证金的，投标担保函须开具给采购人，并与投标文件一同递交。</w:t>
      </w:r>
    </w:p>
    <w:p w14:paraId="39B77C9D">
      <w:pPr>
        <w:pStyle w:val="27"/>
        <w:widowControl/>
        <w:numPr>
          <w:ilvl w:val="0"/>
          <w:numId w:val="38"/>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投标保证金的退还：</w:t>
      </w:r>
    </w:p>
    <w:p w14:paraId="581BB39B">
      <w:pPr>
        <w:pStyle w:val="27"/>
        <w:widowControl/>
        <w:numPr>
          <w:ilvl w:val="0"/>
          <w:numId w:val="40"/>
        </w:numPr>
        <w:tabs>
          <w:tab w:val="left" w:pos="567"/>
        </w:tabs>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投标人在投标截止时间前放弃投标的，自所投采购包结果公告发出后5个工作日内退还。</w:t>
      </w:r>
    </w:p>
    <w:p w14:paraId="32B29E50">
      <w:pPr>
        <w:pStyle w:val="27"/>
        <w:widowControl/>
        <w:numPr>
          <w:ilvl w:val="0"/>
          <w:numId w:val="40"/>
        </w:numPr>
        <w:tabs>
          <w:tab w:val="left" w:pos="567"/>
        </w:tabs>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未中标的投标人投标保证金，自中标通知书发出之日起5个工作日内退还。</w:t>
      </w:r>
    </w:p>
    <w:p w14:paraId="5414F91D">
      <w:pPr>
        <w:pStyle w:val="27"/>
        <w:widowControl/>
        <w:numPr>
          <w:ilvl w:val="0"/>
          <w:numId w:val="40"/>
        </w:numPr>
        <w:tabs>
          <w:tab w:val="left" w:pos="567"/>
        </w:tabs>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中标供应商的投标保证金，自采购合同签订之日起5个工作日内退还。</w:t>
      </w:r>
    </w:p>
    <w:p w14:paraId="43A59FF5">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备注：但因投标人自身原因导致无法及时退还的除外。</w:t>
      </w:r>
    </w:p>
    <w:p w14:paraId="43F64C5A">
      <w:pPr>
        <w:pStyle w:val="27"/>
        <w:widowControl/>
        <w:numPr>
          <w:ilvl w:val="0"/>
          <w:numId w:val="38"/>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 xml:space="preserve"> 有下列情形之一的，投标保证金将不予退还：</w:t>
      </w:r>
    </w:p>
    <w:p w14:paraId="1EAE9C0F">
      <w:pPr>
        <w:pStyle w:val="27"/>
        <w:widowControl/>
        <w:numPr>
          <w:ilvl w:val="0"/>
          <w:numId w:val="41"/>
        </w:numPr>
        <w:tabs>
          <w:tab w:val="left" w:pos="567"/>
        </w:tabs>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提供虚假材料谋取中标、成交的；</w:t>
      </w:r>
    </w:p>
    <w:p w14:paraId="14C63438">
      <w:pPr>
        <w:pStyle w:val="27"/>
        <w:widowControl/>
        <w:numPr>
          <w:ilvl w:val="0"/>
          <w:numId w:val="41"/>
        </w:numPr>
        <w:tabs>
          <w:tab w:val="left" w:pos="567"/>
        </w:tabs>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投标人在招标文件规定的投标有效期内撤销其投标；</w:t>
      </w:r>
    </w:p>
    <w:p w14:paraId="2901C0DC">
      <w:pPr>
        <w:pStyle w:val="27"/>
        <w:widowControl/>
        <w:numPr>
          <w:ilvl w:val="0"/>
          <w:numId w:val="41"/>
        </w:numPr>
        <w:tabs>
          <w:tab w:val="left" w:pos="567"/>
        </w:tabs>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中标后，无正当理由放弃中标资格；</w:t>
      </w:r>
    </w:p>
    <w:p w14:paraId="41509EB1">
      <w:pPr>
        <w:pStyle w:val="27"/>
        <w:widowControl/>
        <w:numPr>
          <w:ilvl w:val="0"/>
          <w:numId w:val="41"/>
        </w:numPr>
        <w:tabs>
          <w:tab w:val="left" w:pos="567"/>
        </w:tabs>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中标后，无正当理由不与采购人签订合同；</w:t>
      </w:r>
    </w:p>
    <w:p w14:paraId="3AD81154">
      <w:pPr>
        <w:pStyle w:val="27"/>
        <w:widowControl/>
        <w:numPr>
          <w:ilvl w:val="0"/>
          <w:numId w:val="41"/>
        </w:numPr>
        <w:tabs>
          <w:tab w:val="left" w:pos="567"/>
        </w:tabs>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法律法规和招标文件规定的其他情形。</w:t>
      </w:r>
    </w:p>
    <w:p w14:paraId="0E1DA8E6">
      <w:pPr>
        <w:pStyle w:val="27"/>
        <w:widowControl/>
        <w:numPr>
          <w:ilvl w:val="0"/>
          <w:numId w:val="30"/>
        </w:numPr>
        <w:spacing w:before="217" w:beforeLines="50"/>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投标有效期</w:t>
      </w:r>
    </w:p>
    <w:p w14:paraId="641D263F">
      <w:pPr>
        <w:pStyle w:val="27"/>
        <w:widowControl/>
        <w:numPr>
          <w:ilvl w:val="0"/>
          <w:numId w:val="42"/>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7"/>
        <w:widowControl/>
        <w:numPr>
          <w:ilvl w:val="0"/>
          <w:numId w:val="42"/>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7"/>
        <w:widowControl/>
        <w:numPr>
          <w:ilvl w:val="0"/>
          <w:numId w:val="30"/>
        </w:numPr>
        <w:spacing w:before="217" w:beforeLines="50"/>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样品（演示）</w:t>
      </w:r>
    </w:p>
    <w:p w14:paraId="75980878">
      <w:pPr>
        <w:pStyle w:val="27"/>
        <w:widowControl/>
        <w:numPr>
          <w:ilvl w:val="0"/>
          <w:numId w:val="43"/>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招标文件规定投标人提交样品的，样品属于投标文件的组成部分。样品的生产、运输、安装、保全等一切费用由投标人自理。</w:t>
      </w:r>
    </w:p>
    <w:p w14:paraId="1BB0D4AB">
      <w:pPr>
        <w:pStyle w:val="27"/>
        <w:widowControl/>
        <w:numPr>
          <w:ilvl w:val="0"/>
          <w:numId w:val="43"/>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投标截止时间前，投标人应将样品送达至指定地点。若需要现场演示的，投标人应提前做好演示准备（包括演示设备）。</w:t>
      </w:r>
    </w:p>
    <w:p w14:paraId="6B53EDEB">
      <w:pPr>
        <w:pStyle w:val="27"/>
        <w:widowControl/>
        <w:numPr>
          <w:ilvl w:val="0"/>
          <w:numId w:val="43"/>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7"/>
        <w:widowControl/>
        <w:numPr>
          <w:ilvl w:val="0"/>
          <w:numId w:val="30"/>
        </w:numPr>
        <w:spacing w:before="217" w:beforeLines="50"/>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除招标文件另有规定外，有下列情形之一的，投标无效：</w:t>
      </w:r>
    </w:p>
    <w:p w14:paraId="41A7535F">
      <w:pPr>
        <w:pStyle w:val="27"/>
        <w:widowControl/>
        <w:numPr>
          <w:ilvl w:val="0"/>
          <w:numId w:val="44"/>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投标文件未按照招标文件要求签署、盖章；</w:t>
      </w:r>
    </w:p>
    <w:p w14:paraId="2AA22EAE">
      <w:pPr>
        <w:pStyle w:val="27"/>
        <w:widowControl/>
        <w:numPr>
          <w:ilvl w:val="0"/>
          <w:numId w:val="44"/>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不符合招标文件中规定的资格要求；</w:t>
      </w:r>
    </w:p>
    <w:p w14:paraId="372C942D">
      <w:pPr>
        <w:pStyle w:val="27"/>
        <w:widowControl/>
        <w:numPr>
          <w:ilvl w:val="0"/>
          <w:numId w:val="44"/>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投标报价超过招标文件中规定的预算金额或最高限价；</w:t>
      </w:r>
    </w:p>
    <w:p w14:paraId="135B29C2">
      <w:pPr>
        <w:pStyle w:val="27"/>
        <w:widowControl/>
        <w:numPr>
          <w:ilvl w:val="0"/>
          <w:numId w:val="44"/>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投标文件含有采购人不能接受的附加条件；</w:t>
      </w:r>
    </w:p>
    <w:p w14:paraId="54912838">
      <w:pPr>
        <w:pStyle w:val="27"/>
        <w:widowControl/>
        <w:numPr>
          <w:ilvl w:val="0"/>
          <w:numId w:val="44"/>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有关法律、法规和规章及招标文件规定的其他无效情形。</w:t>
      </w:r>
    </w:p>
    <w:p w14:paraId="5FC0DB76">
      <w:pPr>
        <w:pStyle w:val="27"/>
        <w:widowControl/>
        <w:numPr>
          <w:ilvl w:val="0"/>
          <w:numId w:val="21"/>
        </w:numPr>
        <w:spacing w:before="217" w:beforeLines="50"/>
        <w:ind w:left="442" w:hanging="442" w:firstLineChars="0"/>
        <w:jc w:val="left"/>
        <w:outlineLvl w:val="3"/>
        <w:rPr>
          <w:rFonts w:hint="eastAsia" w:ascii="宋体" w:hAnsi="宋体" w:eastAsia="宋体" w:cs="宋体"/>
          <w:b/>
          <w:color w:val="auto"/>
          <w:kern w:val="0"/>
          <w:szCs w:val="21"/>
          <w:lang w:eastAsia="zh-Hans"/>
        </w:rPr>
      </w:pPr>
      <w:r>
        <w:rPr>
          <w:rFonts w:hint="eastAsia" w:ascii="宋体" w:hAnsi="宋体" w:eastAsia="宋体" w:cs="宋体"/>
          <w:b/>
          <w:color w:val="auto"/>
          <w:kern w:val="0"/>
          <w:szCs w:val="21"/>
          <w:lang w:eastAsia="zh-Hans"/>
        </w:rPr>
        <w:t>开标、评标和定标</w:t>
      </w:r>
    </w:p>
    <w:p w14:paraId="04B02605">
      <w:pPr>
        <w:pStyle w:val="27"/>
        <w:widowControl/>
        <w:numPr>
          <w:ilvl w:val="3"/>
          <w:numId w:val="45"/>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开标</w:t>
      </w:r>
    </w:p>
    <w:p w14:paraId="73D25B4C">
      <w:pPr>
        <w:pStyle w:val="27"/>
        <w:widowControl/>
        <w:numPr>
          <w:ilvl w:val="0"/>
          <w:numId w:val="46"/>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rPr>
        <w:t>采购代理机构按投标邀请中规定的日期、时间和地点组织公开开标。开标时邀请所有投标人代表参加。参加开标的法定代表人或其授权代表携带有效身份证签名报到以证明其出席。</w:t>
      </w:r>
    </w:p>
    <w:p w14:paraId="6600EA0B">
      <w:pPr>
        <w:pStyle w:val="27"/>
        <w:widowControl/>
        <w:numPr>
          <w:ilvl w:val="0"/>
          <w:numId w:val="46"/>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rPr>
        <w:t>开标由采购代理机构主持，邀请投标人参加。评标委员会成员不得参加开标活动。</w:t>
      </w:r>
    </w:p>
    <w:p w14:paraId="61E4F461">
      <w:pPr>
        <w:pStyle w:val="27"/>
        <w:widowControl/>
        <w:numPr>
          <w:ilvl w:val="0"/>
          <w:numId w:val="46"/>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rPr>
        <w:t>投标人不足3家的，不得开标。</w:t>
      </w:r>
    </w:p>
    <w:p w14:paraId="05C138A6">
      <w:pPr>
        <w:pStyle w:val="27"/>
        <w:widowControl/>
        <w:numPr>
          <w:ilvl w:val="0"/>
          <w:numId w:val="46"/>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7"/>
        <w:widowControl/>
        <w:numPr>
          <w:ilvl w:val="0"/>
          <w:numId w:val="46"/>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rPr>
        <w:t>开标过程应当由采购人或者采购代理机构负责记录，由参加开标的各投标人代表和相关工作人员签字确认。</w:t>
      </w:r>
    </w:p>
    <w:p w14:paraId="5B0019EF">
      <w:pPr>
        <w:pStyle w:val="27"/>
        <w:widowControl/>
        <w:numPr>
          <w:ilvl w:val="0"/>
          <w:numId w:val="46"/>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7"/>
        <w:widowControl/>
        <w:numPr>
          <w:ilvl w:val="0"/>
          <w:numId w:val="46"/>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rPr>
        <w:t>投标人未参加开标的，视同认可开标结果。</w:t>
      </w:r>
    </w:p>
    <w:p w14:paraId="10E714A2">
      <w:pPr>
        <w:pStyle w:val="27"/>
        <w:widowControl/>
        <w:numPr>
          <w:ilvl w:val="3"/>
          <w:numId w:val="45"/>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评审（详见第四章）</w:t>
      </w:r>
    </w:p>
    <w:p w14:paraId="0C0F53E9">
      <w:pPr>
        <w:pStyle w:val="27"/>
        <w:widowControl/>
        <w:numPr>
          <w:ilvl w:val="3"/>
          <w:numId w:val="45"/>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定标</w:t>
      </w:r>
    </w:p>
    <w:p w14:paraId="4312C8F1">
      <w:pPr>
        <w:pStyle w:val="27"/>
        <w:widowControl/>
        <w:numPr>
          <w:ilvl w:val="0"/>
          <w:numId w:val="47"/>
        </w:numPr>
        <w:ind w:left="426" w:hanging="426"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中标公告：</w:t>
      </w:r>
    </w:p>
    <w:p w14:paraId="411FA44D">
      <w:pPr>
        <w:pStyle w:val="27"/>
        <w:widowControl/>
        <w:numPr>
          <w:ilvl w:val="0"/>
          <w:numId w:val="48"/>
        </w:numPr>
        <w:ind w:left="709" w:hanging="709"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采购人或者采购代理机构应当自中标人确定之日起2个工作日内在</w:t>
      </w:r>
      <w:bookmarkStart w:id="16" w:name="_Hlk169881051"/>
      <w:r>
        <w:rPr>
          <w:rFonts w:hint="eastAsia" w:ascii="宋体" w:hAnsi="宋体" w:eastAsia="宋体" w:cs="宋体"/>
          <w:color w:val="auto"/>
          <w:kern w:val="0"/>
          <w:szCs w:val="21"/>
        </w:rPr>
        <w:t>指定媒体</w:t>
      </w:r>
      <w:bookmarkEnd w:id="16"/>
      <w:r>
        <w:rPr>
          <w:rFonts w:hint="eastAsia" w:ascii="宋体" w:hAnsi="宋体" w:eastAsia="宋体" w:cs="宋体"/>
          <w:color w:val="auto"/>
          <w:kern w:val="0"/>
          <w:szCs w:val="21"/>
        </w:rPr>
        <w:t>公告中标结果和发出中标通知书，公告期为1个工作日。</w:t>
      </w:r>
    </w:p>
    <w:p w14:paraId="00414DA4">
      <w:pPr>
        <w:pStyle w:val="27"/>
        <w:widowControl/>
        <w:numPr>
          <w:ilvl w:val="0"/>
          <w:numId w:val="47"/>
        </w:numPr>
        <w:ind w:left="426" w:hanging="426"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中标通知书：</w:t>
      </w:r>
    </w:p>
    <w:p w14:paraId="7C6B63E4">
      <w:pPr>
        <w:pStyle w:val="27"/>
        <w:widowControl/>
        <w:numPr>
          <w:ilvl w:val="0"/>
          <w:numId w:val="49"/>
        </w:numPr>
        <w:tabs>
          <w:tab w:val="left" w:pos="567"/>
        </w:tabs>
        <w:ind w:hanging="2284"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中标通知书对中标人和采购人具有同等法律效力。</w:t>
      </w:r>
    </w:p>
    <w:p w14:paraId="042EBF13">
      <w:pPr>
        <w:pStyle w:val="27"/>
        <w:widowControl/>
        <w:numPr>
          <w:ilvl w:val="0"/>
          <w:numId w:val="49"/>
        </w:numPr>
        <w:tabs>
          <w:tab w:val="left" w:pos="567"/>
        </w:tabs>
        <w:ind w:hanging="2284"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中标通知书发出后，采购人不得违法改变中标结果，中标人无正当理由不得放弃中标。</w:t>
      </w:r>
    </w:p>
    <w:p w14:paraId="644C478B">
      <w:pPr>
        <w:pStyle w:val="27"/>
        <w:widowControl/>
        <w:numPr>
          <w:ilvl w:val="0"/>
          <w:numId w:val="49"/>
        </w:numPr>
        <w:tabs>
          <w:tab w:val="left" w:pos="567"/>
        </w:tabs>
        <w:ind w:hanging="2284"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中标通知书将作为授予合同资格的合法依据，是合同的一个组成部分。</w:t>
      </w:r>
    </w:p>
    <w:p w14:paraId="1D36A752">
      <w:pPr>
        <w:pStyle w:val="27"/>
        <w:widowControl/>
        <w:numPr>
          <w:ilvl w:val="0"/>
          <w:numId w:val="21"/>
        </w:numPr>
        <w:spacing w:before="217" w:beforeLines="50"/>
        <w:ind w:left="442" w:hanging="442" w:firstLineChars="0"/>
        <w:jc w:val="left"/>
        <w:outlineLvl w:val="3"/>
        <w:rPr>
          <w:rFonts w:hint="eastAsia" w:ascii="宋体" w:hAnsi="宋体" w:eastAsia="宋体" w:cs="宋体"/>
          <w:b/>
          <w:color w:val="auto"/>
          <w:kern w:val="0"/>
          <w:szCs w:val="21"/>
          <w:lang w:eastAsia="zh-Hans"/>
        </w:rPr>
      </w:pPr>
      <w:r>
        <w:rPr>
          <w:rFonts w:hint="eastAsia" w:ascii="宋体" w:hAnsi="宋体" w:eastAsia="宋体" w:cs="宋体"/>
          <w:b/>
          <w:color w:val="auto"/>
          <w:kern w:val="0"/>
          <w:szCs w:val="21"/>
          <w:lang w:eastAsia="zh-Hans"/>
        </w:rPr>
        <w:t>询问、质疑与投诉</w:t>
      </w:r>
    </w:p>
    <w:p w14:paraId="54BDC809">
      <w:pPr>
        <w:pStyle w:val="27"/>
        <w:widowControl/>
        <w:numPr>
          <w:ilvl w:val="3"/>
          <w:numId w:val="50"/>
        </w:numPr>
        <w:tabs>
          <w:tab w:val="left" w:pos="426"/>
          <w:tab w:val="left" w:pos="709"/>
          <w:tab w:val="left" w:pos="993"/>
          <w:tab w:val="left" w:pos="1418"/>
        </w:tabs>
        <w:ind w:hanging="1760" w:firstLineChars="0"/>
        <w:jc w:val="left"/>
        <w:outlineLvl w:val="3"/>
        <w:rPr>
          <w:rFonts w:hint="eastAsia" w:ascii="宋体" w:hAnsi="宋体" w:eastAsia="宋体" w:cs="宋体"/>
          <w:b/>
          <w:color w:val="auto"/>
          <w:kern w:val="0"/>
          <w:szCs w:val="21"/>
          <w:lang w:eastAsia="zh-Hans"/>
        </w:rPr>
      </w:pPr>
      <w:r>
        <w:rPr>
          <w:rFonts w:hint="eastAsia" w:ascii="宋体" w:hAnsi="宋体" w:eastAsia="宋体" w:cs="宋体"/>
          <w:b/>
          <w:color w:val="auto"/>
          <w:kern w:val="0"/>
          <w:szCs w:val="21"/>
          <w:lang w:eastAsia="zh-Hans"/>
        </w:rPr>
        <w:t>询问</w:t>
      </w:r>
    </w:p>
    <w:p w14:paraId="0FAFD38B">
      <w:pPr>
        <w:pStyle w:val="27"/>
        <w:widowControl/>
        <w:numPr>
          <w:ilvl w:val="0"/>
          <w:numId w:val="51"/>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7533FE7">
      <w:pPr>
        <w:pStyle w:val="27"/>
        <w:widowControl/>
        <w:numPr>
          <w:ilvl w:val="3"/>
          <w:numId w:val="50"/>
        </w:numPr>
        <w:tabs>
          <w:tab w:val="left" w:pos="426"/>
          <w:tab w:val="left" w:pos="709"/>
          <w:tab w:val="left" w:pos="993"/>
          <w:tab w:val="left" w:pos="1418"/>
        </w:tabs>
        <w:ind w:hanging="1760"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质疑</w:t>
      </w:r>
    </w:p>
    <w:p w14:paraId="7FC77AE6">
      <w:pPr>
        <w:pStyle w:val="27"/>
        <w:widowControl/>
        <w:numPr>
          <w:ilvl w:val="0"/>
          <w:numId w:val="52"/>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7"/>
        <w:widowControl/>
        <w:numPr>
          <w:ilvl w:val="0"/>
          <w:numId w:val="53"/>
        </w:numPr>
        <w:tabs>
          <w:tab w:val="left" w:pos="709"/>
        </w:tabs>
        <w:ind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对招标文件提出质疑的，为获取招标文件之日或者招标文件公告期限届满之日；</w:t>
      </w:r>
    </w:p>
    <w:p w14:paraId="24197C5E">
      <w:pPr>
        <w:pStyle w:val="27"/>
        <w:widowControl/>
        <w:numPr>
          <w:ilvl w:val="0"/>
          <w:numId w:val="53"/>
        </w:numPr>
        <w:tabs>
          <w:tab w:val="left" w:pos="709"/>
        </w:tabs>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对采购过程提出质疑的，为各采购程序环节结束之日；</w:t>
      </w:r>
    </w:p>
    <w:p w14:paraId="00C4D840">
      <w:pPr>
        <w:pStyle w:val="27"/>
        <w:widowControl/>
        <w:numPr>
          <w:ilvl w:val="0"/>
          <w:numId w:val="53"/>
        </w:numPr>
        <w:tabs>
          <w:tab w:val="left" w:pos="709"/>
        </w:tabs>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对中标结果提出质疑的，为中标结果公告期限届满之日。</w:t>
      </w:r>
    </w:p>
    <w:p w14:paraId="1AA8C846">
      <w:pPr>
        <w:pStyle w:val="27"/>
        <w:widowControl/>
        <w:numPr>
          <w:ilvl w:val="0"/>
          <w:numId w:val="52"/>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质疑函应当包括下列主要内容：</w:t>
      </w:r>
    </w:p>
    <w:p w14:paraId="5817E1AC">
      <w:pPr>
        <w:pStyle w:val="27"/>
        <w:widowControl/>
        <w:numPr>
          <w:ilvl w:val="0"/>
          <w:numId w:val="54"/>
        </w:numPr>
        <w:tabs>
          <w:tab w:val="left" w:pos="709"/>
        </w:tabs>
        <w:ind w:left="709" w:hanging="709"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质疑供应商和相关供应商的名称、地址、邮编、联系人及联系电话等；</w:t>
      </w:r>
    </w:p>
    <w:p w14:paraId="27396A53">
      <w:pPr>
        <w:pStyle w:val="27"/>
        <w:widowControl/>
        <w:numPr>
          <w:ilvl w:val="0"/>
          <w:numId w:val="54"/>
        </w:numPr>
        <w:tabs>
          <w:tab w:val="left" w:pos="709"/>
        </w:tabs>
        <w:ind w:left="709" w:hanging="709"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质疑项目名称及编号、具体明确的质疑事项和与质疑事项相关的请求；</w:t>
      </w:r>
    </w:p>
    <w:p w14:paraId="46841003">
      <w:pPr>
        <w:pStyle w:val="27"/>
        <w:widowControl/>
        <w:numPr>
          <w:ilvl w:val="0"/>
          <w:numId w:val="54"/>
        </w:numPr>
        <w:tabs>
          <w:tab w:val="left" w:pos="709"/>
        </w:tabs>
        <w:ind w:left="709" w:hanging="709"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认为采购文件、采购过程、中标和成交结果使自己的合法权益受到损害的法律依据、事实依据、相关证明材料及证据来源；</w:t>
      </w:r>
    </w:p>
    <w:p w14:paraId="786C4E01">
      <w:pPr>
        <w:pStyle w:val="27"/>
        <w:widowControl/>
        <w:numPr>
          <w:ilvl w:val="0"/>
          <w:numId w:val="54"/>
        </w:numPr>
        <w:tabs>
          <w:tab w:val="left" w:pos="709"/>
        </w:tabs>
        <w:ind w:left="709" w:hanging="709"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提出质疑的日期。</w:t>
      </w:r>
    </w:p>
    <w:p w14:paraId="743836A0">
      <w:pPr>
        <w:pStyle w:val="27"/>
        <w:widowControl/>
        <w:numPr>
          <w:ilvl w:val="0"/>
          <w:numId w:val="52"/>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7"/>
        <w:widowControl/>
        <w:numPr>
          <w:ilvl w:val="0"/>
          <w:numId w:val="52"/>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以联合体形式参加采购活动的，其质疑应当由联合体成员委托主体提出。</w:t>
      </w:r>
    </w:p>
    <w:p w14:paraId="064A7798">
      <w:pPr>
        <w:pStyle w:val="27"/>
        <w:widowControl/>
        <w:numPr>
          <w:ilvl w:val="0"/>
          <w:numId w:val="52"/>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eastAsia="宋体" w:cs="宋体"/>
          <w:color w:val="auto"/>
          <w:kern w:val="0"/>
          <w:szCs w:val="21"/>
          <w:lang w:val="en-US" w:eastAsia="zh-CN"/>
        </w:rPr>
        <w:t>采购人有关</w:t>
      </w:r>
      <w:r>
        <w:rPr>
          <w:rFonts w:hint="eastAsia" w:ascii="宋体" w:hAnsi="宋体" w:eastAsia="宋体" w:cs="宋体"/>
          <w:color w:val="auto"/>
          <w:kern w:val="0"/>
          <w:szCs w:val="21"/>
          <w:lang w:eastAsia="zh-Hans"/>
        </w:rPr>
        <w:t>部门依法处理。</w:t>
      </w:r>
    </w:p>
    <w:p w14:paraId="4B25D179">
      <w:pPr>
        <w:pStyle w:val="27"/>
        <w:widowControl/>
        <w:numPr>
          <w:ilvl w:val="0"/>
          <w:numId w:val="52"/>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质疑联系方式如下：</w:t>
      </w:r>
    </w:p>
    <w:p w14:paraId="04E1EE58">
      <w:pPr>
        <w:widowControl/>
        <w:ind w:firstLine="480"/>
        <w:jc w:val="left"/>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eastAsia="zh-Hans"/>
        </w:rPr>
        <w:t>质疑联系人：</w:t>
      </w:r>
      <w:r>
        <w:rPr>
          <w:rFonts w:hint="eastAsia" w:ascii="宋体" w:hAnsi="宋体" w:eastAsia="宋体" w:cs="宋体"/>
          <w:color w:val="auto"/>
          <w:kern w:val="0"/>
          <w:szCs w:val="21"/>
          <w:lang w:val="en-US" w:eastAsia="zh-CN"/>
        </w:rPr>
        <w:t>何舜禹</w:t>
      </w:r>
    </w:p>
    <w:p w14:paraId="6A816235">
      <w:pPr>
        <w:widowControl/>
        <w:ind w:firstLine="480"/>
        <w:jc w:val="left"/>
        <w:rPr>
          <w:rFonts w:hint="eastAsia" w:ascii="宋体" w:hAnsi="宋体" w:eastAsia="宋体" w:cs="宋体"/>
          <w:color w:val="auto"/>
          <w:kern w:val="0"/>
          <w:szCs w:val="21"/>
          <w:lang w:eastAsia="zh-Hans"/>
        </w:rPr>
      </w:pPr>
      <w:bookmarkStart w:id="17" w:name="_Hlk170237862"/>
      <w:r>
        <w:rPr>
          <w:rFonts w:hint="eastAsia" w:ascii="宋体" w:hAnsi="宋体" w:eastAsia="宋体" w:cs="宋体"/>
          <w:color w:val="auto"/>
          <w:kern w:val="0"/>
          <w:szCs w:val="21"/>
          <w:lang w:eastAsia="zh-Hans"/>
        </w:rPr>
        <w:t>电话：（0769）22367009</w:t>
      </w:r>
    </w:p>
    <w:p w14:paraId="50A95697">
      <w:pPr>
        <w:widowControl/>
        <w:ind w:firstLine="48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邮箱：zhcity_gd@163.com</w:t>
      </w:r>
    </w:p>
    <w:p w14:paraId="0B6BB28E">
      <w:pPr>
        <w:widowControl/>
        <w:ind w:firstLine="48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地址：东莞市南城街道雅园产业园区路5号1栋1楼</w:t>
      </w:r>
    </w:p>
    <w:p w14:paraId="3DADAC68">
      <w:pPr>
        <w:widowControl/>
        <w:ind w:firstLine="48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邮编：523000</w:t>
      </w:r>
      <w:bookmarkEnd w:id="17"/>
    </w:p>
    <w:p w14:paraId="4ABBDBCF">
      <w:pPr>
        <w:widowControl/>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3.投诉</w:t>
      </w:r>
    </w:p>
    <w:p w14:paraId="23EC7FB9">
      <w:pPr>
        <w:pStyle w:val="27"/>
        <w:widowControl/>
        <w:numPr>
          <w:ilvl w:val="0"/>
          <w:numId w:val="55"/>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质疑人对采购人或采购代理机构的质疑答复不满意或在规定时间内未得到答复的，可以在答复期满后15个工作日内，向本项目监督管理部门提起投诉。</w:t>
      </w:r>
    </w:p>
    <w:p w14:paraId="7D73C36D">
      <w:pPr>
        <w:pStyle w:val="27"/>
        <w:widowControl/>
        <w:numPr>
          <w:ilvl w:val="0"/>
          <w:numId w:val="21"/>
        </w:numPr>
        <w:spacing w:before="217" w:beforeLines="50"/>
        <w:ind w:left="442" w:hanging="442" w:firstLineChars="0"/>
        <w:jc w:val="left"/>
        <w:outlineLvl w:val="3"/>
        <w:rPr>
          <w:rFonts w:hint="eastAsia" w:ascii="宋体" w:hAnsi="宋体" w:eastAsia="宋体" w:cs="宋体"/>
          <w:color w:val="auto"/>
          <w:kern w:val="0"/>
          <w:szCs w:val="21"/>
        </w:rPr>
      </w:pPr>
      <w:r>
        <w:rPr>
          <w:rFonts w:hint="eastAsia" w:ascii="宋体" w:hAnsi="宋体" w:eastAsia="宋体" w:cs="宋体"/>
          <w:b/>
          <w:color w:val="auto"/>
          <w:kern w:val="0"/>
          <w:szCs w:val="21"/>
          <w:lang w:eastAsia="zh-Hans"/>
        </w:rPr>
        <w:t>履约担保</w:t>
      </w:r>
      <w:r>
        <w:rPr>
          <w:rFonts w:hint="eastAsia" w:ascii="宋体" w:hAnsi="宋体" w:eastAsia="宋体" w:cs="宋体"/>
          <w:b/>
          <w:color w:val="auto"/>
          <w:kern w:val="0"/>
          <w:szCs w:val="21"/>
          <w:lang w:eastAsia="zh-CN"/>
        </w:rPr>
        <w:t>（</w:t>
      </w:r>
      <w:r>
        <w:rPr>
          <w:rFonts w:hint="eastAsia" w:ascii="宋体" w:hAnsi="宋体" w:eastAsia="宋体" w:cs="宋体"/>
          <w:b/>
          <w:color w:val="auto"/>
          <w:kern w:val="0"/>
          <w:szCs w:val="21"/>
          <w:lang w:val="en-US" w:eastAsia="zh-CN"/>
        </w:rPr>
        <w:t>本项目不收取</w:t>
      </w:r>
      <w:r>
        <w:rPr>
          <w:rFonts w:hint="eastAsia" w:ascii="宋体" w:hAnsi="宋体" w:eastAsia="宋体" w:cs="宋体"/>
          <w:b/>
          <w:color w:val="auto"/>
          <w:kern w:val="0"/>
          <w:szCs w:val="21"/>
          <w:lang w:eastAsia="zh-Hans"/>
        </w:rPr>
        <w:t>履约担保</w:t>
      </w:r>
      <w:r>
        <w:rPr>
          <w:rFonts w:hint="eastAsia" w:ascii="宋体" w:hAnsi="宋体" w:eastAsia="宋体" w:cs="宋体"/>
          <w:b/>
          <w:color w:val="auto"/>
          <w:kern w:val="0"/>
          <w:szCs w:val="21"/>
          <w:lang w:eastAsia="zh-CN"/>
        </w:rPr>
        <w:t>）</w:t>
      </w:r>
    </w:p>
    <w:p w14:paraId="550A4FCD">
      <w:pPr>
        <w:pStyle w:val="27"/>
        <w:widowControl/>
        <w:numPr>
          <w:ilvl w:val="0"/>
          <w:numId w:val="56"/>
        </w:numPr>
        <w:ind w:left="442" w:hanging="442" w:firstLineChars="0"/>
        <w:jc w:val="left"/>
        <w:outlineLvl w:val="3"/>
        <w:rPr>
          <w:rFonts w:hint="eastAsia" w:ascii="宋体" w:hAnsi="宋体" w:eastAsia="宋体" w:cs="宋体"/>
          <w:color w:val="auto"/>
          <w:kern w:val="0"/>
          <w:szCs w:val="21"/>
        </w:rPr>
      </w:pPr>
      <w:r>
        <w:rPr>
          <w:rFonts w:hint="eastAsia" w:ascii="宋体" w:hAnsi="宋体" w:eastAsia="宋体" w:cs="宋体"/>
          <w:color w:val="auto"/>
          <w:kern w:val="0"/>
          <w:szCs w:val="21"/>
        </w:rPr>
        <w:t>中标供应商应按须知前附表要求向采购人缴纳履约担保（如采用保函形式，格式详见招标文件第六章投标文件格式-履约担保）。履约担保可以采用银行转账或支票、汇票、本票或者金融机构、担保机构出具的保函等非现金形式提交。</w:t>
      </w:r>
    </w:p>
    <w:p w14:paraId="509714C7">
      <w:pPr>
        <w:pStyle w:val="27"/>
        <w:widowControl/>
        <w:numPr>
          <w:ilvl w:val="0"/>
          <w:numId w:val="56"/>
        </w:numPr>
        <w:ind w:firstLineChars="0"/>
        <w:jc w:val="left"/>
        <w:outlineLvl w:val="3"/>
        <w:rPr>
          <w:rFonts w:hint="eastAsia" w:ascii="宋体" w:hAnsi="宋体" w:eastAsia="宋体" w:cs="宋体"/>
          <w:color w:val="auto"/>
          <w:kern w:val="0"/>
          <w:szCs w:val="21"/>
        </w:rPr>
      </w:pPr>
      <w:r>
        <w:rPr>
          <w:rFonts w:hint="eastAsia" w:ascii="宋体" w:hAnsi="宋体" w:eastAsia="宋体" w:cs="宋体"/>
          <w:color w:val="auto"/>
          <w:kern w:val="0"/>
          <w:szCs w:val="21"/>
        </w:rPr>
        <w:t>在整个项目验收合格后，中标供应商向采购人提交退回履约保证金的申请，采购人办理履约保证金退还手续，将履约保证金退回原中标供应商的汇入账户。</w:t>
      </w:r>
    </w:p>
    <w:p w14:paraId="61A7EB8B">
      <w:pPr>
        <w:pStyle w:val="27"/>
        <w:widowControl/>
        <w:numPr>
          <w:ilvl w:val="0"/>
          <w:numId w:val="21"/>
        </w:numPr>
        <w:spacing w:before="217" w:beforeLines="50"/>
        <w:ind w:left="442" w:hanging="442"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合同签订和履行</w:t>
      </w:r>
    </w:p>
    <w:p w14:paraId="02041DF9">
      <w:pPr>
        <w:pStyle w:val="27"/>
        <w:widowControl/>
        <w:numPr>
          <w:ilvl w:val="3"/>
          <w:numId w:val="57"/>
        </w:numPr>
        <w:tabs>
          <w:tab w:val="left" w:pos="426"/>
          <w:tab w:val="left" w:pos="709"/>
          <w:tab w:val="left" w:pos="1134"/>
        </w:tabs>
        <w:ind w:hanging="1760"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合同签订</w:t>
      </w:r>
    </w:p>
    <w:p w14:paraId="4A81814F">
      <w:pPr>
        <w:pStyle w:val="27"/>
        <w:widowControl/>
        <w:numPr>
          <w:ilvl w:val="0"/>
          <w:numId w:val="58"/>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7"/>
        <w:widowControl/>
        <w:numPr>
          <w:ilvl w:val="0"/>
          <w:numId w:val="58"/>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采购人不得提出试用合格等任何不合理的要求作为签订合同的条件，且不得与中标供应商私下订立背离合同实质性内容的协议。</w:t>
      </w:r>
    </w:p>
    <w:p w14:paraId="4F3F062F">
      <w:pPr>
        <w:pStyle w:val="27"/>
        <w:widowControl/>
        <w:numPr>
          <w:ilvl w:val="3"/>
          <w:numId w:val="57"/>
        </w:numPr>
        <w:tabs>
          <w:tab w:val="left" w:pos="426"/>
          <w:tab w:val="left" w:pos="709"/>
          <w:tab w:val="left" w:pos="1134"/>
        </w:tabs>
        <w:ind w:hanging="1760"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合同的履行</w:t>
      </w:r>
    </w:p>
    <w:p w14:paraId="63899B25">
      <w:pPr>
        <w:pStyle w:val="27"/>
        <w:widowControl/>
        <w:numPr>
          <w:ilvl w:val="0"/>
          <w:numId w:val="59"/>
        </w:numPr>
        <w:ind w:firstLineChars="0"/>
        <w:jc w:val="left"/>
        <w:rPr>
          <w:rFonts w:hint="eastAsia" w:ascii="宋体" w:hAnsi="宋体" w:eastAsia="宋体" w:cs="宋体"/>
          <w:color w:val="auto"/>
          <w:kern w:val="0"/>
          <w:szCs w:val="21"/>
          <w:lang w:eastAsia="zh-Hans"/>
        </w:rPr>
      </w:pPr>
      <w:bookmarkStart w:id="18" w:name="_Hlk170237916"/>
      <w:r>
        <w:rPr>
          <w:rFonts w:hint="eastAsia" w:ascii="宋体" w:hAnsi="宋体" w:eastAsia="宋体" w:cs="宋体"/>
          <w:color w:val="auto"/>
          <w:kern w:val="0"/>
          <w:szCs w:val="21"/>
          <w:lang w:eastAsia="zh-Hans"/>
        </w:rPr>
        <w:t>采购合同订立后，合同各方不得擅自变更、中止或者终止合同。采购合同需要变更的，采购人应将有关合同变更内容，以书面形式报</w:t>
      </w:r>
      <w:r>
        <w:rPr>
          <w:rFonts w:hint="eastAsia" w:ascii="宋体" w:hAnsi="宋体" w:eastAsia="宋体" w:cs="宋体"/>
          <w:color w:val="auto"/>
          <w:kern w:val="0"/>
          <w:szCs w:val="21"/>
          <w:lang w:val="en-US" w:eastAsia="zh-CN"/>
        </w:rPr>
        <w:t>采购人有关部门</w:t>
      </w:r>
      <w:r>
        <w:rPr>
          <w:rFonts w:hint="eastAsia" w:ascii="宋体" w:hAnsi="宋体" w:eastAsia="宋体" w:cs="宋体"/>
          <w:color w:val="auto"/>
          <w:kern w:val="0"/>
          <w:szCs w:val="21"/>
          <w:lang w:eastAsia="zh-Hans"/>
        </w:rPr>
        <w:t>备案；因特殊情况需要中止或终止合同的，采购人应将中止或终止合同的理由以及相应措施，以书面形式报</w:t>
      </w:r>
      <w:r>
        <w:rPr>
          <w:rFonts w:hint="eastAsia" w:ascii="宋体" w:hAnsi="宋体" w:eastAsia="宋体" w:cs="宋体"/>
          <w:color w:val="auto"/>
          <w:kern w:val="0"/>
          <w:szCs w:val="21"/>
          <w:lang w:val="en-US" w:eastAsia="zh-CN"/>
        </w:rPr>
        <w:t>采购人有关</w:t>
      </w:r>
      <w:r>
        <w:rPr>
          <w:rFonts w:hint="eastAsia" w:ascii="宋体" w:hAnsi="宋体" w:eastAsia="宋体" w:cs="宋体"/>
          <w:color w:val="auto"/>
          <w:kern w:val="0"/>
          <w:szCs w:val="21"/>
          <w:lang w:eastAsia="zh-Hans"/>
        </w:rPr>
        <w:t>部门备案。</w:t>
      </w:r>
      <w:bookmarkEnd w:id="18"/>
    </w:p>
    <w:p w14:paraId="7DB3A8A0">
      <w:pPr>
        <w:pStyle w:val="27"/>
        <w:widowControl/>
        <w:numPr>
          <w:ilvl w:val="0"/>
          <w:numId w:val="59"/>
        </w:numPr>
        <w:tabs>
          <w:tab w:val="left" w:pos="993"/>
        </w:tabs>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19" w:name="_Hlk170237986"/>
      <w:r>
        <w:rPr>
          <w:rFonts w:hint="eastAsia" w:ascii="宋体" w:hAnsi="宋体" w:eastAsia="宋体" w:cs="宋体"/>
          <w:color w:val="auto"/>
          <w:kern w:val="0"/>
          <w:szCs w:val="21"/>
          <w:lang w:eastAsia="zh-Hans"/>
        </w:rPr>
        <w:t>签订补充合同的必须按规定备案。</w:t>
      </w:r>
    </w:p>
    <w:bookmarkEnd w:id="19"/>
    <w:p w14:paraId="7058F3DD">
      <w:pPr>
        <w:pageBreakBefore/>
        <w:widowControl/>
        <w:jc w:val="center"/>
        <w:outlineLvl w:val="1"/>
        <w:rPr>
          <w:rFonts w:hint="eastAsia" w:ascii="宋体" w:hAnsi="宋体" w:eastAsia="宋体" w:cs="宋体"/>
          <w:color w:val="auto"/>
          <w:kern w:val="0"/>
          <w:sz w:val="20"/>
          <w:szCs w:val="20"/>
          <w:lang w:eastAsia="zh-Hans"/>
        </w:rPr>
      </w:pPr>
      <w:bookmarkStart w:id="20" w:name="_Toc169807543"/>
      <w:bookmarkStart w:id="21" w:name="_Toc169799781"/>
      <w:r>
        <w:rPr>
          <w:rFonts w:hint="eastAsia" w:ascii="宋体" w:hAnsi="宋体" w:eastAsia="宋体" w:cs="宋体"/>
          <w:b/>
          <w:color w:val="auto"/>
          <w:kern w:val="0"/>
          <w:sz w:val="36"/>
          <w:szCs w:val="20"/>
          <w:lang w:eastAsia="zh-Hans"/>
        </w:rPr>
        <w:t>第四章 评标</w:t>
      </w:r>
      <w:bookmarkEnd w:id="20"/>
      <w:bookmarkEnd w:id="21"/>
    </w:p>
    <w:p w14:paraId="1F905B4D">
      <w:pPr>
        <w:pStyle w:val="27"/>
        <w:numPr>
          <w:ilvl w:val="0"/>
          <w:numId w:val="60"/>
        </w:numPr>
        <w:ind w:firstLineChars="0"/>
        <w:rPr>
          <w:rFonts w:hint="eastAsia" w:ascii="宋体" w:hAnsi="宋体" w:eastAsia="宋体" w:cs="宋体"/>
          <w:b/>
          <w:bCs/>
          <w:color w:val="auto"/>
        </w:rPr>
      </w:pPr>
      <w:r>
        <w:rPr>
          <w:rFonts w:hint="eastAsia" w:ascii="宋体" w:hAnsi="宋体" w:eastAsia="宋体" w:cs="宋体"/>
          <w:b/>
          <w:bCs/>
          <w:color w:val="auto"/>
        </w:rPr>
        <w:t>评标要求</w:t>
      </w:r>
    </w:p>
    <w:p w14:paraId="000B4FC0">
      <w:pPr>
        <w:pStyle w:val="27"/>
        <w:widowControl/>
        <w:numPr>
          <w:ilvl w:val="3"/>
          <w:numId w:val="61"/>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评标方法</w:t>
      </w:r>
    </w:p>
    <w:p w14:paraId="7D12ED5E">
      <w:pPr>
        <w:pStyle w:val="27"/>
        <w:widowControl/>
        <w:numPr>
          <w:ilvl w:val="0"/>
          <w:numId w:val="62"/>
        </w:numPr>
        <w:ind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本项目按照综合评分法的评标方法进行评审</w:t>
      </w:r>
    </w:p>
    <w:p w14:paraId="4CFF23C2">
      <w:pPr>
        <w:pStyle w:val="27"/>
        <w:widowControl/>
        <w:numPr>
          <w:ilvl w:val="0"/>
          <w:numId w:val="62"/>
        </w:numPr>
        <w:ind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综合评分法,是指投标文件满足招标文件全部实质性要求，且按照评审因素的量化指标评审得分最高的投标人为中标候选人的评标方法。（最低报价不是中标的唯一依据。）</w:t>
      </w:r>
    </w:p>
    <w:p w14:paraId="730BAD5B">
      <w:pPr>
        <w:pStyle w:val="27"/>
        <w:widowControl/>
        <w:numPr>
          <w:ilvl w:val="3"/>
          <w:numId w:val="61"/>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评标原则</w:t>
      </w:r>
    </w:p>
    <w:p w14:paraId="644A3CC7">
      <w:pPr>
        <w:pStyle w:val="27"/>
        <w:widowControl/>
        <w:numPr>
          <w:ilvl w:val="0"/>
          <w:numId w:val="63"/>
        </w:numPr>
        <w:tabs>
          <w:tab w:val="left" w:pos="426"/>
          <w:tab w:val="left" w:pos="709"/>
          <w:tab w:val="left" w:pos="993"/>
        </w:tabs>
        <w:ind w:left="567" w:hanging="567"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评标活动遵循公平、公正、科学和择优的原则，以招标文件和投标文件为评标的基本依据，并按照招标文件规定的评标方法和评标标准进行评标。</w:t>
      </w:r>
    </w:p>
    <w:p w14:paraId="763316F0">
      <w:pPr>
        <w:pStyle w:val="27"/>
        <w:widowControl/>
        <w:numPr>
          <w:ilvl w:val="0"/>
          <w:numId w:val="63"/>
        </w:numPr>
        <w:tabs>
          <w:tab w:val="left" w:pos="426"/>
          <w:tab w:val="left" w:pos="709"/>
          <w:tab w:val="left" w:pos="993"/>
        </w:tabs>
        <w:ind w:left="567" w:hanging="567"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具体评标事项由评标委员会负责，并按招标文件的规定办法进行评审。</w:t>
      </w:r>
    </w:p>
    <w:p w14:paraId="34C8B732">
      <w:pPr>
        <w:pStyle w:val="27"/>
        <w:widowControl/>
        <w:numPr>
          <w:ilvl w:val="0"/>
          <w:numId w:val="63"/>
        </w:numPr>
        <w:tabs>
          <w:tab w:val="left" w:pos="426"/>
          <w:tab w:val="left" w:pos="709"/>
          <w:tab w:val="left" w:pos="993"/>
        </w:tabs>
        <w:ind w:left="567" w:hanging="567"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合格投标人不足须知前附表中约定的有效供应商家数的，不得评标。</w:t>
      </w:r>
    </w:p>
    <w:p w14:paraId="1328CF1C">
      <w:pPr>
        <w:pStyle w:val="27"/>
        <w:widowControl/>
        <w:numPr>
          <w:ilvl w:val="3"/>
          <w:numId w:val="61"/>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评标委员会</w:t>
      </w:r>
    </w:p>
    <w:p w14:paraId="1A36B4E5">
      <w:pPr>
        <w:pStyle w:val="27"/>
        <w:widowControl/>
        <w:numPr>
          <w:ilvl w:val="0"/>
          <w:numId w:val="64"/>
        </w:numPr>
        <w:tabs>
          <w:tab w:val="left" w:pos="284"/>
          <w:tab w:val="left" w:pos="426"/>
          <w:tab w:val="left" w:pos="851"/>
          <w:tab w:val="left" w:pos="1134"/>
          <w:tab w:val="left" w:pos="1560"/>
        </w:tabs>
        <w:ind w:hanging="2240"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本次招标依法组建评标委员会。</w:t>
      </w:r>
    </w:p>
    <w:p w14:paraId="2A82B383">
      <w:pPr>
        <w:pStyle w:val="27"/>
        <w:widowControl/>
        <w:numPr>
          <w:ilvl w:val="0"/>
          <w:numId w:val="64"/>
        </w:numPr>
        <w:tabs>
          <w:tab w:val="left" w:pos="284"/>
          <w:tab w:val="left" w:pos="426"/>
          <w:tab w:val="left" w:pos="851"/>
          <w:tab w:val="left" w:pos="1134"/>
          <w:tab w:val="left" w:pos="1560"/>
        </w:tabs>
        <w:ind w:left="426" w:hanging="426"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评标委员会成员名单在评标结果公告前应当保密。评审专家有下列情形之一的，受到邀请应主动提出回避，采购当事人也可以要求该评审专家回避：</w:t>
      </w:r>
    </w:p>
    <w:p w14:paraId="6336B898">
      <w:pPr>
        <w:pStyle w:val="27"/>
        <w:widowControl/>
        <w:numPr>
          <w:ilvl w:val="0"/>
          <w:numId w:val="65"/>
        </w:numPr>
        <w:tabs>
          <w:tab w:val="left" w:pos="709"/>
          <w:tab w:val="left" w:pos="851"/>
          <w:tab w:val="left" w:pos="1418"/>
        </w:tabs>
        <w:ind w:hanging="2240"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参加采购活动前3年内与供应商存在劳动关系；</w:t>
      </w:r>
    </w:p>
    <w:p w14:paraId="2BCB6405">
      <w:pPr>
        <w:pStyle w:val="27"/>
        <w:widowControl/>
        <w:numPr>
          <w:ilvl w:val="0"/>
          <w:numId w:val="65"/>
        </w:numPr>
        <w:tabs>
          <w:tab w:val="left" w:pos="709"/>
          <w:tab w:val="left" w:pos="851"/>
          <w:tab w:val="left" w:pos="1418"/>
        </w:tabs>
        <w:ind w:hanging="2240"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参加采购活动前3年内担任供应商的董事、监事；</w:t>
      </w:r>
    </w:p>
    <w:p w14:paraId="796525B9">
      <w:pPr>
        <w:pStyle w:val="27"/>
        <w:widowControl/>
        <w:numPr>
          <w:ilvl w:val="0"/>
          <w:numId w:val="65"/>
        </w:numPr>
        <w:tabs>
          <w:tab w:val="left" w:pos="709"/>
          <w:tab w:val="left" w:pos="851"/>
          <w:tab w:val="left" w:pos="1418"/>
        </w:tabs>
        <w:ind w:hanging="2240"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参加采购活动前3年内是供应商的控股股东或者实际控制人；</w:t>
      </w:r>
    </w:p>
    <w:p w14:paraId="0CA88AFA">
      <w:pPr>
        <w:pStyle w:val="27"/>
        <w:widowControl/>
        <w:numPr>
          <w:ilvl w:val="0"/>
          <w:numId w:val="65"/>
        </w:numPr>
        <w:tabs>
          <w:tab w:val="left" w:pos="709"/>
          <w:tab w:val="left" w:pos="851"/>
          <w:tab w:val="left" w:pos="1418"/>
        </w:tabs>
        <w:ind w:left="709" w:hanging="709" w:firstLineChars="0"/>
        <w:jc w:val="left"/>
        <w:rPr>
          <w:rFonts w:hint="eastAsia" w:ascii="宋体" w:hAnsi="宋体" w:eastAsia="宋体" w:cs="宋体"/>
          <w:color w:val="auto"/>
          <w:spacing w:val="-4"/>
          <w:kern w:val="0"/>
          <w:szCs w:val="21"/>
        </w:rPr>
      </w:pPr>
      <w:r>
        <w:rPr>
          <w:rFonts w:hint="eastAsia" w:ascii="宋体" w:hAnsi="宋体" w:eastAsia="宋体" w:cs="宋体"/>
          <w:color w:val="auto"/>
          <w:spacing w:val="-4"/>
          <w:kern w:val="0"/>
          <w:szCs w:val="21"/>
        </w:rPr>
        <w:t>与供应商的法定代表人或者负责人有夫妻、直系血亲、三代以内旁系血亲或者近姻亲关系；</w:t>
      </w:r>
    </w:p>
    <w:p w14:paraId="16FF92C4">
      <w:pPr>
        <w:pStyle w:val="27"/>
        <w:widowControl/>
        <w:numPr>
          <w:ilvl w:val="0"/>
          <w:numId w:val="65"/>
        </w:numPr>
        <w:tabs>
          <w:tab w:val="left" w:pos="709"/>
          <w:tab w:val="left" w:pos="851"/>
          <w:tab w:val="left" w:pos="1418"/>
        </w:tabs>
        <w:ind w:hanging="2240"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与供应商有其他可能影响采购活动公平、公正进行的关系。</w:t>
      </w:r>
    </w:p>
    <w:p w14:paraId="65AE34BB">
      <w:pPr>
        <w:pStyle w:val="27"/>
        <w:widowControl/>
        <w:numPr>
          <w:ilvl w:val="0"/>
          <w:numId w:val="64"/>
        </w:numPr>
        <w:tabs>
          <w:tab w:val="left" w:pos="284"/>
          <w:tab w:val="left" w:pos="426"/>
          <w:tab w:val="left" w:pos="851"/>
          <w:tab w:val="left" w:pos="1134"/>
          <w:tab w:val="left" w:pos="1560"/>
        </w:tabs>
        <w:ind w:left="426" w:hanging="426"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评标委员会负责具体评标事务，并独立履行下列职责：</w:t>
      </w:r>
    </w:p>
    <w:p w14:paraId="7D20F3CB">
      <w:pPr>
        <w:pStyle w:val="27"/>
        <w:widowControl/>
        <w:numPr>
          <w:ilvl w:val="0"/>
          <w:numId w:val="66"/>
        </w:numPr>
        <w:tabs>
          <w:tab w:val="left" w:pos="709"/>
          <w:tab w:val="left" w:pos="851"/>
          <w:tab w:val="left" w:pos="1134"/>
          <w:tab w:val="left" w:pos="1418"/>
        </w:tabs>
        <w:ind w:hanging="2240"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审查、评价投标文件是否符合招标文件的商务、技术等实质性要求；</w:t>
      </w:r>
    </w:p>
    <w:p w14:paraId="08DBB929">
      <w:pPr>
        <w:pStyle w:val="27"/>
        <w:widowControl/>
        <w:numPr>
          <w:ilvl w:val="0"/>
          <w:numId w:val="66"/>
        </w:numPr>
        <w:tabs>
          <w:tab w:val="left" w:pos="709"/>
          <w:tab w:val="left" w:pos="851"/>
          <w:tab w:val="left" w:pos="1134"/>
          <w:tab w:val="left" w:pos="1418"/>
        </w:tabs>
        <w:ind w:hanging="2240"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要求投标人对投标文件有关事项作出澄清或者说明；</w:t>
      </w:r>
    </w:p>
    <w:p w14:paraId="07333D05">
      <w:pPr>
        <w:pStyle w:val="27"/>
        <w:widowControl/>
        <w:numPr>
          <w:ilvl w:val="0"/>
          <w:numId w:val="66"/>
        </w:numPr>
        <w:tabs>
          <w:tab w:val="left" w:pos="709"/>
          <w:tab w:val="left" w:pos="851"/>
          <w:tab w:val="left" w:pos="1134"/>
          <w:tab w:val="left" w:pos="1418"/>
        </w:tabs>
        <w:ind w:hanging="2240"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对投标文件进行比较和评价；</w:t>
      </w:r>
    </w:p>
    <w:p w14:paraId="7C9254EA">
      <w:pPr>
        <w:pStyle w:val="27"/>
        <w:widowControl/>
        <w:numPr>
          <w:ilvl w:val="0"/>
          <w:numId w:val="66"/>
        </w:numPr>
        <w:tabs>
          <w:tab w:val="left" w:pos="709"/>
          <w:tab w:val="left" w:pos="851"/>
          <w:tab w:val="left" w:pos="1134"/>
          <w:tab w:val="left" w:pos="1418"/>
        </w:tabs>
        <w:ind w:hanging="2240"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确定中标候选人名单，以及根据采购人委托直接确定中标人；</w:t>
      </w:r>
    </w:p>
    <w:p w14:paraId="7D635E67">
      <w:pPr>
        <w:pStyle w:val="27"/>
        <w:widowControl/>
        <w:numPr>
          <w:ilvl w:val="0"/>
          <w:numId w:val="66"/>
        </w:numPr>
        <w:tabs>
          <w:tab w:val="left" w:pos="709"/>
          <w:tab w:val="left" w:pos="851"/>
          <w:tab w:val="left" w:pos="1134"/>
          <w:tab w:val="left" w:pos="1418"/>
        </w:tabs>
        <w:ind w:hanging="2240"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向采购人、采购代理机构或者有关部门报告评标中发现的违法行为。</w:t>
      </w:r>
    </w:p>
    <w:p w14:paraId="2761D361">
      <w:pPr>
        <w:pStyle w:val="27"/>
        <w:widowControl/>
        <w:numPr>
          <w:ilvl w:val="0"/>
          <w:numId w:val="66"/>
        </w:numPr>
        <w:tabs>
          <w:tab w:val="left" w:pos="709"/>
          <w:tab w:val="left" w:pos="851"/>
          <w:tab w:val="left" w:pos="1134"/>
          <w:tab w:val="left" w:pos="1418"/>
          <w:tab w:val="left" w:pos="1701"/>
        </w:tabs>
        <w:ind w:left="709" w:hanging="709"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对于投标文件中含义不明确、同类问题表述不一致或者有明显文字和计算错误的内容，评标委员会应当以书面形式要求投标人作出必要的澄清、说明或者补正。</w:t>
      </w:r>
    </w:p>
    <w:p w14:paraId="24AEEE07">
      <w:pPr>
        <w:pStyle w:val="27"/>
        <w:widowControl/>
        <w:numPr>
          <w:ilvl w:val="0"/>
          <w:numId w:val="66"/>
        </w:numPr>
        <w:tabs>
          <w:tab w:val="left" w:pos="709"/>
          <w:tab w:val="left" w:pos="851"/>
          <w:tab w:val="left" w:pos="1134"/>
          <w:tab w:val="left" w:pos="1418"/>
          <w:tab w:val="left" w:pos="1701"/>
        </w:tabs>
        <w:ind w:left="709" w:hanging="709"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7"/>
        <w:widowControl/>
        <w:numPr>
          <w:ilvl w:val="0"/>
          <w:numId w:val="66"/>
        </w:numPr>
        <w:tabs>
          <w:tab w:val="left" w:pos="567"/>
          <w:tab w:val="left" w:pos="709"/>
          <w:tab w:val="left" w:pos="1134"/>
          <w:tab w:val="left" w:pos="1418"/>
          <w:tab w:val="left" w:pos="1701"/>
        </w:tabs>
        <w:ind w:left="709" w:hanging="709" w:firstLineChars="0"/>
        <w:jc w:val="left"/>
        <w:rPr>
          <w:rFonts w:hint="eastAsia" w:ascii="宋体" w:hAnsi="宋体" w:eastAsia="宋体" w:cs="宋体"/>
          <w:color w:val="auto"/>
          <w:kern w:val="0"/>
          <w:szCs w:val="21"/>
        </w:rPr>
      </w:pPr>
      <w:r>
        <w:rPr>
          <w:rFonts w:hint="eastAsia" w:ascii="宋体" w:hAnsi="宋体" w:eastAsia="宋体" w:cs="宋体"/>
          <w:color w:val="auto"/>
          <w:kern w:val="0"/>
          <w:szCs w:val="21"/>
        </w:rPr>
        <w:t>参与评标工作的所有人员必须遵守《中华人民共和国政府采购法》、《中华人民共和国政府采购法实施条例》、财政部《政府采购货物和服务招标投标管理办法》及相关法律、法规的规定，以确保评标的公平、公正。</w:t>
      </w:r>
    </w:p>
    <w:p w14:paraId="087B6B85">
      <w:pPr>
        <w:pStyle w:val="27"/>
        <w:widowControl/>
        <w:numPr>
          <w:ilvl w:val="3"/>
          <w:numId w:val="61"/>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有下列情形之一的，视为投标人串通投标，其投标无效：</w:t>
      </w:r>
    </w:p>
    <w:p w14:paraId="10FC83CC">
      <w:pPr>
        <w:pStyle w:val="27"/>
        <w:numPr>
          <w:ilvl w:val="0"/>
          <w:numId w:val="67"/>
        </w:numPr>
        <w:tabs>
          <w:tab w:val="left" w:pos="426"/>
          <w:tab w:val="left" w:pos="1276"/>
        </w:tabs>
        <w:ind w:hanging="2240" w:firstLineChars="0"/>
        <w:jc w:val="left"/>
        <w:rPr>
          <w:rFonts w:hint="eastAsia" w:ascii="宋体" w:hAnsi="宋体" w:eastAsia="宋体" w:cs="宋体"/>
          <w:color w:val="auto"/>
          <w:szCs w:val="21"/>
        </w:rPr>
      </w:pPr>
      <w:r>
        <w:rPr>
          <w:rFonts w:hint="eastAsia" w:ascii="宋体" w:hAnsi="宋体" w:eastAsia="宋体" w:cs="宋体"/>
          <w:color w:val="auto"/>
          <w:szCs w:val="21"/>
        </w:rPr>
        <w:t>不同投标人的投标文件由同一单位或者个人编制；</w:t>
      </w:r>
    </w:p>
    <w:p w14:paraId="4258DDB6">
      <w:pPr>
        <w:pStyle w:val="27"/>
        <w:numPr>
          <w:ilvl w:val="0"/>
          <w:numId w:val="67"/>
        </w:numPr>
        <w:tabs>
          <w:tab w:val="left" w:pos="426"/>
          <w:tab w:val="left" w:pos="1276"/>
        </w:tabs>
        <w:ind w:hanging="2240" w:firstLineChars="0"/>
        <w:jc w:val="left"/>
        <w:rPr>
          <w:rFonts w:hint="eastAsia" w:ascii="宋体" w:hAnsi="宋体" w:eastAsia="宋体" w:cs="宋体"/>
          <w:color w:val="auto"/>
          <w:szCs w:val="21"/>
        </w:rPr>
      </w:pPr>
      <w:r>
        <w:rPr>
          <w:rFonts w:hint="eastAsia" w:ascii="宋体" w:hAnsi="宋体" w:eastAsia="宋体" w:cs="宋体"/>
          <w:color w:val="auto"/>
          <w:szCs w:val="21"/>
        </w:rPr>
        <w:t>不同投标人委托同一单位或者个人办理投标事宜；</w:t>
      </w:r>
    </w:p>
    <w:p w14:paraId="663E5639">
      <w:pPr>
        <w:pStyle w:val="27"/>
        <w:numPr>
          <w:ilvl w:val="0"/>
          <w:numId w:val="67"/>
        </w:numPr>
        <w:tabs>
          <w:tab w:val="left" w:pos="426"/>
          <w:tab w:val="left" w:pos="1276"/>
        </w:tabs>
        <w:ind w:hanging="2240" w:firstLineChars="0"/>
        <w:jc w:val="left"/>
        <w:rPr>
          <w:rFonts w:hint="eastAsia" w:ascii="宋体" w:hAnsi="宋体" w:eastAsia="宋体" w:cs="宋体"/>
          <w:color w:val="auto"/>
          <w:szCs w:val="21"/>
        </w:rPr>
      </w:pPr>
      <w:r>
        <w:rPr>
          <w:rFonts w:hint="eastAsia" w:ascii="宋体" w:hAnsi="宋体" w:eastAsia="宋体" w:cs="宋体"/>
          <w:color w:val="auto"/>
          <w:szCs w:val="21"/>
        </w:rPr>
        <w:t>不同投标人的投标文件载明的项目管理成员或者联系人员为同一人；</w:t>
      </w:r>
    </w:p>
    <w:p w14:paraId="007EB103">
      <w:pPr>
        <w:pStyle w:val="27"/>
        <w:numPr>
          <w:ilvl w:val="0"/>
          <w:numId w:val="67"/>
        </w:numPr>
        <w:tabs>
          <w:tab w:val="left" w:pos="426"/>
          <w:tab w:val="left" w:pos="1276"/>
        </w:tabs>
        <w:ind w:hanging="2240" w:firstLineChars="0"/>
        <w:jc w:val="left"/>
        <w:rPr>
          <w:rFonts w:hint="eastAsia" w:ascii="宋体" w:hAnsi="宋体" w:eastAsia="宋体" w:cs="宋体"/>
          <w:color w:val="auto"/>
          <w:szCs w:val="21"/>
        </w:rPr>
      </w:pPr>
      <w:r>
        <w:rPr>
          <w:rFonts w:hint="eastAsia" w:ascii="宋体" w:hAnsi="宋体" w:eastAsia="宋体" w:cs="宋体"/>
          <w:color w:val="auto"/>
          <w:szCs w:val="21"/>
        </w:rPr>
        <w:t>不同投标人的投标文件异常一致或者投标报价呈规律性差异；</w:t>
      </w:r>
    </w:p>
    <w:p w14:paraId="17596D93">
      <w:pPr>
        <w:pStyle w:val="27"/>
        <w:numPr>
          <w:ilvl w:val="0"/>
          <w:numId w:val="67"/>
        </w:numPr>
        <w:tabs>
          <w:tab w:val="left" w:pos="426"/>
          <w:tab w:val="left" w:pos="1276"/>
        </w:tabs>
        <w:ind w:hanging="2240" w:firstLineChars="0"/>
        <w:jc w:val="left"/>
        <w:rPr>
          <w:rFonts w:hint="eastAsia" w:ascii="宋体" w:hAnsi="宋体" w:eastAsia="宋体" w:cs="宋体"/>
          <w:color w:val="auto"/>
          <w:szCs w:val="21"/>
        </w:rPr>
      </w:pPr>
      <w:r>
        <w:rPr>
          <w:rFonts w:hint="eastAsia" w:ascii="宋体" w:hAnsi="宋体" w:eastAsia="宋体" w:cs="宋体"/>
          <w:color w:val="auto"/>
          <w:szCs w:val="21"/>
        </w:rPr>
        <w:t>不同投标人的投标文件相互混装；</w:t>
      </w:r>
    </w:p>
    <w:p w14:paraId="47D9FE45">
      <w:pPr>
        <w:pStyle w:val="27"/>
        <w:numPr>
          <w:ilvl w:val="0"/>
          <w:numId w:val="67"/>
        </w:numPr>
        <w:tabs>
          <w:tab w:val="left" w:pos="426"/>
          <w:tab w:val="left" w:pos="1276"/>
        </w:tabs>
        <w:ind w:hanging="2240"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szCs w:val="21"/>
        </w:rPr>
        <w:t>不同投标人的投标保证金从同一单位或者个人的账户转出。</w:t>
      </w:r>
    </w:p>
    <w:p w14:paraId="7354DA2F">
      <w:pPr>
        <w:pStyle w:val="27"/>
        <w:widowControl/>
        <w:numPr>
          <w:ilvl w:val="3"/>
          <w:numId w:val="61"/>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投标无效的情形</w:t>
      </w:r>
    </w:p>
    <w:p w14:paraId="19433EA1">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详见资格性审查、符合性审查和招标文件其他投标无效条款。</w:t>
      </w:r>
    </w:p>
    <w:p w14:paraId="43C65C36">
      <w:pPr>
        <w:pStyle w:val="27"/>
        <w:widowControl/>
        <w:numPr>
          <w:ilvl w:val="3"/>
          <w:numId w:val="61"/>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定标</w:t>
      </w:r>
    </w:p>
    <w:p w14:paraId="2BCC6686">
      <w:pPr>
        <w:pStyle w:val="27"/>
        <w:widowControl/>
        <w:numPr>
          <w:ilvl w:val="0"/>
          <w:numId w:val="68"/>
        </w:numPr>
        <w:ind w:left="426" w:hanging="426"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评标委员会按照招标文件确定的评标方法、步骤、标准，对投标文件进行评审。评标结束后，对投标人的评审名次进行排序，确定中标供应商或者推荐中标候选人。</w:t>
      </w:r>
    </w:p>
    <w:p w14:paraId="5B85F387">
      <w:pPr>
        <w:pStyle w:val="27"/>
        <w:widowControl/>
        <w:numPr>
          <w:ilvl w:val="3"/>
          <w:numId w:val="61"/>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价格修正</w:t>
      </w:r>
    </w:p>
    <w:p w14:paraId="3CDC5B82">
      <w:pPr>
        <w:pStyle w:val="27"/>
        <w:widowControl/>
        <w:numPr>
          <w:ilvl w:val="0"/>
          <w:numId w:val="69"/>
        </w:numPr>
        <w:tabs>
          <w:tab w:val="left" w:pos="426"/>
          <w:tab w:val="left" w:pos="993"/>
          <w:tab w:val="left" w:pos="1276"/>
        </w:tabs>
        <w:ind w:hanging="2240"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对报价的计算错误按以下原则修正：</w:t>
      </w:r>
    </w:p>
    <w:p w14:paraId="6CAF5F6B">
      <w:pPr>
        <w:pStyle w:val="27"/>
        <w:widowControl/>
        <w:numPr>
          <w:ilvl w:val="0"/>
          <w:numId w:val="70"/>
        </w:numPr>
        <w:ind w:left="709" w:hanging="709"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投标文件中开标一览表内容与投标文件中相应内容不一致的，以开标一览表为准；</w:t>
      </w:r>
    </w:p>
    <w:p w14:paraId="1EEC79DE">
      <w:pPr>
        <w:pStyle w:val="27"/>
        <w:widowControl/>
        <w:numPr>
          <w:ilvl w:val="0"/>
          <w:numId w:val="70"/>
        </w:numPr>
        <w:ind w:left="709" w:hanging="709"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大写金额和小写金额不一致的，以大写金额为准；</w:t>
      </w:r>
    </w:p>
    <w:p w14:paraId="710C05FF">
      <w:pPr>
        <w:pStyle w:val="27"/>
        <w:widowControl/>
        <w:numPr>
          <w:ilvl w:val="0"/>
          <w:numId w:val="70"/>
        </w:numPr>
        <w:ind w:left="709" w:hanging="709"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单价金额小数点或者百分比有明显错位的，以开标一览表的总价为准，并修改单价；</w:t>
      </w:r>
    </w:p>
    <w:p w14:paraId="754F0B5C">
      <w:pPr>
        <w:pStyle w:val="27"/>
        <w:widowControl/>
        <w:numPr>
          <w:ilvl w:val="0"/>
          <w:numId w:val="70"/>
        </w:numPr>
        <w:ind w:left="709" w:hanging="709"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总价金额与按单价汇总金额不一致的，以单价金额计算结果为准。但是单价金额计算结果超过预算价的，对其按无效投标处理。</w:t>
      </w:r>
    </w:p>
    <w:p w14:paraId="7015B870">
      <w:pPr>
        <w:widowControl/>
        <w:jc w:val="left"/>
        <w:rPr>
          <w:rFonts w:hint="eastAsia" w:ascii="宋体" w:hAnsi="宋体" w:eastAsia="宋体" w:cs="宋体"/>
          <w:color w:val="auto"/>
          <w:szCs w:val="21"/>
          <w:highlight w:val="none"/>
          <w:shd w:val="clear" w:color="auto" w:fill="FFFFFF"/>
        </w:rPr>
      </w:pPr>
      <w:bookmarkStart w:id="22" w:name="_Hlk169887785"/>
      <w:r>
        <w:rPr>
          <w:rFonts w:hint="eastAsia" w:ascii="宋体" w:hAnsi="宋体" w:eastAsia="宋体" w:cs="宋体"/>
          <w:color w:val="auto"/>
          <w:kern w:val="0"/>
          <w:szCs w:val="21"/>
          <w:lang w:eastAsia="zh-Hans"/>
        </w:rPr>
        <w:t>注：</w:t>
      </w:r>
      <w:r>
        <w:rPr>
          <w:rFonts w:hint="eastAsia" w:ascii="宋体" w:hAnsi="宋体" w:eastAsia="宋体" w:cs="宋体"/>
          <w:color w:val="auto"/>
          <w:szCs w:val="21"/>
          <w:shd w:val="clear" w:color="auto" w:fill="FFFFFF"/>
        </w:rPr>
        <w:t>同时出现2种以上不</w:t>
      </w:r>
      <w:r>
        <w:rPr>
          <w:rFonts w:hint="eastAsia" w:ascii="宋体" w:hAnsi="宋体" w:eastAsia="宋体" w:cs="宋体"/>
          <w:color w:val="auto"/>
          <w:szCs w:val="21"/>
          <w:highlight w:val="none"/>
          <w:shd w:val="clear" w:color="auto" w:fill="FFFFFF"/>
        </w:rPr>
        <w:t>一致的，按照前款规定的顺序修正。修正后的报价应当采用书面形式，并加盖公章，或者由法定代表人或其授权的代表签字，经投标人确认后产生约束力，投标人不确认的，其投标无效。</w:t>
      </w:r>
    </w:p>
    <w:bookmarkEnd w:id="22"/>
    <w:p w14:paraId="220127BA">
      <w:pPr>
        <w:pStyle w:val="27"/>
        <w:widowControl/>
        <w:numPr>
          <w:ilvl w:val="0"/>
          <w:numId w:val="69"/>
        </w:numPr>
        <w:tabs>
          <w:tab w:val="left" w:pos="426"/>
          <w:tab w:val="left" w:pos="993"/>
          <w:tab w:val="left" w:pos="1276"/>
          <w:tab w:val="left" w:pos="1843"/>
        </w:tabs>
        <w:ind w:left="426" w:hanging="426"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投标文件中开标一览表、分项报价表内容与唱标信封中开标一览表、分项报价报内容不一致的，以唱标信封中开标一览表、分项报价表内容为准。</w:t>
      </w:r>
    </w:p>
    <w:p w14:paraId="609FC80E">
      <w:pPr>
        <w:pStyle w:val="27"/>
        <w:numPr>
          <w:ilvl w:val="0"/>
          <w:numId w:val="60"/>
        </w:numPr>
        <w:ind w:firstLineChars="0"/>
        <w:rPr>
          <w:rFonts w:hint="eastAsia" w:ascii="宋体" w:hAnsi="宋体" w:eastAsia="宋体" w:cs="宋体"/>
          <w:color w:val="auto"/>
          <w:kern w:val="0"/>
          <w:szCs w:val="21"/>
          <w:highlight w:val="none"/>
          <w:lang w:eastAsia="zh-Hans"/>
        </w:rPr>
      </w:pPr>
      <w:bookmarkStart w:id="23" w:name="_Toc169799782"/>
      <w:r>
        <w:rPr>
          <w:rFonts w:hint="eastAsia" w:ascii="宋体" w:hAnsi="宋体" w:eastAsia="宋体" w:cs="宋体"/>
          <w:b/>
          <w:bCs/>
          <w:color w:val="auto"/>
          <w:highlight w:val="none"/>
        </w:rPr>
        <w:t>政府采购政策落实</w:t>
      </w:r>
      <w:bookmarkEnd w:id="23"/>
    </w:p>
    <w:p w14:paraId="659F7467">
      <w:pPr>
        <w:pStyle w:val="27"/>
        <w:numPr>
          <w:ilvl w:val="1"/>
          <w:numId w:val="71"/>
        </w:numPr>
        <w:ind w:left="426" w:hanging="426"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hint="eastAsia" w:ascii="宋体" w:hAnsi="宋体" w:eastAsia="宋体" w:cs="宋体"/>
          <w:color w:val="auto"/>
          <w:szCs w:val="21"/>
          <w:highlight w:val="none"/>
        </w:rPr>
      </w:pPr>
      <w:r>
        <w:rPr>
          <w:rFonts w:hint="eastAsia" w:ascii="宋体" w:hAnsi="宋体" w:eastAsia="宋体" w:cs="宋体"/>
          <w:bCs/>
          <w:color w:val="auto"/>
          <w:szCs w:val="21"/>
          <w:highlight w:val="none"/>
        </w:rPr>
        <w:t>投标人价格得分=(评标基准价／投标报价)×</w:t>
      </w:r>
      <w:r>
        <w:rPr>
          <w:rFonts w:hint="eastAsia" w:ascii="宋体" w:hAnsi="宋体" w:eastAsia="宋体" w:cs="宋体"/>
          <w:color w:val="auto"/>
          <w:szCs w:val="21"/>
          <w:highlight w:val="none"/>
        </w:rPr>
        <w:t>价格权值</w:t>
      </w:r>
      <w:r>
        <w:rPr>
          <w:rFonts w:hint="eastAsia" w:ascii="宋体" w:hAnsi="宋体" w:eastAsia="宋体" w:cs="宋体"/>
          <w:bCs/>
          <w:color w:val="auto"/>
          <w:szCs w:val="21"/>
          <w:highlight w:val="none"/>
        </w:rPr>
        <w:t>×100</w:t>
      </w:r>
    </w:p>
    <w:p w14:paraId="3F691DA3">
      <w:pPr>
        <w:ind w:firstLine="404" w:firstLineChars="200"/>
        <w:jc w:val="left"/>
        <w:rPr>
          <w:rFonts w:hint="eastAsia" w:ascii="宋体" w:hAnsi="宋体" w:eastAsia="宋体" w:cs="宋体"/>
          <w:bCs/>
          <w:color w:val="auto"/>
          <w:spacing w:val="-4"/>
          <w:szCs w:val="21"/>
        </w:rPr>
      </w:pPr>
      <w:r>
        <w:rPr>
          <w:rFonts w:hint="eastAsia" w:ascii="宋体" w:hAnsi="宋体" w:eastAsia="宋体" w:cs="宋体"/>
          <w:bCs/>
          <w:color w:val="auto"/>
          <w:spacing w:val="-4"/>
          <w:szCs w:val="21"/>
          <w:highlight w:val="none"/>
        </w:rPr>
        <w:t>注：因落实政</w:t>
      </w:r>
      <w:r>
        <w:rPr>
          <w:rFonts w:hint="eastAsia" w:ascii="宋体" w:hAnsi="宋体" w:eastAsia="宋体" w:cs="宋体"/>
          <w:bCs/>
          <w:color w:val="auto"/>
          <w:spacing w:val="-4"/>
          <w:szCs w:val="21"/>
        </w:rPr>
        <w:t>府采购政策进行价格调整的，以调整后的价格计算评标基准价和投标报价。</w:t>
      </w:r>
    </w:p>
    <w:p w14:paraId="3EA2C08B">
      <w:pPr>
        <w:pStyle w:val="27"/>
        <w:numPr>
          <w:ilvl w:val="1"/>
          <w:numId w:val="71"/>
        </w:numPr>
        <w:ind w:left="426" w:hanging="426" w:firstLineChars="0"/>
        <w:rPr>
          <w:rFonts w:hint="eastAsia" w:ascii="宋体" w:hAnsi="宋体" w:eastAsia="宋体" w:cs="宋体"/>
          <w:b/>
          <w:bCs/>
          <w:color w:val="auto"/>
          <w:szCs w:val="21"/>
        </w:rPr>
      </w:pPr>
      <w:r>
        <w:rPr>
          <w:rFonts w:hint="eastAsia" w:ascii="宋体" w:hAnsi="宋体" w:eastAsia="宋体" w:cs="宋体"/>
          <w:b/>
          <w:bCs/>
          <w:color w:val="auto"/>
          <w:szCs w:val="21"/>
        </w:rPr>
        <w:t>商务技术及价格评分权值分配</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hint="eastAsia" w:ascii="宋体" w:hAnsi="宋体" w:eastAsia="宋体" w:cs="宋体"/>
                <w:color w:val="auto"/>
                <w:szCs w:val="21"/>
              </w:rPr>
            </w:pPr>
            <w:r>
              <w:rPr>
                <w:rFonts w:hint="eastAsia" w:ascii="宋体" w:hAnsi="宋体" w:eastAsia="宋体" w:cs="宋体"/>
                <w:color w:val="auto"/>
                <w:szCs w:val="21"/>
              </w:rPr>
              <w:t>评分项目</w:t>
            </w:r>
          </w:p>
        </w:tc>
        <w:tc>
          <w:tcPr>
            <w:tcW w:w="1082" w:type="pct"/>
            <w:vAlign w:val="center"/>
          </w:tcPr>
          <w:p w14:paraId="0CC69E81">
            <w:pPr>
              <w:jc w:val="center"/>
              <w:rPr>
                <w:rFonts w:hint="eastAsia" w:ascii="宋体" w:hAnsi="宋体" w:eastAsia="宋体" w:cs="宋体"/>
                <w:color w:val="auto"/>
                <w:szCs w:val="21"/>
              </w:rPr>
            </w:pPr>
            <w:r>
              <w:rPr>
                <w:rFonts w:hint="eastAsia" w:ascii="宋体" w:hAnsi="宋体" w:eastAsia="宋体" w:cs="宋体"/>
                <w:color w:val="auto"/>
                <w:szCs w:val="21"/>
              </w:rPr>
              <w:t>价格部分</w:t>
            </w:r>
          </w:p>
        </w:tc>
        <w:tc>
          <w:tcPr>
            <w:tcW w:w="1081" w:type="pct"/>
            <w:vAlign w:val="center"/>
          </w:tcPr>
          <w:p w14:paraId="3ABB61E7">
            <w:pPr>
              <w:jc w:val="center"/>
              <w:rPr>
                <w:rFonts w:hint="eastAsia" w:ascii="宋体" w:hAnsi="宋体" w:eastAsia="宋体" w:cs="宋体"/>
                <w:color w:val="auto"/>
                <w:szCs w:val="21"/>
              </w:rPr>
            </w:pPr>
            <w:r>
              <w:rPr>
                <w:rFonts w:hint="eastAsia" w:ascii="宋体" w:hAnsi="宋体" w:eastAsia="宋体" w:cs="宋体"/>
                <w:color w:val="auto"/>
                <w:szCs w:val="21"/>
              </w:rPr>
              <w:t>商务部分</w:t>
            </w:r>
          </w:p>
        </w:tc>
        <w:tc>
          <w:tcPr>
            <w:tcW w:w="1081" w:type="pct"/>
            <w:vAlign w:val="center"/>
          </w:tcPr>
          <w:p w14:paraId="41A7A6BF">
            <w:pPr>
              <w:jc w:val="center"/>
              <w:rPr>
                <w:rFonts w:hint="eastAsia" w:ascii="宋体" w:hAnsi="宋体" w:eastAsia="宋体" w:cs="宋体"/>
                <w:color w:val="auto"/>
                <w:szCs w:val="21"/>
              </w:rPr>
            </w:pPr>
            <w:r>
              <w:rPr>
                <w:rFonts w:hint="eastAsia" w:ascii="宋体" w:hAnsi="宋体" w:eastAsia="宋体" w:cs="宋体"/>
                <w:color w:val="auto"/>
                <w:szCs w:val="21"/>
              </w:rPr>
              <w:t>技术部分</w:t>
            </w:r>
          </w:p>
        </w:tc>
        <w:tc>
          <w:tcPr>
            <w:tcW w:w="780" w:type="pct"/>
            <w:vAlign w:val="center"/>
          </w:tcPr>
          <w:p w14:paraId="57B4C055">
            <w:pPr>
              <w:jc w:val="center"/>
              <w:rPr>
                <w:rFonts w:hint="eastAsia" w:ascii="宋体" w:hAnsi="宋体" w:eastAsia="宋体" w:cs="宋体"/>
                <w:color w:val="auto"/>
                <w:szCs w:val="21"/>
              </w:rPr>
            </w:pPr>
            <w:r>
              <w:rPr>
                <w:rFonts w:hint="eastAsia" w:ascii="宋体" w:hAnsi="宋体" w:eastAsia="宋体" w:cs="宋体"/>
                <w:color w:val="auto"/>
                <w:szCs w:val="21"/>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hint="eastAsia" w:ascii="宋体" w:hAnsi="宋体" w:eastAsia="宋体" w:cs="宋体"/>
                <w:color w:val="auto"/>
                <w:szCs w:val="21"/>
              </w:rPr>
            </w:pPr>
            <w:r>
              <w:rPr>
                <w:rFonts w:hint="eastAsia" w:ascii="宋体" w:hAnsi="宋体" w:eastAsia="宋体" w:cs="宋体"/>
                <w:color w:val="auto"/>
                <w:szCs w:val="21"/>
              </w:rPr>
              <w:t>权值</w:t>
            </w:r>
          </w:p>
        </w:tc>
        <w:tc>
          <w:tcPr>
            <w:tcW w:w="1082" w:type="pct"/>
            <w:vAlign w:val="center"/>
          </w:tcPr>
          <w:p w14:paraId="05BB9D15">
            <w:pPr>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10</w:t>
            </w:r>
            <w:r>
              <w:rPr>
                <w:rFonts w:hint="eastAsia" w:ascii="宋体" w:hAnsi="宋体" w:eastAsia="宋体" w:cs="宋体"/>
                <w:color w:val="auto"/>
                <w:szCs w:val="21"/>
              </w:rPr>
              <w:t>%</w:t>
            </w:r>
          </w:p>
        </w:tc>
        <w:tc>
          <w:tcPr>
            <w:tcW w:w="1081" w:type="pct"/>
            <w:vAlign w:val="center"/>
          </w:tcPr>
          <w:p w14:paraId="0985E51B">
            <w:pPr>
              <w:jc w:val="center"/>
              <w:rPr>
                <w:rFonts w:hint="eastAsia" w:ascii="宋体" w:hAnsi="宋体" w:eastAsia="宋体" w:cs="宋体"/>
                <w:color w:val="auto"/>
                <w:szCs w:val="21"/>
                <w:highlight w:val="red"/>
              </w:rPr>
            </w:pPr>
            <w:r>
              <w:rPr>
                <w:rFonts w:hint="eastAsia" w:ascii="宋体" w:hAnsi="宋体" w:eastAsia="宋体" w:cs="宋体"/>
                <w:color w:val="auto"/>
                <w:szCs w:val="21"/>
                <w:lang w:val="en-US" w:eastAsia="zh-CN"/>
              </w:rPr>
              <w:t>30</w:t>
            </w:r>
            <w:r>
              <w:rPr>
                <w:rFonts w:hint="eastAsia" w:ascii="宋体" w:hAnsi="宋体" w:eastAsia="宋体" w:cs="宋体"/>
                <w:color w:val="auto"/>
                <w:szCs w:val="21"/>
              </w:rPr>
              <w:t>%</w:t>
            </w:r>
          </w:p>
        </w:tc>
        <w:tc>
          <w:tcPr>
            <w:tcW w:w="1081" w:type="pct"/>
            <w:vAlign w:val="center"/>
          </w:tcPr>
          <w:p w14:paraId="70B2F24E">
            <w:pPr>
              <w:jc w:val="center"/>
              <w:rPr>
                <w:rFonts w:hint="eastAsia" w:ascii="宋体" w:hAnsi="宋体" w:eastAsia="宋体" w:cs="宋体"/>
                <w:i/>
                <w:color w:val="auto"/>
                <w:szCs w:val="21"/>
                <w:highlight w:val="red"/>
              </w:rPr>
            </w:pPr>
            <w:r>
              <w:rPr>
                <w:rFonts w:hint="eastAsia" w:ascii="宋体" w:hAnsi="宋体" w:eastAsia="宋体" w:cs="宋体"/>
                <w:color w:val="auto"/>
                <w:szCs w:val="21"/>
                <w:lang w:val="en-US" w:eastAsia="zh-CN"/>
              </w:rPr>
              <w:t>60</w:t>
            </w:r>
            <w:r>
              <w:rPr>
                <w:rFonts w:hint="eastAsia" w:ascii="宋体" w:hAnsi="宋体" w:eastAsia="宋体" w:cs="宋体"/>
                <w:color w:val="auto"/>
                <w:szCs w:val="21"/>
              </w:rPr>
              <w:t>%</w:t>
            </w:r>
          </w:p>
        </w:tc>
        <w:tc>
          <w:tcPr>
            <w:tcW w:w="780" w:type="pct"/>
          </w:tcPr>
          <w:p w14:paraId="1C068EB4">
            <w:pPr>
              <w:jc w:val="center"/>
              <w:rPr>
                <w:rFonts w:hint="eastAsia" w:ascii="宋体" w:hAnsi="宋体" w:eastAsia="宋体" w:cs="宋体"/>
                <w:color w:val="auto"/>
                <w:szCs w:val="21"/>
                <w:highlight w:val="red"/>
              </w:rPr>
            </w:pPr>
            <w:r>
              <w:rPr>
                <w:rFonts w:hint="eastAsia" w:ascii="宋体" w:hAnsi="宋体" w:eastAsia="宋体" w:cs="宋体"/>
                <w:color w:val="auto"/>
                <w:szCs w:val="21"/>
                <w:lang w:val="en-US" w:eastAsia="zh-CN"/>
              </w:rPr>
              <w:t>100</w:t>
            </w:r>
            <w:r>
              <w:rPr>
                <w:rFonts w:hint="eastAsia" w:ascii="宋体" w:hAnsi="宋体" w:eastAsia="宋体" w:cs="宋体"/>
                <w:color w:val="auto"/>
                <w:szCs w:val="21"/>
              </w:rPr>
              <w:t>%</w:t>
            </w:r>
          </w:p>
        </w:tc>
      </w:tr>
    </w:tbl>
    <w:p w14:paraId="269F4A60">
      <w:pPr>
        <w:pStyle w:val="27"/>
        <w:numPr>
          <w:ilvl w:val="0"/>
          <w:numId w:val="72"/>
        </w:numPr>
        <w:ind w:firstLineChars="0"/>
        <w:rPr>
          <w:rFonts w:hint="eastAsia" w:ascii="宋体" w:hAnsi="宋体" w:eastAsia="宋体" w:cs="宋体"/>
          <w:bCs/>
          <w:color w:val="auto"/>
          <w:szCs w:val="21"/>
        </w:rPr>
      </w:pPr>
      <w:r>
        <w:rPr>
          <w:rFonts w:hint="eastAsia" w:ascii="宋体" w:hAnsi="宋体" w:eastAsia="宋体" w:cs="宋体"/>
          <w:bCs/>
          <w:color w:val="auto"/>
          <w:szCs w:val="21"/>
        </w:rPr>
        <w:t>综合得分＝商务得分＋技术得分＋价格得分</w:t>
      </w:r>
    </w:p>
    <w:p w14:paraId="3C027647">
      <w:pPr>
        <w:pStyle w:val="27"/>
        <w:numPr>
          <w:ilvl w:val="0"/>
          <w:numId w:val="60"/>
        </w:numPr>
        <w:spacing w:before="217" w:beforeLines="50"/>
        <w:ind w:left="442" w:hanging="442" w:firstLineChars="0"/>
        <w:rPr>
          <w:rFonts w:hint="eastAsia" w:ascii="宋体" w:hAnsi="宋体" w:eastAsia="宋体" w:cs="宋体"/>
          <w:color w:val="auto"/>
          <w:kern w:val="0"/>
          <w:szCs w:val="21"/>
          <w:lang w:eastAsia="zh-Hans"/>
        </w:rPr>
      </w:pPr>
      <w:r>
        <w:rPr>
          <w:rFonts w:hint="eastAsia" w:ascii="宋体" w:hAnsi="宋体" w:eastAsia="宋体" w:cs="宋体"/>
          <w:b/>
          <w:bCs/>
          <w:color w:val="auto"/>
        </w:rPr>
        <w:t>评审程序</w:t>
      </w:r>
    </w:p>
    <w:p w14:paraId="458046BA">
      <w:pPr>
        <w:pStyle w:val="27"/>
        <w:widowControl/>
        <w:numPr>
          <w:ilvl w:val="3"/>
          <w:numId w:val="73"/>
        </w:numPr>
        <w:ind w:left="426" w:hanging="426"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资格性审查和符合性审查</w:t>
      </w:r>
    </w:p>
    <w:p w14:paraId="62F92268">
      <w:pPr>
        <w:pStyle w:val="27"/>
        <w:widowControl/>
        <w:numPr>
          <w:ilvl w:val="0"/>
          <w:numId w:val="74"/>
        </w:numPr>
        <w:ind w:left="426" w:hanging="426"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资格性审查。公开招标采购项目开标结束后，采购人或采购代理机构应当依法对投标人的资格进行审查，以确定投标人是否具备投标资格。</w:t>
      </w:r>
      <w:r>
        <w:rPr>
          <w:rFonts w:hint="eastAsia" w:ascii="宋体" w:hAnsi="宋体" w:eastAsia="宋体" w:cs="宋体"/>
          <w:b/>
          <w:bCs/>
          <w:color w:val="auto"/>
          <w:kern w:val="0"/>
          <w:szCs w:val="21"/>
          <w:u w:val="single"/>
          <w:lang w:eastAsia="zh-Hans"/>
        </w:rPr>
        <w:t>（详见后附表一资格性审查表）</w:t>
      </w:r>
    </w:p>
    <w:p w14:paraId="0321DD1F">
      <w:pPr>
        <w:pStyle w:val="27"/>
        <w:widowControl/>
        <w:numPr>
          <w:ilvl w:val="0"/>
          <w:numId w:val="74"/>
        </w:numPr>
        <w:ind w:left="426" w:hanging="426"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符合性审查。评标委员会依据招标文件的规定，从投标文件的有效性、完整性和对招标文件的响应程度进行审查，以确定是否对招标文件的实质性要求作出响应。</w:t>
      </w:r>
      <w:r>
        <w:rPr>
          <w:rFonts w:hint="eastAsia" w:ascii="宋体" w:hAnsi="宋体" w:eastAsia="宋体" w:cs="宋体"/>
          <w:b/>
          <w:bCs/>
          <w:color w:val="auto"/>
          <w:kern w:val="0"/>
          <w:szCs w:val="21"/>
          <w:u w:val="single"/>
          <w:lang w:eastAsia="zh-Hans"/>
        </w:rPr>
        <w:t>（详见后附表二符合性审查表）</w:t>
      </w:r>
    </w:p>
    <w:p w14:paraId="76A85635">
      <w:pPr>
        <w:pStyle w:val="27"/>
        <w:widowControl/>
        <w:numPr>
          <w:ilvl w:val="0"/>
          <w:numId w:val="74"/>
        </w:numPr>
        <w:ind w:left="426" w:hanging="426" w:firstLineChars="0"/>
        <w:jc w:val="left"/>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资格性审查和符合性审查中凡有其中任意一项未通过的，评审结果为未通过，未通过资格性审查、符合性审查的投标人按无效投标处理。</w:t>
      </w:r>
    </w:p>
    <w:p w14:paraId="4D62E80D">
      <w:pPr>
        <w:pStyle w:val="27"/>
        <w:widowControl/>
        <w:numPr>
          <w:ilvl w:val="0"/>
          <w:numId w:val="74"/>
        </w:numPr>
        <w:ind w:left="426" w:hanging="426" w:firstLineChars="0"/>
        <w:jc w:val="left"/>
        <w:rPr>
          <w:rFonts w:hint="eastAsia" w:ascii="宋体" w:hAnsi="宋体" w:eastAsia="宋体" w:cs="宋体"/>
          <w:b/>
          <w:bCs/>
          <w:color w:val="auto"/>
          <w:kern w:val="0"/>
          <w:szCs w:val="21"/>
          <w:lang w:eastAsia="zh-Hans"/>
        </w:rPr>
      </w:pPr>
      <w:r>
        <w:rPr>
          <w:rFonts w:hint="eastAsia" w:ascii="宋体" w:hAnsi="宋体" w:eastAsia="宋体" w:cs="宋体"/>
          <w:color w:val="auto"/>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7"/>
        <w:widowControl/>
        <w:numPr>
          <w:ilvl w:val="0"/>
          <w:numId w:val="74"/>
        </w:numPr>
        <w:ind w:left="426" w:hanging="426" w:firstLineChars="0"/>
        <w:jc w:val="left"/>
        <w:rPr>
          <w:rFonts w:hint="eastAsia" w:ascii="宋体" w:hAnsi="宋体" w:eastAsia="宋体" w:cs="宋体"/>
          <w:b/>
          <w:bCs/>
          <w:color w:val="auto"/>
          <w:kern w:val="0"/>
          <w:szCs w:val="21"/>
          <w:lang w:eastAsia="zh-Hans"/>
        </w:rPr>
      </w:pPr>
      <w:r>
        <w:rPr>
          <w:rFonts w:hint="eastAsia" w:ascii="宋体" w:hAnsi="宋体" w:eastAsia="宋体" w:cs="宋体"/>
          <w:color w:val="auto"/>
          <w:kern w:val="0"/>
          <w:szCs w:val="21"/>
          <w:lang w:eastAsia="zh-Hans"/>
        </w:rPr>
        <w:t>合格投标人不足3家的，不得评标。</w:t>
      </w:r>
    </w:p>
    <w:p w14:paraId="5D2E6374">
      <w:pPr>
        <w:widowControl/>
        <w:jc w:val="left"/>
        <w:rPr>
          <w:rFonts w:hint="eastAsia" w:ascii="宋体" w:hAnsi="宋体" w:eastAsia="宋体" w:cs="宋体"/>
          <w:b/>
          <w:bCs/>
          <w:color w:val="auto"/>
          <w:kern w:val="0"/>
          <w:szCs w:val="21"/>
        </w:rPr>
      </w:pPr>
      <w:r>
        <w:rPr>
          <w:rFonts w:hint="eastAsia" w:ascii="宋体" w:hAnsi="宋体" w:eastAsia="宋体" w:cs="宋体"/>
          <w:b/>
          <w:bCs/>
          <w:color w:val="auto"/>
          <w:kern w:val="0"/>
          <w:szCs w:val="21"/>
          <w:lang w:eastAsia="zh-Hans"/>
        </w:rPr>
        <w:t>表一资格性审查表：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57AA3DEB">
            <w:pPr>
              <w:widowControl/>
              <w:jc w:val="center"/>
              <w:rPr>
                <w:rFonts w:hint="eastAsia" w:ascii="宋体" w:hAnsi="宋体" w:eastAsia="宋体" w:cs="宋体"/>
                <w:b/>
                <w:bCs/>
                <w:color w:val="auto"/>
                <w:kern w:val="0"/>
                <w:szCs w:val="21"/>
                <w:lang w:eastAsia="zh-Hans"/>
              </w:rPr>
            </w:pPr>
            <w:bookmarkStart w:id="24" w:name="_Hlk169888879"/>
            <w:r>
              <w:rPr>
                <w:rFonts w:hint="eastAsia" w:ascii="宋体" w:hAnsi="宋体" w:eastAsia="宋体" w:cs="宋体"/>
                <w:b/>
                <w:bCs/>
                <w:color w:val="auto"/>
                <w:kern w:val="0"/>
                <w:szCs w:val="21"/>
                <w:lang w:eastAsia="zh-Hans"/>
              </w:rPr>
              <w:t>序号</w:t>
            </w:r>
          </w:p>
        </w:tc>
        <w:tc>
          <w:tcPr>
            <w:tcW w:w="4540" w:type="pct"/>
            <w:gridSpan w:val="2"/>
            <w:vAlign w:val="center"/>
          </w:tcPr>
          <w:p w14:paraId="391645F9">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4977C31">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1</w:t>
            </w:r>
          </w:p>
        </w:tc>
        <w:tc>
          <w:tcPr>
            <w:tcW w:w="4540" w:type="pct"/>
            <w:gridSpan w:val="2"/>
            <w:vAlign w:val="center"/>
          </w:tcPr>
          <w:p w14:paraId="4284091E">
            <w:pPr>
              <w:widowControl/>
              <w:rPr>
                <w:rFonts w:hint="eastAsia" w:ascii="宋体" w:hAnsi="宋体" w:eastAsia="宋体" w:cs="宋体"/>
                <w:color w:val="auto"/>
                <w:kern w:val="0"/>
                <w:szCs w:val="21"/>
              </w:rPr>
            </w:pPr>
            <w:r>
              <w:rPr>
                <w:rFonts w:hint="eastAsia" w:ascii="宋体" w:hAnsi="宋体" w:eastAsia="宋体" w:cs="宋体"/>
                <w:color w:val="auto"/>
                <w:kern w:val="0"/>
                <w:szCs w:val="21"/>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1</w:t>
            </w:r>
            <w:r>
              <w:rPr>
                <w:rFonts w:hint="eastAsia" w:ascii="宋体" w:hAnsi="宋体" w:eastAsia="宋体" w:cs="宋体"/>
                <w:color w:val="auto"/>
                <w:kern w:val="0"/>
                <w:szCs w:val="21"/>
              </w:rPr>
              <w:t>.1</w:t>
            </w:r>
          </w:p>
        </w:tc>
        <w:tc>
          <w:tcPr>
            <w:tcW w:w="1381" w:type="pct"/>
            <w:vAlign w:val="center"/>
          </w:tcPr>
          <w:p w14:paraId="5965BE7D">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具有独立承担民事责任的能力</w:t>
            </w:r>
          </w:p>
        </w:tc>
        <w:tc>
          <w:tcPr>
            <w:tcW w:w="3159" w:type="pct"/>
            <w:vAlign w:val="center"/>
          </w:tcPr>
          <w:p w14:paraId="2F49A3B8">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1.2</w:t>
            </w:r>
          </w:p>
        </w:tc>
        <w:tc>
          <w:tcPr>
            <w:tcW w:w="1381" w:type="pct"/>
            <w:vAlign w:val="center"/>
          </w:tcPr>
          <w:p w14:paraId="2E56AAC4">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具有良好的商业信誉和健全的财务会计制度</w:t>
            </w:r>
          </w:p>
        </w:tc>
        <w:tc>
          <w:tcPr>
            <w:tcW w:w="3159" w:type="pct"/>
            <w:vAlign w:val="center"/>
          </w:tcPr>
          <w:p w14:paraId="4DE1DEA5">
            <w:pPr>
              <w:widowControl/>
              <w:rPr>
                <w:rFonts w:hint="eastAsia" w:ascii="宋体" w:hAnsi="宋体" w:eastAsia="宋体" w:cs="宋体"/>
                <w:color w:val="auto"/>
                <w:kern w:val="0"/>
                <w:szCs w:val="21"/>
                <w:lang w:eastAsia="zh-Hans"/>
              </w:rPr>
            </w:pPr>
            <w:r>
              <w:rPr>
                <w:rFonts w:hint="eastAsia" w:ascii="宋体" w:hAnsi="宋体" w:eastAsia="宋体" w:cs="宋体"/>
                <w:bCs/>
                <w:color w:val="auto"/>
                <w:kern w:val="0"/>
                <w:szCs w:val="21"/>
              </w:rPr>
              <w:t>提供202</w:t>
            </w:r>
            <w:r>
              <w:rPr>
                <w:rFonts w:hint="eastAsia" w:ascii="宋体" w:hAnsi="宋体" w:eastAsia="宋体" w:cs="宋体"/>
                <w:bCs/>
                <w:color w:val="auto"/>
                <w:kern w:val="0"/>
                <w:szCs w:val="21"/>
                <w:lang w:val="en-US" w:eastAsia="zh-CN"/>
              </w:rPr>
              <w:t>3</w:t>
            </w:r>
            <w:r>
              <w:rPr>
                <w:rFonts w:hint="eastAsia" w:ascii="宋体" w:hAnsi="宋体" w:eastAsia="宋体" w:cs="宋体"/>
                <w:bCs/>
                <w:color w:val="auto"/>
                <w:kern w:val="0"/>
                <w:szCs w:val="21"/>
              </w:rPr>
              <w:t>年或202</w:t>
            </w:r>
            <w:r>
              <w:rPr>
                <w:rFonts w:hint="eastAsia" w:ascii="宋体" w:hAnsi="宋体" w:eastAsia="宋体" w:cs="宋体"/>
                <w:bCs/>
                <w:color w:val="auto"/>
                <w:kern w:val="0"/>
                <w:szCs w:val="21"/>
                <w:lang w:val="en-US" w:eastAsia="zh-CN"/>
              </w:rPr>
              <w:t>4</w:t>
            </w:r>
            <w:r>
              <w:rPr>
                <w:rFonts w:hint="eastAsia" w:ascii="宋体" w:hAnsi="宋体" w:eastAsia="宋体" w:cs="宋体"/>
                <w:bCs/>
                <w:color w:val="auto"/>
                <w:kern w:val="0"/>
                <w:szCs w:val="21"/>
              </w:rPr>
              <w:t>年财务状况报告或者基本户开户银行出具的资信证明或提供资格条件承诺函（详见投标文件格式）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1.3</w:t>
            </w:r>
          </w:p>
        </w:tc>
        <w:tc>
          <w:tcPr>
            <w:tcW w:w="1381" w:type="pct"/>
            <w:vAlign w:val="center"/>
          </w:tcPr>
          <w:p w14:paraId="73CDFE1D">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履行合同所必需的设备和专业技术能力</w:t>
            </w:r>
          </w:p>
        </w:tc>
        <w:tc>
          <w:tcPr>
            <w:tcW w:w="3159" w:type="pct"/>
            <w:vAlign w:val="center"/>
          </w:tcPr>
          <w:p w14:paraId="409A9692">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投标文件中提供《资格条件承诺函》，格式详见招标文件《资格条件承诺函》。</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1.4</w:t>
            </w:r>
          </w:p>
        </w:tc>
        <w:tc>
          <w:tcPr>
            <w:tcW w:w="1381" w:type="pct"/>
            <w:vAlign w:val="center"/>
          </w:tcPr>
          <w:p w14:paraId="0C0BAAFA">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有依法缴纳税收和社会保障资金的良好记录</w:t>
            </w:r>
          </w:p>
        </w:tc>
        <w:tc>
          <w:tcPr>
            <w:tcW w:w="3159" w:type="pct"/>
            <w:vAlign w:val="center"/>
          </w:tcPr>
          <w:p w14:paraId="36AADF2F">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1.5</w:t>
            </w:r>
          </w:p>
        </w:tc>
        <w:tc>
          <w:tcPr>
            <w:tcW w:w="1381" w:type="pct"/>
            <w:vAlign w:val="center"/>
          </w:tcPr>
          <w:p w14:paraId="4A449F66">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参加采购活动前3年内，在经营活动中没有重大违法记录</w:t>
            </w:r>
          </w:p>
        </w:tc>
        <w:tc>
          <w:tcPr>
            <w:tcW w:w="3159" w:type="pct"/>
            <w:vAlign w:val="center"/>
          </w:tcPr>
          <w:p w14:paraId="2000BE63">
            <w:pPr>
              <w:widowControl/>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提供资格条件承诺函（详见投标文件格式）。</w:t>
            </w:r>
          </w:p>
          <w:p w14:paraId="45A3F9AD">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2</w:t>
            </w:r>
          </w:p>
        </w:tc>
        <w:tc>
          <w:tcPr>
            <w:tcW w:w="1381" w:type="pct"/>
            <w:vAlign w:val="center"/>
          </w:tcPr>
          <w:p w14:paraId="0D020E14">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落实政府采购政策需满足的资格要求</w:t>
            </w:r>
          </w:p>
        </w:tc>
        <w:tc>
          <w:tcPr>
            <w:tcW w:w="3159" w:type="pct"/>
            <w:vAlign w:val="center"/>
          </w:tcPr>
          <w:p w14:paraId="22E2D3AF">
            <w:pPr>
              <w:widowControl/>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本项目专门面向中小企业采购，供应商应为中小微企业、监狱企业、残疾人福利性单位。（提供《中小企业声明函》或属于监狱企业的证明材料或《残疾人福利性单位声明函》）详见投标文件格式</w:t>
            </w:r>
            <w:r>
              <w:rPr>
                <w:rFonts w:hint="eastAsia" w:ascii="宋体" w:hAnsi="宋体" w:eastAsia="宋体" w:cs="宋体"/>
                <w:b/>
                <w:color w:val="auto"/>
                <w:kern w:val="0"/>
                <w:szCs w:val="21"/>
                <w:lang w:eastAsia="zh-CN"/>
              </w:rPr>
              <w:t>。</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6D9E4F6F">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3</w:t>
            </w:r>
          </w:p>
        </w:tc>
        <w:tc>
          <w:tcPr>
            <w:tcW w:w="1381" w:type="pct"/>
            <w:vAlign w:val="center"/>
          </w:tcPr>
          <w:p w14:paraId="6D5A47E3">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本项目的特定资格要求：</w:t>
            </w:r>
          </w:p>
        </w:tc>
        <w:tc>
          <w:tcPr>
            <w:tcW w:w="3159" w:type="pct"/>
            <w:vAlign w:val="center"/>
          </w:tcPr>
          <w:p w14:paraId="3B84C554">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3.1</w:t>
            </w:r>
          </w:p>
        </w:tc>
        <w:tc>
          <w:tcPr>
            <w:tcW w:w="1381" w:type="pct"/>
            <w:vAlign w:val="center"/>
          </w:tcPr>
          <w:p w14:paraId="65FE656B">
            <w:pPr>
              <w:widowControl/>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投标人信用记录</w:t>
            </w:r>
          </w:p>
        </w:tc>
        <w:tc>
          <w:tcPr>
            <w:tcW w:w="3159" w:type="pct"/>
            <w:vAlign w:val="center"/>
          </w:tcPr>
          <w:p w14:paraId="6B85A2B2">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hint="eastAsia" w:ascii="宋体" w:hAnsi="宋体" w:eastAsia="宋体" w:cs="宋体"/>
                <w:color w:val="auto"/>
                <w:kern w:val="0"/>
                <w:szCs w:val="21"/>
              </w:rPr>
            </w:pPr>
            <w:r>
              <w:rPr>
                <w:rFonts w:hint="eastAsia" w:ascii="宋体" w:hAnsi="宋体" w:eastAsia="宋体" w:cs="宋体"/>
                <w:color w:val="auto"/>
                <w:kern w:val="0"/>
                <w:szCs w:val="21"/>
              </w:rPr>
              <w:t>3.2</w:t>
            </w:r>
          </w:p>
        </w:tc>
        <w:tc>
          <w:tcPr>
            <w:tcW w:w="1381" w:type="pct"/>
            <w:vAlign w:val="center"/>
          </w:tcPr>
          <w:p w14:paraId="45AE9CC0">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供应商必须符合法律、行政法规规定的其他条件</w:t>
            </w:r>
          </w:p>
        </w:tc>
        <w:tc>
          <w:tcPr>
            <w:tcW w:w="3159" w:type="pct"/>
            <w:vAlign w:val="center"/>
          </w:tcPr>
          <w:p w14:paraId="56C04DE9">
            <w:pPr>
              <w:widowControl/>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不得再参与本项目投标。</w:t>
            </w:r>
            <w:r>
              <w:rPr>
                <w:rFonts w:hint="eastAsia" w:ascii="宋体" w:hAnsi="宋体" w:eastAsia="宋体" w:cs="宋体"/>
                <w:bCs/>
                <w:color w:val="auto"/>
                <w:kern w:val="0"/>
                <w:szCs w:val="21"/>
              </w:rPr>
              <w:t>提供资格条件承诺函（详见投标文件格式）</w:t>
            </w:r>
          </w:p>
        </w:tc>
      </w:tr>
      <w:bookmarkEnd w:id="24"/>
    </w:tbl>
    <w:p w14:paraId="33A23CF5">
      <w:pPr>
        <w:pageBreakBefore/>
        <w:jc w:val="left"/>
        <w:rPr>
          <w:rFonts w:hint="eastAsia" w:ascii="宋体" w:hAnsi="宋体" w:eastAsia="宋体" w:cs="宋体"/>
          <w:b/>
          <w:bCs/>
          <w:color w:val="auto"/>
          <w:kern w:val="0"/>
          <w:szCs w:val="21"/>
          <w:lang w:eastAsia="zh-Hans"/>
        </w:rPr>
      </w:pPr>
      <w:bookmarkStart w:id="25" w:name="_Hlk169888893"/>
      <w:r>
        <w:rPr>
          <w:rFonts w:hint="eastAsia" w:ascii="宋体" w:hAnsi="宋体" w:eastAsia="宋体" w:cs="宋体"/>
          <w:b/>
          <w:bCs/>
          <w:color w:val="auto"/>
          <w:kern w:val="0"/>
          <w:szCs w:val="21"/>
          <w:lang w:eastAsia="zh-Hans"/>
        </w:rPr>
        <w:t>表二符合性审查表：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序号</w:t>
            </w:r>
          </w:p>
        </w:tc>
        <w:tc>
          <w:tcPr>
            <w:tcW w:w="4621" w:type="pct"/>
          </w:tcPr>
          <w:p w14:paraId="4A54782B">
            <w:pPr>
              <w:widowControl/>
              <w:jc w:val="left"/>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1</w:t>
            </w:r>
          </w:p>
        </w:tc>
        <w:tc>
          <w:tcPr>
            <w:tcW w:w="4621" w:type="pct"/>
          </w:tcPr>
          <w:p w14:paraId="113447E5">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2</w:t>
            </w:r>
          </w:p>
        </w:tc>
        <w:tc>
          <w:tcPr>
            <w:tcW w:w="4621" w:type="pct"/>
          </w:tcPr>
          <w:p w14:paraId="0D2973C9">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3</w:t>
            </w:r>
          </w:p>
        </w:tc>
        <w:tc>
          <w:tcPr>
            <w:tcW w:w="4621" w:type="pct"/>
          </w:tcPr>
          <w:p w14:paraId="39E86CAB">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4</w:t>
            </w:r>
          </w:p>
        </w:tc>
        <w:tc>
          <w:tcPr>
            <w:tcW w:w="4621" w:type="pct"/>
          </w:tcPr>
          <w:p w14:paraId="6265CBFC">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5</w:t>
            </w:r>
          </w:p>
        </w:tc>
        <w:tc>
          <w:tcPr>
            <w:tcW w:w="4621" w:type="pct"/>
          </w:tcPr>
          <w:p w14:paraId="3955758D">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采购需求当中的★条款满足要求。(若本项目无★条款，此项通过)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6</w:t>
            </w:r>
          </w:p>
        </w:tc>
        <w:tc>
          <w:tcPr>
            <w:tcW w:w="4621" w:type="pct"/>
          </w:tcPr>
          <w:p w14:paraId="7B6160A6">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7</w:t>
            </w:r>
          </w:p>
        </w:tc>
        <w:tc>
          <w:tcPr>
            <w:tcW w:w="4621" w:type="pct"/>
          </w:tcPr>
          <w:p w14:paraId="32691D3B">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投标文件没有招标文件中规定的其它无效投标条款的。</w:t>
            </w:r>
          </w:p>
        </w:tc>
      </w:tr>
      <w:bookmarkEnd w:id="25"/>
    </w:tbl>
    <w:p w14:paraId="0AEDB113">
      <w:pPr>
        <w:pStyle w:val="27"/>
        <w:numPr>
          <w:ilvl w:val="3"/>
          <w:numId w:val="73"/>
        </w:numPr>
        <w:spacing w:before="217" w:beforeLines="50"/>
        <w:ind w:left="284" w:hanging="284" w:firstLineChars="0"/>
        <w:jc w:val="left"/>
        <w:outlineLvl w:val="3"/>
        <w:rPr>
          <w:rFonts w:hint="eastAsia" w:ascii="宋体" w:hAnsi="宋体" w:eastAsia="宋体" w:cs="宋体"/>
          <w:color w:val="auto"/>
          <w:kern w:val="0"/>
          <w:szCs w:val="21"/>
          <w:lang w:eastAsia="zh-Hans"/>
        </w:rPr>
      </w:pPr>
      <w:bookmarkStart w:id="26" w:name="_Hlk169889470"/>
      <w:r>
        <w:rPr>
          <w:rFonts w:hint="eastAsia" w:ascii="宋体" w:hAnsi="宋体" w:eastAsia="宋体" w:cs="宋体"/>
          <w:b/>
          <w:color w:val="auto"/>
          <w:kern w:val="0"/>
          <w:szCs w:val="21"/>
          <w:lang w:eastAsia="zh-Hans"/>
        </w:rPr>
        <w:t>详细评审</w:t>
      </w:r>
      <w:bookmarkEnd w:id="26"/>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30"/>
              <w:spacing w:line="400" w:lineRule="exact"/>
              <w:ind w:firstLine="0" w:firstLineChars="0"/>
              <w:jc w:val="center"/>
              <w:rPr>
                <w:rFonts w:hint="eastAsia" w:ascii="宋体" w:hAnsi="宋体" w:eastAsia="宋体" w:cs="宋体"/>
                <w:b/>
                <w:color w:val="auto"/>
                <w:sz w:val="21"/>
                <w:szCs w:val="21"/>
              </w:rPr>
            </w:pPr>
            <w:bookmarkStart w:id="27" w:name="_Hlk169889554"/>
            <w:r>
              <w:rPr>
                <w:rFonts w:hint="eastAsia" w:ascii="宋体" w:hAnsi="宋体" w:eastAsia="宋体" w:cs="宋体"/>
                <w:b/>
                <w:color w:val="auto"/>
                <w:sz w:val="21"/>
                <w:szCs w:val="21"/>
              </w:rPr>
              <w:t>序号</w:t>
            </w:r>
          </w:p>
        </w:tc>
        <w:tc>
          <w:tcPr>
            <w:tcW w:w="830" w:type="pct"/>
            <w:gridSpan w:val="2"/>
            <w:vAlign w:val="center"/>
          </w:tcPr>
          <w:p w14:paraId="6B159EA7">
            <w:pPr>
              <w:pStyle w:val="30"/>
              <w:spacing w:line="400" w:lineRule="exact"/>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评分内容</w:t>
            </w:r>
          </w:p>
        </w:tc>
        <w:tc>
          <w:tcPr>
            <w:tcW w:w="529" w:type="pct"/>
            <w:vAlign w:val="center"/>
          </w:tcPr>
          <w:p w14:paraId="377468C0">
            <w:pPr>
              <w:pStyle w:val="30"/>
              <w:spacing w:line="400" w:lineRule="exact"/>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分值</w:t>
            </w:r>
          </w:p>
        </w:tc>
        <w:tc>
          <w:tcPr>
            <w:tcW w:w="3161" w:type="pct"/>
            <w:vAlign w:val="center"/>
          </w:tcPr>
          <w:p w14:paraId="07E35FCD">
            <w:pPr>
              <w:pStyle w:val="30"/>
              <w:spacing w:line="400" w:lineRule="exact"/>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AE958CD">
            <w:pPr>
              <w:pStyle w:val="30"/>
              <w:spacing w:line="400" w:lineRule="exact"/>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商务评审细则（</w:t>
            </w:r>
            <w:r>
              <w:rPr>
                <w:rFonts w:hint="eastAsia" w:ascii="宋体" w:hAnsi="宋体" w:eastAsia="宋体" w:cs="宋体"/>
                <w:b/>
                <w:color w:val="auto"/>
                <w:sz w:val="21"/>
                <w:szCs w:val="21"/>
                <w:lang w:val="en-US" w:eastAsia="zh-CN"/>
              </w:rPr>
              <w:t>30</w:t>
            </w:r>
            <w:r>
              <w:rPr>
                <w:rFonts w:hint="eastAsia" w:ascii="宋体" w:hAnsi="宋体" w:eastAsia="宋体" w:cs="宋体"/>
                <w:b/>
                <w:color w:val="auto"/>
                <w:sz w:val="21"/>
                <w:szCs w:val="21"/>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4B2239A">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821" w:type="pct"/>
            <w:vAlign w:val="center"/>
          </w:tcPr>
          <w:p w14:paraId="010C9188">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企业认证</w:t>
            </w:r>
          </w:p>
        </w:tc>
        <w:tc>
          <w:tcPr>
            <w:tcW w:w="537" w:type="pct"/>
            <w:gridSpan w:val="2"/>
            <w:vAlign w:val="center"/>
          </w:tcPr>
          <w:p w14:paraId="5A37C5ED">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6</w:t>
            </w:r>
            <w:r>
              <w:rPr>
                <w:rFonts w:hint="eastAsia" w:ascii="宋体" w:hAnsi="宋体" w:eastAsia="宋体" w:cs="宋体"/>
                <w:color w:val="auto"/>
                <w:szCs w:val="21"/>
              </w:rPr>
              <w:t>分</w:t>
            </w:r>
          </w:p>
        </w:tc>
        <w:tc>
          <w:tcPr>
            <w:tcW w:w="3161" w:type="pct"/>
            <w:vAlign w:val="center"/>
          </w:tcPr>
          <w:p w14:paraId="7EE92D22">
            <w:pPr>
              <w:spacing w:line="400" w:lineRule="exact"/>
              <w:rPr>
                <w:rFonts w:hint="eastAsia" w:ascii="宋体" w:hAnsi="宋体" w:eastAsia="宋体"/>
                <w:bCs/>
                <w:color w:val="auto"/>
                <w:szCs w:val="21"/>
                <w:lang w:eastAsia="zh-CN"/>
              </w:rPr>
            </w:pPr>
            <w:r>
              <w:rPr>
                <w:rFonts w:hint="eastAsia" w:ascii="宋体" w:hAnsi="宋体" w:eastAsia="宋体"/>
                <w:bCs/>
                <w:color w:val="auto"/>
                <w:szCs w:val="21"/>
              </w:rPr>
              <w:t>根据</w:t>
            </w:r>
            <w:r>
              <w:rPr>
                <w:rFonts w:hint="eastAsia" w:ascii="宋体" w:hAnsi="宋体" w:eastAsia="宋体"/>
                <w:bCs/>
                <w:color w:val="auto"/>
                <w:szCs w:val="21"/>
                <w:lang w:val="en-US" w:eastAsia="zh-CN"/>
              </w:rPr>
              <w:t>投标人</w:t>
            </w:r>
            <w:r>
              <w:rPr>
                <w:rFonts w:hint="eastAsia" w:ascii="宋体" w:hAnsi="宋体" w:eastAsia="宋体"/>
                <w:bCs/>
                <w:color w:val="auto"/>
                <w:szCs w:val="21"/>
              </w:rPr>
              <w:t>具有由国家认证认可监督管理部门批准设立的认证机构颁发并在有效期内的证书进行评审</w:t>
            </w:r>
            <w:r>
              <w:rPr>
                <w:rFonts w:hint="eastAsia" w:ascii="宋体" w:hAnsi="宋体" w:eastAsia="宋体"/>
                <w:bCs/>
                <w:color w:val="auto"/>
                <w:szCs w:val="21"/>
                <w:lang w:eastAsia="zh-CN"/>
              </w:rPr>
              <w:t>：</w:t>
            </w:r>
          </w:p>
          <w:p w14:paraId="13A58CF5">
            <w:pPr>
              <w:spacing w:line="400" w:lineRule="exact"/>
              <w:rPr>
                <w:rFonts w:hint="eastAsia" w:ascii="宋体" w:hAnsi="宋体" w:eastAsia="宋体"/>
                <w:bCs/>
                <w:color w:val="auto"/>
                <w:szCs w:val="21"/>
              </w:rPr>
            </w:pPr>
            <w:r>
              <w:rPr>
                <w:rFonts w:hint="eastAsia" w:ascii="宋体" w:hAnsi="宋体" w:eastAsia="宋体"/>
                <w:bCs/>
                <w:color w:val="auto"/>
                <w:szCs w:val="21"/>
              </w:rPr>
              <w:t>①质量管理体系认证证书；</w:t>
            </w:r>
          </w:p>
          <w:p w14:paraId="14210835">
            <w:pPr>
              <w:spacing w:line="400" w:lineRule="exact"/>
              <w:rPr>
                <w:rFonts w:hint="eastAsia" w:ascii="宋体" w:hAnsi="宋体" w:eastAsia="宋体"/>
                <w:bCs/>
                <w:color w:val="auto"/>
                <w:szCs w:val="21"/>
              </w:rPr>
            </w:pPr>
            <w:r>
              <w:rPr>
                <w:rFonts w:hint="eastAsia" w:ascii="宋体" w:hAnsi="宋体" w:eastAsia="宋体"/>
                <w:bCs/>
                <w:color w:val="auto"/>
                <w:szCs w:val="21"/>
              </w:rPr>
              <w:t>②环境管理体系认证证书；</w:t>
            </w:r>
          </w:p>
          <w:p w14:paraId="53157D9F">
            <w:pPr>
              <w:spacing w:line="400" w:lineRule="exact"/>
              <w:rPr>
                <w:rFonts w:hint="eastAsia" w:ascii="宋体" w:hAnsi="宋体" w:eastAsia="宋体"/>
                <w:bCs/>
                <w:color w:val="auto"/>
                <w:szCs w:val="21"/>
              </w:rPr>
            </w:pPr>
            <w:r>
              <w:rPr>
                <w:rFonts w:hint="eastAsia" w:ascii="宋体" w:hAnsi="宋体" w:eastAsia="宋体"/>
                <w:bCs/>
                <w:color w:val="auto"/>
                <w:szCs w:val="21"/>
              </w:rPr>
              <w:t>③职业健康安全管理体系认证证书。</w:t>
            </w:r>
          </w:p>
          <w:p w14:paraId="5FA13AF6">
            <w:pPr>
              <w:spacing w:line="400" w:lineRule="exact"/>
              <w:rPr>
                <w:rFonts w:hint="eastAsia" w:ascii="宋体" w:hAnsi="宋体" w:eastAsia="宋体"/>
                <w:b w:val="0"/>
                <w:bCs/>
                <w:color w:val="auto"/>
                <w:szCs w:val="21"/>
                <w:u w:val="none"/>
              </w:rPr>
            </w:pPr>
            <w:r>
              <w:rPr>
                <w:rFonts w:hint="eastAsia" w:ascii="宋体" w:hAnsi="宋体" w:eastAsia="宋体"/>
                <w:b w:val="0"/>
                <w:bCs/>
                <w:color w:val="auto"/>
                <w:szCs w:val="21"/>
                <w:u w:val="none"/>
              </w:rPr>
              <w:t>每提供一个证书得</w:t>
            </w:r>
            <w:r>
              <w:rPr>
                <w:rFonts w:hint="eastAsia" w:ascii="宋体" w:hAnsi="宋体" w:eastAsia="宋体"/>
                <w:b w:val="0"/>
                <w:bCs/>
                <w:color w:val="auto"/>
                <w:szCs w:val="21"/>
                <w:u w:val="none"/>
                <w:lang w:val="en-US" w:eastAsia="zh-CN"/>
              </w:rPr>
              <w:t>2</w:t>
            </w:r>
            <w:r>
              <w:rPr>
                <w:rFonts w:hint="eastAsia" w:ascii="宋体" w:hAnsi="宋体" w:eastAsia="宋体"/>
                <w:b w:val="0"/>
                <w:bCs/>
                <w:color w:val="auto"/>
                <w:szCs w:val="21"/>
                <w:u w:val="none"/>
              </w:rPr>
              <w:t>分，本项最高得</w:t>
            </w:r>
            <w:r>
              <w:rPr>
                <w:rFonts w:hint="eastAsia" w:ascii="宋体" w:hAnsi="宋体" w:eastAsia="宋体"/>
                <w:b w:val="0"/>
                <w:bCs/>
                <w:color w:val="auto"/>
                <w:szCs w:val="21"/>
                <w:u w:val="none"/>
                <w:lang w:val="en-US" w:eastAsia="zh-CN"/>
              </w:rPr>
              <w:t>6</w:t>
            </w:r>
            <w:r>
              <w:rPr>
                <w:rFonts w:hint="eastAsia" w:ascii="宋体" w:hAnsi="宋体" w:eastAsia="宋体"/>
                <w:b w:val="0"/>
                <w:bCs/>
                <w:color w:val="auto"/>
                <w:szCs w:val="21"/>
                <w:u w:val="none"/>
              </w:rPr>
              <w:t>分，不提供不得分。</w:t>
            </w:r>
          </w:p>
          <w:p w14:paraId="7133705B">
            <w:pPr>
              <w:spacing w:line="400" w:lineRule="exact"/>
              <w:jc w:val="left"/>
              <w:rPr>
                <w:rFonts w:hint="eastAsia" w:ascii="宋体" w:hAnsi="宋体" w:eastAsia="宋体" w:cs="宋体"/>
                <w:color w:val="auto"/>
                <w:szCs w:val="21"/>
              </w:rPr>
            </w:pPr>
            <w:r>
              <w:rPr>
                <w:rFonts w:hint="eastAsia" w:ascii="宋体" w:hAnsi="宋体" w:eastAsia="宋体"/>
                <w:b/>
                <w:bCs w:val="0"/>
                <w:color w:val="auto"/>
                <w:szCs w:val="21"/>
                <w:u w:val="single"/>
              </w:rPr>
              <w:t>注：提供有效期内的认证证书复印件和网站公布的信息查询截图资料</w:t>
            </w:r>
            <w:r>
              <w:rPr>
                <w:rFonts w:hint="eastAsia" w:ascii="宋体" w:hAnsi="宋体" w:eastAsia="宋体"/>
                <w:b/>
                <w:bCs w:val="0"/>
                <w:color w:val="auto"/>
                <w:szCs w:val="21"/>
                <w:u w:val="single"/>
                <w:lang w:val="en-US" w:eastAsia="zh-CN"/>
              </w:rPr>
              <w:t>并加盖投标人公章</w:t>
            </w:r>
            <w:r>
              <w:rPr>
                <w:rFonts w:hint="eastAsia" w:ascii="宋体" w:hAnsi="宋体" w:eastAsia="宋体"/>
                <w:b/>
                <w:bCs w:val="0"/>
                <w:color w:val="auto"/>
                <w:szCs w:val="21"/>
                <w:u w:val="single"/>
              </w:rPr>
              <w:t>，网址以http://www.cnca.gov.cn/网站公布为准,已失效、暂停或撤销的不得分。</w:t>
            </w:r>
          </w:p>
        </w:tc>
      </w:tr>
      <w:tr w14:paraId="104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32C4497B">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821" w:type="pct"/>
            <w:vAlign w:val="center"/>
          </w:tcPr>
          <w:p w14:paraId="2F43B446">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业绩情况</w:t>
            </w:r>
          </w:p>
        </w:tc>
        <w:tc>
          <w:tcPr>
            <w:tcW w:w="537" w:type="pct"/>
            <w:gridSpan w:val="2"/>
            <w:vAlign w:val="center"/>
          </w:tcPr>
          <w:p w14:paraId="5367AAEF">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5</w:t>
            </w:r>
            <w:r>
              <w:rPr>
                <w:rFonts w:hint="eastAsia" w:ascii="宋体" w:hAnsi="宋体" w:eastAsia="宋体" w:cs="宋体"/>
                <w:color w:val="auto"/>
                <w:szCs w:val="21"/>
              </w:rPr>
              <w:t>分</w:t>
            </w:r>
          </w:p>
        </w:tc>
        <w:tc>
          <w:tcPr>
            <w:tcW w:w="3161" w:type="pct"/>
            <w:vAlign w:val="center"/>
          </w:tcPr>
          <w:p w14:paraId="56D4FDD0">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投标人具有承接过网络安全</w:t>
            </w:r>
            <w:r>
              <w:rPr>
                <w:rFonts w:hint="eastAsia" w:ascii="宋体" w:hAnsi="宋体" w:eastAsia="宋体" w:cs="宋体"/>
                <w:color w:val="auto"/>
                <w:szCs w:val="21"/>
                <w:lang w:val="en-US" w:eastAsia="zh-CN"/>
              </w:rPr>
              <w:t>运维</w:t>
            </w:r>
            <w:r>
              <w:rPr>
                <w:rFonts w:hint="eastAsia" w:ascii="宋体" w:hAnsi="宋体" w:eastAsia="宋体" w:cs="宋体"/>
                <w:color w:val="auto"/>
                <w:szCs w:val="21"/>
              </w:rPr>
              <w:t>服务类项目业绩的，每提供1个得</w:t>
            </w:r>
            <w:r>
              <w:rPr>
                <w:rFonts w:hint="eastAsia" w:ascii="宋体" w:hAnsi="宋体" w:eastAsia="宋体" w:cs="宋体"/>
                <w:color w:val="auto"/>
                <w:szCs w:val="21"/>
                <w:lang w:val="en-US" w:eastAsia="zh-CN"/>
              </w:rPr>
              <w:t>3</w:t>
            </w:r>
            <w:r>
              <w:rPr>
                <w:rFonts w:hint="eastAsia" w:ascii="宋体" w:hAnsi="宋体" w:eastAsia="宋体" w:cs="宋体"/>
                <w:color w:val="auto"/>
                <w:szCs w:val="21"/>
              </w:rPr>
              <w:t>分，最高得1</w:t>
            </w:r>
            <w:r>
              <w:rPr>
                <w:rFonts w:hint="eastAsia" w:ascii="宋体" w:hAnsi="宋体" w:eastAsia="宋体" w:cs="宋体"/>
                <w:color w:val="auto"/>
                <w:szCs w:val="21"/>
                <w:lang w:val="en-US" w:eastAsia="zh-CN"/>
              </w:rPr>
              <w:t>5</w:t>
            </w:r>
            <w:r>
              <w:rPr>
                <w:rFonts w:hint="eastAsia" w:ascii="宋体" w:hAnsi="宋体" w:eastAsia="宋体" w:cs="宋体"/>
                <w:color w:val="auto"/>
                <w:szCs w:val="21"/>
              </w:rPr>
              <w:t>分。</w:t>
            </w:r>
          </w:p>
          <w:p w14:paraId="1F916363">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注：投标人须提供合同复印件并加盖投标人公章。</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79" w:type="pct"/>
            <w:vAlign w:val="center"/>
          </w:tcPr>
          <w:p w14:paraId="786393D4">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3</w:t>
            </w:r>
          </w:p>
        </w:tc>
        <w:tc>
          <w:tcPr>
            <w:tcW w:w="821" w:type="pct"/>
            <w:vAlign w:val="center"/>
          </w:tcPr>
          <w:p w14:paraId="1F2B12E5">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拟投入本项目团队人员</w:t>
            </w:r>
          </w:p>
        </w:tc>
        <w:tc>
          <w:tcPr>
            <w:tcW w:w="537" w:type="pct"/>
            <w:gridSpan w:val="2"/>
            <w:vAlign w:val="center"/>
          </w:tcPr>
          <w:p w14:paraId="52809DCD">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6分</w:t>
            </w:r>
          </w:p>
        </w:tc>
        <w:tc>
          <w:tcPr>
            <w:tcW w:w="3161" w:type="pct"/>
            <w:vAlign w:val="center"/>
          </w:tcPr>
          <w:p w14:paraId="4B2BE034">
            <w:pPr>
              <w:pStyle w:val="4"/>
              <w:rPr>
                <w:rFonts w:hint="eastAsia" w:ascii="宋体" w:hAnsi="宋体" w:eastAsia="宋体" w:cs="宋体"/>
                <w:color w:val="auto"/>
              </w:rPr>
            </w:pPr>
            <w:r>
              <w:rPr>
                <w:rFonts w:hint="eastAsia" w:ascii="宋体" w:hAnsi="宋体" w:eastAsia="宋体" w:cs="宋体"/>
                <w:color w:val="auto"/>
              </w:rPr>
              <w:t>根据投标人拟投入本项目的人员情况进行评审：</w:t>
            </w:r>
          </w:p>
          <w:p w14:paraId="2B915858">
            <w:pPr>
              <w:pStyle w:val="4"/>
              <w:rPr>
                <w:rFonts w:hint="eastAsia" w:ascii="宋体" w:hAnsi="宋体" w:eastAsia="宋体" w:cs="宋体"/>
                <w:color w:val="auto"/>
                <w:lang w:eastAsia="zh-CN"/>
              </w:rPr>
            </w:pPr>
            <w:r>
              <w:rPr>
                <w:rFonts w:hint="eastAsia" w:ascii="宋体" w:hAnsi="宋体" w:eastAsia="宋体" w:cs="宋体"/>
                <w:color w:val="auto"/>
                <w:lang w:val="en-US" w:eastAsia="zh-CN"/>
              </w:rPr>
              <w:t>1、具有</w:t>
            </w:r>
            <w:r>
              <w:rPr>
                <w:rFonts w:hint="eastAsia" w:ascii="宋体" w:hAnsi="宋体" w:eastAsia="宋体" w:cs="宋体"/>
                <w:color w:val="auto"/>
              </w:rPr>
              <w:t>人力资源和社会保障部</w:t>
            </w:r>
            <w:r>
              <w:rPr>
                <w:rFonts w:hint="eastAsia" w:ascii="宋体" w:hAnsi="宋体" w:eastAsia="宋体" w:cs="宋体"/>
                <w:color w:val="auto"/>
                <w:lang w:val="en-US" w:eastAsia="zh-CN"/>
              </w:rPr>
              <w:t>及</w:t>
            </w:r>
            <w:r>
              <w:rPr>
                <w:rFonts w:hint="eastAsia" w:ascii="宋体" w:hAnsi="宋体" w:eastAsia="宋体" w:cs="宋体"/>
                <w:color w:val="auto"/>
              </w:rPr>
              <w:t>工业和信息化部颁发的网络工程师证书</w:t>
            </w:r>
            <w:r>
              <w:rPr>
                <w:rFonts w:hint="eastAsia" w:ascii="宋体" w:hAnsi="宋体" w:eastAsia="宋体" w:cs="宋体"/>
                <w:color w:val="auto"/>
                <w:lang w:val="en-US" w:eastAsia="zh-CN"/>
              </w:rPr>
              <w:t>的，每提供一个的3分，本项最高</w:t>
            </w:r>
            <w:r>
              <w:rPr>
                <w:rFonts w:hint="eastAsia" w:ascii="宋体" w:hAnsi="宋体" w:eastAsia="宋体" w:cs="宋体"/>
                <w:color w:val="auto"/>
              </w:rPr>
              <w:t>得</w:t>
            </w:r>
            <w:r>
              <w:rPr>
                <w:rFonts w:hint="eastAsia" w:ascii="宋体" w:hAnsi="宋体" w:eastAsia="宋体" w:cs="宋体"/>
                <w:color w:val="auto"/>
                <w:lang w:val="en-US" w:eastAsia="zh-CN"/>
              </w:rPr>
              <w:t>3</w:t>
            </w:r>
            <w:r>
              <w:rPr>
                <w:rFonts w:hint="eastAsia" w:ascii="宋体" w:hAnsi="宋体" w:eastAsia="宋体" w:cs="宋体"/>
                <w:color w:val="auto"/>
              </w:rPr>
              <w:t>分</w:t>
            </w:r>
            <w:r>
              <w:rPr>
                <w:rFonts w:hint="eastAsia" w:ascii="宋体" w:hAnsi="宋体" w:eastAsia="宋体" w:cs="宋体"/>
                <w:color w:val="auto"/>
                <w:lang w:eastAsia="zh-CN"/>
              </w:rPr>
              <w:t>；</w:t>
            </w:r>
          </w:p>
          <w:p w14:paraId="21976638">
            <w:pPr>
              <w:pStyle w:val="4"/>
              <w:rPr>
                <w:rFonts w:hint="eastAsia" w:ascii="宋体" w:hAnsi="宋体" w:eastAsia="宋体" w:cs="宋体"/>
                <w:color w:val="auto"/>
                <w:lang w:eastAsia="zh-CN"/>
              </w:rPr>
            </w:pPr>
            <w:r>
              <w:rPr>
                <w:rFonts w:hint="eastAsia" w:ascii="宋体" w:hAnsi="宋体" w:eastAsia="宋体" w:cs="宋体"/>
                <w:color w:val="auto"/>
                <w:lang w:val="en-US" w:eastAsia="zh-CN"/>
              </w:rPr>
              <w:t>2、具有</w:t>
            </w:r>
            <w:r>
              <w:rPr>
                <w:rFonts w:hint="eastAsia" w:ascii="宋体" w:hAnsi="宋体" w:eastAsia="宋体" w:cs="宋体"/>
                <w:color w:val="auto"/>
              </w:rPr>
              <w:t>人力资源和社会保障部</w:t>
            </w:r>
            <w:r>
              <w:rPr>
                <w:rFonts w:hint="eastAsia" w:ascii="宋体" w:hAnsi="宋体" w:eastAsia="宋体" w:cs="宋体"/>
                <w:color w:val="auto"/>
                <w:lang w:val="en-US" w:eastAsia="zh-CN"/>
              </w:rPr>
              <w:t>及</w:t>
            </w:r>
            <w:r>
              <w:rPr>
                <w:rFonts w:hint="eastAsia" w:ascii="宋体" w:hAnsi="宋体" w:eastAsia="宋体" w:cs="宋体"/>
                <w:color w:val="auto"/>
              </w:rPr>
              <w:t>工业和信息化部颁发的信息安全工程师证书</w:t>
            </w:r>
            <w:r>
              <w:rPr>
                <w:rFonts w:hint="eastAsia" w:ascii="宋体" w:hAnsi="宋体" w:eastAsia="宋体" w:cs="宋体"/>
                <w:color w:val="auto"/>
                <w:lang w:val="en-US" w:eastAsia="zh-CN"/>
              </w:rPr>
              <w:t>的</w:t>
            </w:r>
            <w:r>
              <w:rPr>
                <w:rFonts w:hint="eastAsia" w:ascii="宋体" w:hAnsi="宋体" w:eastAsia="宋体" w:cs="宋体"/>
                <w:color w:val="auto"/>
              </w:rPr>
              <w:t>，</w:t>
            </w:r>
            <w:r>
              <w:rPr>
                <w:rFonts w:hint="eastAsia" w:ascii="宋体" w:hAnsi="宋体" w:eastAsia="宋体" w:cs="宋体"/>
                <w:color w:val="auto"/>
                <w:lang w:val="en-US" w:eastAsia="zh-CN"/>
              </w:rPr>
              <w:t>每提供一个的3分，本项最高</w:t>
            </w:r>
            <w:r>
              <w:rPr>
                <w:rFonts w:hint="eastAsia" w:ascii="宋体" w:hAnsi="宋体" w:eastAsia="宋体" w:cs="宋体"/>
                <w:color w:val="auto"/>
              </w:rPr>
              <w:t>得</w:t>
            </w:r>
            <w:r>
              <w:rPr>
                <w:rFonts w:hint="eastAsia" w:ascii="宋体" w:hAnsi="宋体" w:eastAsia="宋体" w:cs="宋体"/>
                <w:color w:val="auto"/>
                <w:lang w:val="en-US" w:eastAsia="zh-CN"/>
              </w:rPr>
              <w:t>3</w:t>
            </w:r>
            <w:r>
              <w:rPr>
                <w:rFonts w:hint="eastAsia" w:ascii="宋体" w:hAnsi="宋体" w:eastAsia="宋体" w:cs="宋体"/>
                <w:color w:val="auto"/>
              </w:rPr>
              <w:t>分</w:t>
            </w:r>
            <w:r>
              <w:rPr>
                <w:rFonts w:hint="eastAsia" w:ascii="宋体" w:hAnsi="宋体" w:eastAsia="宋体" w:cs="宋体"/>
                <w:color w:val="auto"/>
                <w:lang w:eastAsia="zh-CN"/>
              </w:rPr>
              <w:t>；</w:t>
            </w:r>
          </w:p>
          <w:p w14:paraId="6A43E041">
            <w:pPr>
              <w:pStyle w:val="4"/>
              <w:rPr>
                <w:rFonts w:hint="eastAsia" w:ascii="宋体" w:hAnsi="宋体" w:eastAsia="宋体" w:cs="宋体"/>
                <w:color w:val="auto"/>
                <w:lang w:val="en-US" w:eastAsia="zh-CN"/>
              </w:rPr>
            </w:pPr>
            <w:r>
              <w:rPr>
                <w:rFonts w:hint="eastAsia" w:ascii="宋体" w:hAnsi="宋体" w:eastAsia="宋体" w:cs="宋体"/>
                <w:color w:val="auto"/>
                <w:lang w:val="en-US" w:eastAsia="zh-CN"/>
              </w:rPr>
              <w:t>上述证书每提供1个得3分，本项最高得6分。</w:t>
            </w:r>
          </w:p>
          <w:p w14:paraId="09333E53">
            <w:pPr>
              <w:pStyle w:val="4"/>
              <w:rPr>
                <w:rFonts w:hint="eastAsia" w:ascii="宋体" w:hAnsi="宋体" w:eastAsia="宋体" w:cs="宋体"/>
                <w:color w:val="auto"/>
                <w:szCs w:val="21"/>
              </w:rPr>
            </w:pPr>
            <w:r>
              <w:rPr>
                <w:rFonts w:hint="eastAsia" w:ascii="宋体" w:hAnsi="宋体" w:eastAsia="宋体" w:cs="宋体"/>
                <w:b/>
                <w:color w:val="auto"/>
                <w:szCs w:val="21"/>
                <w:u w:val="single"/>
              </w:rPr>
              <w:t>注：</w:t>
            </w:r>
            <w:r>
              <w:rPr>
                <w:rFonts w:hint="eastAsia" w:ascii="宋体" w:hAnsi="宋体" w:eastAsia="宋体" w:cs="宋体"/>
                <w:b/>
                <w:color w:val="auto"/>
                <w:szCs w:val="21"/>
                <w:u w:val="single"/>
                <w:lang w:val="en-US" w:eastAsia="zh-CN"/>
              </w:rPr>
              <w:t>同一人员提供多个证书不重复得分，</w:t>
            </w:r>
            <w:r>
              <w:rPr>
                <w:rFonts w:hint="eastAsia" w:ascii="宋体" w:hAnsi="宋体" w:eastAsia="宋体" w:cs="宋体"/>
                <w:b/>
                <w:color w:val="auto"/>
                <w:szCs w:val="21"/>
                <w:u w:val="single"/>
              </w:rPr>
              <w:t>以上须提供人员证书及距开标当前月前三个月</w:t>
            </w:r>
            <w:r>
              <w:rPr>
                <w:rFonts w:hint="eastAsia" w:ascii="宋体" w:hAnsi="宋体" w:eastAsia="宋体" w:cs="宋体"/>
                <w:b/>
                <w:color w:val="auto"/>
                <w:szCs w:val="21"/>
                <w:u w:val="single"/>
                <w:lang w:eastAsia="zh-CN"/>
              </w:rPr>
              <w:t>（</w:t>
            </w:r>
            <w:r>
              <w:rPr>
                <w:rFonts w:hint="eastAsia" w:ascii="宋体" w:hAnsi="宋体" w:eastAsia="宋体" w:cs="宋体"/>
                <w:b/>
                <w:color w:val="auto"/>
                <w:szCs w:val="21"/>
                <w:u w:val="single"/>
                <w:lang w:val="en-US" w:eastAsia="zh-CN"/>
              </w:rPr>
              <w:t>含开标当月</w:t>
            </w:r>
            <w:r>
              <w:rPr>
                <w:rFonts w:hint="eastAsia" w:ascii="宋体" w:hAnsi="宋体" w:eastAsia="宋体" w:cs="宋体"/>
                <w:b/>
                <w:color w:val="auto"/>
                <w:szCs w:val="21"/>
                <w:u w:val="single"/>
                <w:lang w:eastAsia="zh-CN"/>
              </w:rPr>
              <w:t>）</w:t>
            </w:r>
            <w:r>
              <w:rPr>
                <w:rFonts w:hint="eastAsia" w:ascii="宋体" w:hAnsi="宋体" w:eastAsia="宋体" w:cs="宋体"/>
                <w:b/>
                <w:color w:val="auto"/>
                <w:szCs w:val="21"/>
                <w:u w:val="single"/>
              </w:rPr>
              <w:t>任一个月投标人为其购买的社保证明复印件加盖投标人公章</w:t>
            </w:r>
            <w:r>
              <w:rPr>
                <w:rFonts w:hint="eastAsia" w:ascii="宋体" w:hAnsi="宋体" w:eastAsia="宋体" w:cs="宋体"/>
                <w:b/>
                <w:color w:val="auto"/>
                <w:szCs w:val="21"/>
                <w:u w:val="single"/>
                <w:lang w:val="en-US" w:eastAsia="zh-CN"/>
              </w:rPr>
              <w:t>。</w:t>
            </w:r>
          </w:p>
        </w:tc>
      </w:tr>
      <w:tr w14:paraId="5B0D4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18C50AAF">
            <w:pPr>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4</w:t>
            </w:r>
          </w:p>
        </w:tc>
        <w:tc>
          <w:tcPr>
            <w:tcW w:w="821" w:type="pct"/>
            <w:vAlign w:val="center"/>
          </w:tcPr>
          <w:p w14:paraId="104BC15B">
            <w:pPr>
              <w:spacing w:line="400" w:lineRule="exact"/>
              <w:jc w:val="center"/>
              <w:rPr>
                <w:rFonts w:hint="eastAsia" w:ascii="宋体" w:hAnsi="宋体" w:eastAsia="宋体" w:cs="宋体"/>
                <w:color w:val="auto"/>
                <w:szCs w:val="21"/>
                <w:lang w:val="en-US" w:eastAsia="zh-CN"/>
              </w:rPr>
            </w:pPr>
            <w:r>
              <w:rPr>
                <w:rFonts w:hint="eastAsia" w:ascii="宋体" w:hAnsi="宋体" w:eastAsia="宋体"/>
                <w:color w:val="auto"/>
                <w:szCs w:val="21"/>
                <w:lang w:val="en-US" w:eastAsia="zh-CN"/>
              </w:rPr>
              <w:t>紧急</w:t>
            </w:r>
            <w:r>
              <w:rPr>
                <w:rFonts w:hint="eastAsia" w:ascii="宋体" w:hAnsi="宋体" w:eastAsia="宋体"/>
                <w:color w:val="auto"/>
                <w:szCs w:val="21"/>
              </w:rPr>
              <w:t>服务响应时间承诺</w:t>
            </w:r>
          </w:p>
        </w:tc>
        <w:tc>
          <w:tcPr>
            <w:tcW w:w="999" w:type="dxa"/>
            <w:gridSpan w:val="2"/>
            <w:vAlign w:val="center"/>
          </w:tcPr>
          <w:p w14:paraId="3AF27877">
            <w:pPr>
              <w:widowControl/>
              <w:spacing w:line="400" w:lineRule="exact"/>
              <w:jc w:val="center"/>
              <w:rPr>
                <w:rFonts w:hint="eastAsia" w:ascii="宋体" w:hAnsi="宋体" w:eastAsia="宋体" w:cs="宋体"/>
                <w:color w:val="auto"/>
                <w:szCs w:val="21"/>
              </w:rPr>
            </w:pPr>
            <w:r>
              <w:rPr>
                <w:rFonts w:hint="eastAsia" w:ascii="宋体" w:hAnsi="宋体" w:eastAsia="宋体"/>
                <w:color w:val="auto"/>
                <w:szCs w:val="21"/>
                <w:lang w:val="en-US" w:eastAsia="zh-CN"/>
              </w:rPr>
              <w:t>3</w:t>
            </w:r>
            <w:r>
              <w:rPr>
                <w:rFonts w:hint="eastAsia" w:ascii="宋体" w:hAnsi="宋体" w:eastAsia="宋体"/>
                <w:color w:val="auto"/>
                <w:szCs w:val="21"/>
              </w:rPr>
              <w:t>分</w:t>
            </w:r>
          </w:p>
        </w:tc>
        <w:tc>
          <w:tcPr>
            <w:tcW w:w="5871" w:type="dxa"/>
            <w:vAlign w:val="center"/>
          </w:tcPr>
          <w:p w14:paraId="5EA712C2">
            <w:pPr>
              <w:spacing w:line="440" w:lineRule="exact"/>
              <w:rPr>
                <w:rFonts w:ascii="宋体" w:hAnsi="宋体" w:eastAsia="宋体" w:cs="Times New Roman"/>
                <w:bCs/>
                <w:color w:val="auto"/>
                <w:szCs w:val="21"/>
              </w:rPr>
            </w:pPr>
            <w:r>
              <w:rPr>
                <w:rFonts w:hint="eastAsia" w:ascii="宋体" w:hAnsi="宋体" w:eastAsia="宋体" w:cs="Times New Roman"/>
                <w:bCs/>
                <w:color w:val="auto"/>
                <w:szCs w:val="21"/>
              </w:rPr>
              <w:t>根据</w:t>
            </w:r>
            <w:r>
              <w:rPr>
                <w:rFonts w:hint="eastAsia" w:ascii="宋体" w:hAnsi="宋体" w:eastAsia="宋体" w:cs="Times New Roman"/>
                <w:bCs/>
                <w:color w:val="auto"/>
                <w:szCs w:val="21"/>
                <w:lang w:val="en-US" w:eastAsia="zh-CN"/>
              </w:rPr>
              <w:t>投标人</w:t>
            </w:r>
            <w:r>
              <w:rPr>
                <w:rFonts w:hint="eastAsia" w:ascii="宋体" w:hAnsi="宋体" w:eastAsia="宋体" w:cs="Times New Roman"/>
                <w:bCs/>
                <w:color w:val="auto"/>
                <w:szCs w:val="21"/>
              </w:rPr>
              <w:t>提供的</w:t>
            </w:r>
            <w:r>
              <w:rPr>
                <w:rFonts w:hint="eastAsia" w:ascii="宋体" w:hAnsi="宋体" w:eastAsia="宋体" w:cs="Times New Roman"/>
                <w:bCs/>
                <w:color w:val="auto"/>
                <w:szCs w:val="21"/>
                <w:lang w:val="en-US" w:eastAsia="zh-CN"/>
              </w:rPr>
              <w:t>紧急</w:t>
            </w:r>
            <w:r>
              <w:rPr>
                <w:rFonts w:hint="eastAsia" w:ascii="宋体" w:hAnsi="宋体" w:eastAsia="宋体" w:cs="Times New Roman"/>
                <w:bCs/>
                <w:color w:val="auto"/>
                <w:szCs w:val="21"/>
              </w:rPr>
              <w:t>服务响应时间承诺进行评分：</w:t>
            </w:r>
          </w:p>
          <w:p w14:paraId="7EDB9D4C">
            <w:pPr>
              <w:spacing w:line="440" w:lineRule="exact"/>
              <w:rPr>
                <w:rFonts w:ascii="宋体" w:hAnsi="宋体" w:eastAsia="宋体" w:cs="Times New Roman"/>
                <w:bCs/>
                <w:color w:val="auto"/>
                <w:szCs w:val="21"/>
              </w:rPr>
            </w:pPr>
            <w:r>
              <w:rPr>
                <w:rFonts w:hint="eastAsia" w:ascii="宋体" w:hAnsi="宋体" w:eastAsia="宋体" w:cs="Times New Roman"/>
                <w:bCs/>
                <w:color w:val="auto"/>
                <w:szCs w:val="21"/>
              </w:rPr>
              <w:t>①</w:t>
            </w:r>
            <w:r>
              <w:rPr>
                <w:rFonts w:hint="eastAsia" w:ascii="宋体" w:hAnsi="宋体" w:eastAsia="宋体" w:cs="Times New Roman"/>
                <w:bCs/>
                <w:color w:val="auto"/>
                <w:szCs w:val="21"/>
                <w:lang w:val="en-US" w:eastAsia="zh-CN"/>
              </w:rPr>
              <w:t>投标人</w:t>
            </w:r>
            <w:r>
              <w:rPr>
                <w:rFonts w:hint="eastAsia" w:ascii="宋体" w:hAnsi="宋体" w:eastAsia="宋体" w:cs="宋体"/>
                <w:bCs/>
                <w:color w:val="auto"/>
                <w:szCs w:val="21"/>
              </w:rPr>
              <w:t>承诺在接到采购人通知后</w:t>
            </w:r>
            <w:r>
              <w:rPr>
                <w:rFonts w:hint="eastAsia" w:ascii="宋体" w:hAnsi="宋体" w:eastAsia="宋体" w:cs="宋体"/>
                <w:bCs/>
                <w:color w:val="auto"/>
                <w:szCs w:val="21"/>
                <w:lang w:val="en-US" w:eastAsia="zh-CN"/>
              </w:rPr>
              <w:t>0.5</w:t>
            </w:r>
            <w:r>
              <w:rPr>
                <w:rFonts w:hint="eastAsia" w:ascii="宋体" w:hAnsi="宋体" w:eastAsia="宋体" w:cs="宋体"/>
                <w:bCs/>
                <w:color w:val="auto"/>
                <w:szCs w:val="21"/>
              </w:rPr>
              <w:t>小时（含）内到现场</w:t>
            </w:r>
            <w:r>
              <w:rPr>
                <w:rFonts w:hint="eastAsia" w:ascii="宋体" w:hAnsi="宋体" w:eastAsia="宋体" w:cs="Times New Roman"/>
                <w:bCs/>
                <w:color w:val="auto"/>
                <w:szCs w:val="21"/>
              </w:rPr>
              <w:t>，得</w:t>
            </w:r>
            <w:r>
              <w:rPr>
                <w:rFonts w:hint="eastAsia" w:ascii="宋体" w:hAnsi="宋体" w:eastAsia="宋体" w:cs="Times New Roman"/>
                <w:bCs/>
                <w:color w:val="auto"/>
                <w:szCs w:val="21"/>
                <w:lang w:val="en-US" w:eastAsia="zh-CN"/>
              </w:rPr>
              <w:t>3</w:t>
            </w:r>
            <w:r>
              <w:rPr>
                <w:rFonts w:hint="eastAsia" w:ascii="宋体" w:hAnsi="宋体" w:eastAsia="宋体" w:cs="Times New Roman"/>
                <w:bCs/>
                <w:color w:val="auto"/>
                <w:szCs w:val="21"/>
              </w:rPr>
              <w:t>分；</w:t>
            </w:r>
          </w:p>
          <w:p w14:paraId="4D696707">
            <w:pPr>
              <w:spacing w:line="440" w:lineRule="exact"/>
              <w:rPr>
                <w:rFonts w:ascii="宋体" w:hAnsi="宋体" w:eastAsia="宋体" w:cs="Times New Roman"/>
                <w:bCs/>
                <w:color w:val="auto"/>
                <w:szCs w:val="21"/>
              </w:rPr>
            </w:pPr>
            <w:r>
              <w:rPr>
                <w:rFonts w:hint="eastAsia" w:ascii="宋体" w:hAnsi="宋体" w:eastAsia="宋体" w:cs="Times New Roman"/>
                <w:bCs/>
                <w:color w:val="auto"/>
                <w:szCs w:val="21"/>
              </w:rPr>
              <w:t>②</w:t>
            </w:r>
            <w:r>
              <w:rPr>
                <w:rFonts w:hint="eastAsia" w:ascii="宋体" w:hAnsi="宋体" w:eastAsia="宋体" w:cs="Times New Roman"/>
                <w:bCs/>
                <w:color w:val="auto"/>
                <w:szCs w:val="21"/>
                <w:lang w:val="en-US" w:eastAsia="zh-CN"/>
              </w:rPr>
              <w:t>投标人</w:t>
            </w:r>
            <w:r>
              <w:rPr>
                <w:rFonts w:hint="eastAsia" w:ascii="宋体" w:hAnsi="宋体" w:eastAsia="宋体" w:cs="Times New Roman"/>
                <w:bCs/>
                <w:color w:val="auto"/>
                <w:szCs w:val="21"/>
              </w:rPr>
              <w:t>承诺</w:t>
            </w:r>
            <w:r>
              <w:rPr>
                <w:rFonts w:hint="eastAsia" w:ascii="宋体" w:hAnsi="宋体" w:eastAsia="宋体" w:cs="宋体"/>
                <w:bCs/>
                <w:color w:val="auto"/>
                <w:szCs w:val="21"/>
              </w:rPr>
              <w:t>在接到采购人通知后</w:t>
            </w:r>
            <w:r>
              <w:rPr>
                <w:rFonts w:hint="eastAsia" w:ascii="宋体" w:hAnsi="宋体" w:eastAsia="宋体" w:cs="宋体"/>
                <w:bCs/>
                <w:color w:val="auto"/>
                <w:szCs w:val="21"/>
                <w:lang w:val="en-US" w:eastAsia="zh-CN"/>
              </w:rPr>
              <w:t>0.5</w:t>
            </w:r>
            <w:r>
              <w:rPr>
                <w:rFonts w:hint="eastAsia" w:ascii="宋体" w:hAnsi="宋体" w:eastAsia="宋体" w:cs="宋体"/>
                <w:bCs/>
                <w:color w:val="auto"/>
                <w:szCs w:val="21"/>
              </w:rPr>
              <w:t>小时（不含）至</w:t>
            </w:r>
            <w:r>
              <w:rPr>
                <w:rFonts w:hint="eastAsia" w:ascii="宋体" w:hAnsi="宋体" w:eastAsia="宋体" w:cs="宋体"/>
                <w:bCs/>
                <w:color w:val="auto"/>
                <w:szCs w:val="21"/>
                <w:lang w:val="en-US" w:eastAsia="zh-CN"/>
              </w:rPr>
              <w:t>1</w:t>
            </w:r>
            <w:r>
              <w:rPr>
                <w:rFonts w:hint="eastAsia" w:ascii="宋体" w:hAnsi="宋体" w:eastAsia="宋体" w:cs="宋体"/>
                <w:bCs/>
                <w:color w:val="auto"/>
                <w:szCs w:val="21"/>
              </w:rPr>
              <w:t>小时（含）内到</w:t>
            </w:r>
            <w:r>
              <w:rPr>
                <w:rFonts w:hint="eastAsia" w:ascii="宋体" w:hAnsi="宋体" w:eastAsia="宋体" w:cs="Times New Roman"/>
                <w:bCs/>
                <w:color w:val="auto"/>
                <w:szCs w:val="21"/>
              </w:rPr>
              <w:t>现场，得2分；</w:t>
            </w:r>
          </w:p>
          <w:p w14:paraId="1DD5D43F">
            <w:pPr>
              <w:spacing w:line="440" w:lineRule="exact"/>
              <w:rPr>
                <w:rFonts w:ascii="宋体" w:hAnsi="宋体" w:eastAsia="宋体" w:cs="Times New Roman"/>
                <w:bCs/>
                <w:color w:val="auto"/>
                <w:szCs w:val="21"/>
              </w:rPr>
            </w:pPr>
            <w:r>
              <w:rPr>
                <w:rFonts w:hint="eastAsia" w:ascii="宋体" w:hAnsi="宋体" w:eastAsia="宋体" w:cs="Times New Roman"/>
                <w:bCs/>
                <w:color w:val="auto"/>
                <w:szCs w:val="21"/>
              </w:rPr>
              <w:t>③</w:t>
            </w:r>
            <w:r>
              <w:rPr>
                <w:rFonts w:hint="eastAsia" w:ascii="宋体" w:hAnsi="宋体" w:eastAsia="宋体" w:cs="Times New Roman"/>
                <w:bCs/>
                <w:color w:val="auto"/>
                <w:szCs w:val="21"/>
                <w:lang w:val="en-US" w:eastAsia="zh-CN"/>
              </w:rPr>
              <w:t>投标人</w:t>
            </w:r>
            <w:r>
              <w:rPr>
                <w:rFonts w:hint="eastAsia" w:ascii="宋体" w:hAnsi="宋体" w:eastAsia="宋体" w:cs="宋体"/>
                <w:bCs/>
                <w:color w:val="auto"/>
                <w:szCs w:val="21"/>
              </w:rPr>
              <w:t>承诺在接到采购人通知后</w:t>
            </w:r>
            <w:r>
              <w:rPr>
                <w:rFonts w:hint="eastAsia" w:ascii="宋体" w:hAnsi="宋体" w:eastAsia="宋体" w:cs="宋体"/>
                <w:bCs/>
                <w:color w:val="auto"/>
                <w:szCs w:val="21"/>
                <w:lang w:val="en-US" w:eastAsia="zh-CN"/>
              </w:rPr>
              <w:t>1</w:t>
            </w:r>
            <w:r>
              <w:rPr>
                <w:rFonts w:hint="eastAsia" w:ascii="宋体" w:hAnsi="宋体" w:eastAsia="宋体" w:cs="宋体"/>
                <w:bCs/>
                <w:color w:val="auto"/>
                <w:szCs w:val="21"/>
              </w:rPr>
              <w:t>小时（不含）至</w:t>
            </w:r>
            <w:r>
              <w:rPr>
                <w:rFonts w:hint="eastAsia" w:ascii="宋体" w:hAnsi="宋体" w:eastAsia="宋体" w:cs="宋体"/>
                <w:bCs/>
                <w:color w:val="auto"/>
                <w:szCs w:val="21"/>
                <w:lang w:val="en-US" w:eastAsia="zh-CN"/>
              </w:rPr>
              <w:t>1.5</w:t>
            </w:r>
            <w:r>
              <w:rPr>
                <w:rFonts w:hint="eastAsia" w:ascii="宋体" w:hAnsi="宋体" w:eastAsia="宋体" w:cs="宋体"/>
                <w:bCs/>
                <w:color w:val="auto"/>
                <w:szCs w:val="21"/>
              </w:rPr>
              <w:t>小时（含）内到</w:t>
            </w:r>
            <w:r>
              <w:rPr>
                <w:rFonts w:hint="eastAsia" w:ascii="宋体" w:hAnsi="宋体" w:eastAsia="宋体" w:cs="Times New Roman"/>
                <w:bCs/>
                <w:color w:val="auto"/>
                <w:szCs w:val="21"/>
              </w:rPr>
              <w:t>现场，得1分；</w:t>
            </w:r>
          </w:p>
          <w:p w14:paraId="558EC8F0">
            <w:pPr>
              <w:spacing w:line="440" w:lineRule="exact"/>
              <w:rPr>
                <w:rFonts w:ascii="宋体" w:hAnsi="宋体" w:eastAsia="宋体" w:cs="Times New Roman"/>
                <w:bCs/>
                <w:color w:val="auto"/>
                <w:szCs w:val="21"/>
              </w:rPr>
            </w:pPr>
            <w:r>
              <w:rPr>
                <w:rFonts w:hint="eastAsia" w:ascii="宋体" w:hAnsi="宋体" w:eastAsia="宋体" w:cs="Times New Roman"/>
                <w:bCs/>
                <w:color w:val="auto"/>
                <w:szCs w:val="21"/>
              </w:rPr>
              <w:t>④</w:t>
            </w:r>
            <w:r>
              <w:rPr>
                <w:rFonts w:hint="eastAsia" w:ascii="宋体" w:hAnsi="宋体" w:eastAsia="宋体" w:cs="Times New Roman"/>
                <w:bCs/>
                <w:color w:val="auto"/>
                <w:szCs w:val="21"/>
                <w:lang w:val="en-US" w:eastAsia="zh-CN"/>
              </w:rPr>
              <w:t>投标人</w:t>
            </w:r>
            <w:r>
              <w:rPr>
                <w:rFonts w:hint="eastAsia" w:ascii="宋体" w:hAnsi="宋体" w:eastAsia="宋体" w:cs="Times New Roman"/>
                <w:bCs/>
                <w:color w:val="auto"/>
                <w:szCs w:val="21"/>
              </w:rPr>
              <w:t>承诺在接到采购人通知后超过</w:t>
            </w:r>
            <w:r>
              <w:rPr>
                <w:rFonts w:hint="eastAsia" w:ascii="宋体" w:hAnsi="宋体" w:eastAsia="宋体" w:cs="Times New Roman"/>
                <w:bCs/>
                <w:color w:val="auto"/>
                <w:szCs w:val="21"/>
                <w:lang w:val="en-US" w:eastAsia="zh-CN"/>
              </w:rPr>
              <w:t>1.5</w:t>
            </w:r>
            <w:r>
              <w:rPr>
                <w:rFonts w:hint="eastAsia" w:ascii="宋体" w:hAnsi="宋体" w:eastAsia="宋体" w:cs="Times New Roman"/>
                <w:bCs/>
                <w:color w:val="auto"/>
                <w:szCs w:val="21"/>
              </w:rPr>
              <w:t>小时到现场，不得分。</w:t>
            </w:r>
          </w:p>
          <w:p w14:paraId="1AE67FBB">
            <w:pPr>
              <w:spacing w:line="400" w:lineRule="exact"/>
              <w:rPr>
                <w:rFonts w:hint="eastAsia" w:ascii="宋体" w:hAnsi="宋体" w:eastAsia="宋体" w:cs="宋体"/>
                <w:b/>
                <w:color w:val="auto"/>
                <w:szCs w:val="21"/>
                <w:u w:val="single"/>
              </w:rPr>
            </w:pPr>
            <w:r>
              <w:rPr>
                <w:rFonts w:hint="eastAsia" w:ascii="宋体" w:hAnsi="宋体" w:eastAsia="宋体" w:cs="Times New Roman"/>
                <w:b/>
                <w:color w:val="auto"/>
                <w:szCs w:val="21"/>
                <w:u w:val="single"/>
              </w:rPr>
              <w:t>注：</w:t>
            </w:r>
            <w:r>
              <w:rPr>
                <w:rFonts w:hint="eastAsia" w:ascii="宋体" w:hAnsi="宋体" w:eastAsia="宋体" w:cs="Times New Roman"/>
                <w:b/>
                <w:color w:val="auto"/>
                <w:szCs w:val="21"/>
                <w:u w:val="single"/>
                <w:lang w:val="en-US" w:eastAsia="zh-CN"/>
              </w:rPr>
              <w:t>投标人</w:t>
            </w:r>
            <w:r>
              <w:rPr>
                <w:rFonts w:hint="eastAsia" w:ascii="宋体" w:hAnsi="宋体" w:eastAsia="宋体" w:cs="宋体"/>
                <w:b/>
                <w:bCs/>
                <w:color w:val="auto"/>
                <w:szCs w:val="21"/>
                <w:u w:val="single"/>
              </w:rPr>
              <w:t>须提供服务响应承诺</w:t>
            </w:r>
            <w:r>
              <w:rPr>
                <w:rFonts w:hint="eastAsia" w:ascii="宋体" w:hAnsi="宋体" w:eastAsia="宋体" w:cs="宋体"/>
                <w:b/>
                <w:bCs/>
                <w:color w:val="auto"/>
                <w:szCs w:val="21"/>
                <w:u w:val="single"/>
                <w:lang w:val="en-US" w:eastAsia="zh-CN"/>
              </w:rPr>
              <w:t>函</w:t>
            </w:r>
            <w:r>
              <w:rPr>
                <w:rFonts w:hint="eastAsia" w:ascii="宋体" w:hAnsi="宋体" w:eastAsia="宋体" w:cs="宋体"/>
                <w:b/>
                <w:bCs/>
                <w:color w:val="auto"/>
                <w:szCs w:val="21"/>
                <w:u w:val="single"/>
                <w:lang w:eastAsia="zh-CN"/>
              </w:rPr>
              <w:t>（</w:t>
            </w:r>
            <w:r>
              <w:rPr>
                <w:rFonts w:hint="eastAsia" w:ascii="宋体" w:hAnsi="宋体" w:eastAsia="宋体" w:cs="宋体"/>
                <w:b/>
                <w:bCs/>
                <w:color w:val="auto"/>
                <w:szCs w:val="21"/>
                <w:u w:val="single"/>
              </w:rPr>
              <w:t>承诺</w:t>
            </w:r>
            <w:r>
              <w:rPr>
                <w:rFonts w:hint="eastAsia" w:ascii="宋体" w:hAnsi="宋体" w:eastAsia="宋体" w:cs="宋体"/>
                <w:b/>
                <w:bCs/>
                <w:color w:val="auto"/>
                <w:szCs w:val="21"/>
                <w:u w:val="single"/>
                <w:lang w:val="en-US" w:eastAsia="zh-CN"/>
              </w:rPr>
              <w:t>函格式自拟</w:t>
            </w:r>
            <w:r>
              <w:rPr>
                <w:rFonts w:hint="eastAsia" w:ascii="宋体" w:hAnsi="宋体" w:eastAsia="宋体" w:cs="宋体"/>
                <w:b/>
                <w:bCs/>
                <w:color w:val="auto"/>
                <w:szCs w:val="21"/>
                <w:u w:val="single"/>
                <w:lang w:eastAsia="zh-CN"/>
              </w:rPr>
              <w:t>）</w:t>
            </w:r>
            <w:r>
              <w:rPr>
                <w:rFonts w:hint="eastAsia" w:ascii="宋体" w:hAnsi="宋体" w:eastAsia="宋体" w:cs="宋体"/>
                <w:b/>
                <w:bCs/>
                <w:color w:val="auto"/>
                <w:szCs w:val="21"/>
                <w:u w:val="single"/>
              </w:rPr>
              <w:t>加盖</w:t>
            </w:r>
            <w:r>
              <w:rPr>
                <w:rFonts w:hint="eastAsia" w:ascii="宋体" w:hAnsi="宋体" w:eastAsia="宋体" w:cs="宋体"/>
                <w:b/>
                <w:bCs/>
                <w:color w:val="auto"/>
                <w:szCs w:val="21"/>
                <w:u w:val="single"/>
                <w:lang w:val="en-US" w:eastAsia="zh-CN"/>
              </w:rPr>
              <w:t>供应商</w:t>
            </w:r>
            <w:r>
              <w:rPr>
                <w:rFonts w:hint="eastAsia" w:ascii="宋体" w:hAnsi="宋体" w:eastAsia="宋体" w:cs="宋体"/>
                <w:b/>
                <w:bCs/>
                <w:color w:val="auto"/>
                <w:szCs w:val="21"/>
                <w:u w:val="single"/>
              </w:rPr>
              <w:t>公章</w:t>
            </w:r>
            <w:r>
              <w:rPr>
                <w:rFonts w:hint="eastAsia" w:ascii="宋体" w:hAnsi="宋体" w:eastAsia="宋体" w:cs="Times New Roman"/>
                <w:b/>
                <w:color w:val="auto"/>
                <w:szCs w:val="21"/>
                <w:u w:val="single"/>
              </w:rPr>
              <w:t>。</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27985D8">
            <w:pPr>
              <w:pStyle w:val="30"/>
              <w:spacing w:line="400" w:lineRule="exact"/>
              <w:ind w:firstLine="0" w:firstLineChars="0"/>
              <w:jc w:val="center"/>
              <w:rPr>
                <w:rFonts w:hint="eastAsia" w:ascii="宋体" w:hAnsi="宋体" w:eastAsia="宋体" w:cs="宋体"/>
                <w:color w:val="auto"/>
              </w:rPr>
            </w:pPr>
            <w:r>
              <w:rPr>
                <w:rFonts w:hint="eastAsia" w:ascii="宋体" w:hAnsi="宋体" w:eastAsia="宋体" w:cs="宋体"/>
                <w:b/>
                <w:color w:val="auto"/>
                <w:sz w:val="21"/>
                <w:szCs w:val="21"/>
              </w:rPr>
              <w:t>技术评审细则（</w:t>
            </w:r>
            <w:r>
              <w:rPr>
                <w:rFonts w:hint="eastAsia" w:ascii="宋体" w:hAnsi="宋体" w:eastAsia="宋体" w:cs="宋体"/>
                <w:b/>
                <w:color w:val="auto"/>
                <w:sz w:val="21"/>
                <w:szCs w:val="21"/>
                <w:lang w:val="en-US" w:eastAsia="zh-CN"/>
              </w:rPr>
              <w:t>60</w:t>
            </w:r>
            <w:r>
              <w:rPr>
                <w:rFonts w:hint="eastAsia" w:ascii="宋体" w:hAnsi="宋体" w:eastAsia="宋体" w:cs="宋体"/>
                <w:b/>
                <w:color w:val="auto"/>
                <w:sz w:val="21"/>
                <w:szCs w:val="21"/>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2F828625">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821" w:type="pct"/>
            <w:vAlign w:val="center"/>
          </w:tcPr>
          <w:p w14:paraId="3D6118E7">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重要评分条款（</w:t>
            </w:r>
            <w:r>
              <w:rPr>
                <w:rFonts w:hint="eastAsia" w:ascii="宋体" w:hAnsi="宋体" w:eastAsia="宋体" w:cs="宋体"/>
                <w:color w:val="auto"/>
                <w:szCs w:val="21"/>
                <w:lang w:val="en-US" w:eastAsia="zh-CN"/>
              </w:rPr>
              <w:t>标记</w:t>
            </w:r>
            <w:r>
              <w:rPr>
                <w:rFonts w:hint="eastAsia" w:ascii="宋体" w:hAnsi="宋体" w:eastAsia="宋体" w:cs="宋体"/>
                <w:color w:val="auto"/>
                <w:szCs w:val="21"/>
              </w:rPr>
              <w:t>“▲”）响应情况</w:t>
            </w:r>
          </w:p>
        </w:tc>
        <w:tc>
          <w:tcPr>
            <w:tcW w:w="537" w:type="pct"/>
            <w:gridSpan w:val="2"/>
            <w:vAlign w:val="center"/>
          </w:tcPr>
          <w:p w14:paraId="51051921">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10</w:t>
            </w:r>
            <w:r>
              <w:rPr>
                <w:rFonts w:hint="eastAsia" w:ascii="宋体" w:hAnsi="宋体" w:eastAsia="宋体" w:cs="宋体"/>
                <w:color w:val="auto"/>
                <w:szCs w:val="21"/>
              </w:rPr>
              <w:t>分</w:t>
            </w:r>
          </w:p>
        </w:tc>
        <w:tc>
          <w:tcPr>
            <w:tcW w:w="3161" w:type="pct"/>
            <w:vAlign w:val="center"/>
          </w:tcPr>
          <w:p w14:paraId="0B5EB61C">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lang w:val="en-US" w:eastAsia="zh-CN"/>
              </w:rPr>
              <w:t>投标人响应的</w:t>
            </w:r>
            <w:r>
              <w:rPr>
                <w:rFonts w:hint="eastAsia" w:ascii="宋体" w:hAnsi="宋体" w:eastAsia="宋体" w:cs="宋体"/>
                <w:color w:val="auto"/>
                <w:szCs w:val="21"/>
              </w:rPr>
              <w:t>技术标准条款符合采购文件的规定及要求</w:t>
            </w:r>
            <w:r>
              <w:rPr>
                <w:rFonts w:hint="eastAsia" w:ascii="宋体" w:hAnsi="宋体" w:eastAsia="宋体" w:cs="宋体"/>
                <w:color w:val="auto"/>
                <w:szCs w:val="21"/>
                <w:lang w:eastAsia="zh-CN"/>
              </w:rPr>
              <w:t>，</w:t>
            </w:r>
            <w:r>
              <w:rPr>
                <w:rFonts w:hint="eastAsia" w:ascii="宋体" w:hAnsi="宋体" w:eastAsia="宋体" w:cs="宋体"/>
                <w:color w:val="auto"/>
                <w:szCs w:val="21"/>
              </w:rPr>
              <w:t>每提供一项带“▲”条款得</w:t>
            </w:r>
            <w:r>
              <w:rPr>
                <w:rFonts w:hint="eastAsia" w:ascii="宋体" w:hAnsi="宋体" w:eastAsia="宋体" w:cs="宋体"/>
                <w:color w:val="auto"/>
                <w:szCs w:val="21"/>
                <w:lang w:val="en-US" w:eastAsia="zh-CN"/>
              </w:rPr>
              <w:t>1</w:t>
            </w:r>
            <w:r>
              <w:rPr>
                <w:rFonts w:hint="eastAsia" w:ascii="宋体" w:hAnsi="宋体" w:eastAsia="宋体" w:cs="宋体"/>
                <w:color w:val="auto"/>
                <w:szCs w:val="21"/>
              </w:rPr>
              <w:t>分，满分为</w:t>
            </w:r>
            <w:r>
              <w:rPr>
                <w:rFonts w:hint="eastAsia" w:ascii="宋体" w:hAnsi="宋体" w:eastAsia="宋体" w:cs="宋体"/>
                <w:color w:val="auto"/>
                <w:szCs w:val="21"/>
                <w:lang w:val="en-US" w:eastAsia="zh-CN"/>
              </w:rPr>
              <w:t>10</w:t>
            </w:r>
            <w:r>
              <w:rPr>
                <w:rFonts w:hint="eastAsia" w:ascii="宋体" w:hAnsi="宋体" w:eastAsia="宋体" w:cs="宋体"/>
                <w:color w:val="auto"/>
                <w:szCs w:val="21"/>
              </w:rPr>
              <w:t>分。</w:t>
            </w:r>
          </w:p>
          <w:p w14:paraId="5F6BD71D">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lang w:val="en-US" w:eastAsia="zh-CN"/>
              </w:rPr>
              <w:t>注：①对采购需求中带“▲”号的条款，采购需求要求提供相关证明资料的，则投标文件中须提供对应的证明资料。②采购需求中带“▲”号的条款，采购需求中未要求提供相关证明资料的，则投标文件中须提供功能截图、或运维系统公开网址链接及功能截图，或系统技术白皮书，或功能彩页，或第三方检测机构出具的检测报告等证明资料，否则不得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479" w:type="pct"/>
            <w:vAlign w:val="center"/>
          </w:tcPr>
          <w:p w14:paraId="09761D28">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2</w:t>
            </w:r>
          </w:p>
        </w:tc>
        <w:tc>
          <w:tcPr>
            <w:tcW w:w="821" w:type="pct"/>
            <w:vAlign w:val="center"/>
          </w:tcPr>
          <w:p w14:paraId="134948A6">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总体实施方案</w:t>
            </w:r>
          </w:p>
        </w:tc>
        <w:tc>
          <w:tcPr>
            <w:tcW w:w="537" w:type="pct"/>
            <w:gridSpan w:val="2"/>
            <w:vAlign w:val="center"/>
          </w:tcPr>
          <w:p w14:paraId="7D74B5DC">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5</w:t>
            </w:r>
            <w:r>
              <w:rPr>
                <w:rFonts w:hint="eastAsia" w:ascii="宋体" w:hAnsi="宋体" w:eastAsia="宋体" w:cs="宋体"/>
                <w:color w:val="auto"/>
                <w:szCs w:val="21"/>
              </w:rPr>
              <w:t>分</w:t>
            </w:r>
          </w:p>
        </w:tc>
        <w:tc>
          <w:tcPr>
            <w:tcW w:w="3161" w:type="pct"/>
            <w:vAlign w:val="center"/>
          </w:tcPr>
          <w:p w14:paraId="40BAE908">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根据投标人对实施方案总体方案（包括但不限于对采购需求的理解、具体实施管理、项目进度计划有详细的规划方案，针对方案完整性、可行性、科学性、合理性等）进行评审：</w:t>
            </w:r>
          </w:p>
          <w:p w14:paraId="4E920C47">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①方案能清晰深刻理解采购需求的，整体思路清楚、科学，内容详细具体，方案完全具备可操作性、合理性及针对性非常强的，项目进度方案详细明确，满足采购需求的，得1</w:t>
            </w:r>
            <w:r>
              <w:rPr>
                <w:rFonts w:hint="eastAsia" w:ascii="宋体" w:hAnsi="宋体" w:eastAsia="宋体" w:cs="宋体"/>
                <w:color w:val="auto"/>
                <w:szCs w:val="21"/>
                <w:lang w:val="en-US" w:eastAsia="zh-CN"/>
              </w:rPr>
              <w:t>5</w:t>
            </w:r>
            <w:r>
              <w:rPr>
                <w:rFonts w:hint="eastAsia" w:ascii="宋体" w:hAnsi="宋体" w:eastAsia="宋体" w:cs="宋体"/>
                <w:color w:val="auto"/>
                <w:szCs w:val="21"/>
              </w:rPr>
              <w:t>分；</w:t>
            </w:r>
          </w:p>
          <w:p w14:paraId="7E9DA095">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②方案较清晰，能理解采购需求的，整体思路清楚、科学，内容详细具体，方案可操作性、合理性及针对性强，项目进度方案详细，符合采购需求的，得</w:t>
            </w:r>
            <w:r>
              <w:rPr>
                <w:rFonts w:hint="eastAsia" w:ascii="宋体" w:hAnsi="宋体" w:eastAsia="宋体" w:cs="宋体"/>
                <w:color w:val="auto"/>
                <w:szCs w:val="21"/>
                <w:lang w:val="en-US" w:eastAsia="zh-CN"/>
              </w:rPr>
              <w:t>10</w:t>
            </w:r>
            <w:r>
              <w:rPr>
                <w:rFonts w:hint="eastAsia" w:ascii="宋体" w:hAnsi="宋体" w:eastAsia="宋体" w:cs="宋体"/>
                <w:color w:val="auto"/>
                <w:szCs w:val="21"/>
              </w:rPr>
              <w:t>分；</w:t>
            </w:r>
          </w:p>
          <w:p w14:paraId="13FCEFFF">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③方案能理解采购需求的，内容较详细，方案具备可操作性，有项目进度方案，基本符合采购需求的，得</w:t>
            </w:r>
            <w:r>
              <w:rPr>
                <w:rFonts w:hint="eastAsia" w:ascii="宋体" w:hAnsi="宋体" w:eastAsia="宋体" w:cs="宋体"/>
                <w:color w:val="auto"/>
                <w:szCs w:val="21"/>
                <w:lang w:val="en-US" w:eastAsia="zh-CN"/>
              </w:rPr>
              <w:t>5</w:t>
            </w:r>
            <w:r>
              <w:rPr>
                <w:rFonts w:hint="eastAsia" w:ascii="宋体" w:hAnsi="宋体" w:eastAsia="宋体" w:cs="宋体"/>
                <w:color w:val="auto"/>
                <w:szCs w:val="21"/>
              </w:rPr>
              <w:t>分；</w:t>
            </w:r>
          </w:p>
          <w:p w14:paraId="33110AF7">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④方案简略，对采购需求理解不够清晰的，各类实施方案可行性较差的，部分符合采购需求的，得1分；</w:t>
            </w:r>
          </w:p>
          <w:p w14:paraId="258C273B">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⑤未提供</w:t>
            </w:r>
            <w:r>
              <w:rPr>
                <w:rFonts w:hint="eastAsia" w:ascii="宋体" w:hAnsi="宋体" w:eastAsia="宋体" w:cs="宋体"/>
                <w:color w:val="auto"/>
                <w:szCs w:val="21"/>
                <w:lang w:val="en-US" w:eastAsia="zh-CN"/>
              </w:rPr>
              <w:t>相关</w:t>
            </w:r>
            <w:r>
              <w:rPr>
                <w:rFonts w:hint="eastAsia" w:ascii="宋体" w:hAnsi="宋体" w:eastAsia="宋体" w:cs="宋体"/>
                <w:color w:val="auto"/>
                <w:szCs w:val="21"/>
              </w:rPr>
              <w:t>方案不得分。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D77465D">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3</w:t>
            </w:r>
          </w:p>
        </w:tc>
        <w:tc>
          <w:tcPr>
            <w:tcW w:w="821" w:type="pct"/>
            <w:vAlign w:val="center"/>
          </w:tcPr>
          <w:p w14:paraId="03D31443">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质量保证方案</w:t>
            </w:r>
          </w:p>
        </w:tc>
        <w:tc>
          <w:tcPr>
            <w:tcW w:w="537" w:type="pct"/>
            <w:gridSpan w:val="2"/>
            <w:vAlign w:val="center"/>
          </w:tcPr>
          <w:p w14:paraId="53BD03D6">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15</w:t>
            </w:r>
            <w:r>
              <w:rPr>
                <w:rFonts w:hint="eastAsia" w:ascii="宋体" w:hAnsi="宋体" w:eastAsia="宋体" w:cs="宋体"/>
                <w:color w:val="auto"/>
                <w:szCs w:val="21"/>
              </w:rPr>
              <w:t>分</w:t>
            </w:r>
          </w:p>
        </w:tc>
        <w:tc>
          <w:tcPr>
            <w:tcW w:w="3161" w:type="pct"/>
            <w:vAlign w:val="center"/>
          </w:tcPr>
          <w:p w14:paraId="50C98955">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根据投标人针对本项目制定的质量保证方案（包括但不仅限于质量目标、质量控制措施、质量保证体系及措施、质量保障管理及合理化建议内容）进行评审：</w:t>
            </w:r>
          </w:p>
          <w:p w14:paraId="3AB427F9">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①质量目标详细明确，具体可行的，服务质量保障措施科学，有项目的保障措施介绍且能清晰描述，针对本项目能详尽的罗列出全面科学的合理化建议，有利于项目实施的，得</w:t>
            </w:r>
            <w:r>
              <w:rPr>
                <w:rFonts w:hint="eastAsia" w:ascii="宋体" w:hAnsi="宋体" w:eastAsia="宋体" w:cs="宋体"/>
                <w:color w:val="auto"/>
                <w:szCs w:val="21"/>
                <w:lang w:val="en-US" w:eastAsia="zh-CN"/>
              </w:rPr>
              <w:t>15</w:t>
            </w:r>
            <w:r>
              <w:rPr>
                <w:rFonts w:hint="eastAsia" w:ascii="宋体" w:hAnsi="宋体" w:eastAsia="宋体" w:cs="宋体"/>
                <w:color w:val="auto"/>
                <w:szCs w:val="21"/>
              </w:rPr>
              <w:t xml:space="preserve">分； </w:t>
            </w:r>
          </w:p>
          <w:p w14:paraId="39AE1EE8">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②质量目标明确，具体可行的，服务质量保障措施基本全面，有具体的保障措施介绍说明；针对本项目能提供合理化建议，较有利于项目实施的，得</w:t>
            </w:r>
            <w:r>
              <w:rPr>
                <w:rFonts w:hint="eastAsia" w:ascii="宋体" w:hAnsi="宋体" w:eastAsia="宋体" w:cs="宋体"/>
                <w:color w:val="auto"/>
                <w:szCs w:val="21"/>
                <w:lang w:val="en-US" w:eastAsia="zh-CN"/>
              </w:rPr>
              <w:t>10</w:t>
            </w:r>
            <w:r>
              <w:rPr>
                <w:rFonts w:hint="eastAsia" w:ascii="宋体" w:hAnsi="宋体" w:eastAsia="宋体" w:cs="宋体"/>
                <w:color w:val="auto"/>
                <w:szCs w:val="21"/>
              </w:rPr>
              <w:t>分；</w:t>
            </w:r>
          </w:p>
          <w:p w14:paraId="08508960">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③质量目标详细的，服务质量保障措施一般，描述过于简单，保障措施介绍一般；针对本项目合理化建议不够详细具体的，基本满足采购需求的，得</w:t>
            </w:r>
            <w:r>
              <w:rPr>
                <w:rFonts w:hint="eastAsia" w:ascii="宋体" w:hAnsi="宋体" w:eastAsia="宋体" w:cs="宋体"/>
                <w:color w:val="auto"/>
                <w:szCs w:val="21"/>
                <w:lang w:val="en-US" w:eastAsia="zh-CN"/>
              </w:rPr>
              <w:t>5</w:t>
            </w:r>
            <w:r>
              <w:rPr>
                <w:rFonts w:hint="eastAsia" w:ascii="宋体" w:hAnsi="宋体" w:eastAsia="宋体" w:cs="宋体"/>
                <w:color w:val="auto"/>
                <w:szCs w:val="21"/>
              </w:rPr>
              <w:t xml:space="preserve">分； </w:t>
            </w:r>
          </w:p>
          <w:p w14:paraId="72247E8F">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 xml:space="preserve">④质量目标简略不够详细的，服务质量保障措施较弱，描述过于简单，保障措施介绍一般；针对本项目合理化建议简单，和项目的实际需求有所偏离的，部分满足采购需求的，得1分； </w:t>
            </w:r>
          </w:p>
          <w:p w14:paraId="2A083085">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⑤未提供对应方案不得分。</w:t>
            </w:r>
          </w:p>
        </w:tc>
      </w:tr>
      <w:tr w14:paraId="5E693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293AC914">
            <w:pPr>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4</w:t>
            </w:r>
          </w:p>
        </w:tc>
        <w:tc>
          <w:tcPr>
            <w:tcW w:w="821" w:type="pct"/>
            <w:vAlign w:val="center"/>
          </w:tcPr>
          <w:p w14:paraId="24827795">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应急保障方案</w:t>
            </w:r>
          </w:p>
        </w:tc>
        <w:tc>
          <w:tcPr>
            <w:tcW w:w="537" w:type="pct"/>
            <w:gridSpan w:val="2"/>
            <w:vAlign w:val="center"/>
          </w:tcPr>
          <w:p w14:paraId="08B7F31F">
            <w:pPr>
              <w:spacing w:line="400" w:lineRule="exact"/>
              <w:jc w:val="center"/>
              <w:rPr>
                <w:rFonts w:hint="eastAsia" w:ascii="宋体" w:hAnsi="宋体" w:eastAsia="宋体" w:cs="宋体"/>
                <w:color w:val="auto"/>
                <w:szCs w:val="21"/>
              </w:rPr>
            </w:pPr>
            <w:r>
              <w:rPr>
                <w:rFonts w:hint="eastAsia" w:ascii="宋体" w:hAnsi="宋体" w:eastAsia="宋体" w:cs="宋体"/>
                <w:color w:val="auto"/>
                <w:szCs w:val="21"/>
              </w:rPr>
              <w:t>10分</w:t>
            </w:r>
          </w:p>
        </w:tc>
        <w:tc>
          <w:tcPr>
            <w:tcW w:w="3161" w:type="pct"/>
            <w:vAlign w:val="center"/>
          </w:tcPr>
          <w:p w14:paraId="066CF9A7">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 xml:space="preserve">根据投标人针对本项目提出的应急保障方案（包括但不限于应急管理、应急人员、应急设备等应急保障）进行评审： </w:t>
            </w:r>
          </w:p>
          <w:p w14:paraId="340C1193">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①应急保障方案非常具体完善，有成熟的应急管理机制、人员安排计划周全、现场解决能力非常强，组织运作机制非常完善、科学合理，可行性非常强的，得10分；</w:t>
            </w:r>
          </w:p>
          <w:p w14:paraId="3AC1F043">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②应急保障方案具体详细，有完善的应急管理机制、人员安排计划可行、应急响应时间短，现场解决能力强，组织运作机制完善、合理，可行性强的，得7分；</w:t>
            </w:r>
          </w:p>
          <w:p w14:paraId="5C18E84F">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③应急处理预案较具体，有基础应急管理机制、技术人员安排计划可行，现场解决能力较强，组织运作机制基本合理，可行性的，得4分；</w:t>
            </w:r>
          </w:p>
          <w:p w14:paraId="18DB90CB">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④应急处理预案不够具体，有应急管理机制、技术人员安排计划，现场解决能力较弱，组织运作机制部分合理，可行性的，得1分；</w:t>
            </w:r>
          </w:p>
          <w:p w14:paraId="570EB985">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⑤未提供对应方案不得分。</w:t>
            </w:r>
          </w:p>
        </w:tc>
      </w:tr>
      <w:tr w14:paraId="41002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53277AFE">
            <w:pPr>
              <w:spacing w:line="400" w:lineRule="exact"/>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5</w:t>
            </w:r>
          </w:p>
        </w:tc>
        <w:tc>
          <w:tcPr>
            <w:tcW w:w="821" w:type="pct"/>
            <w:vAlign w:val="center"/>
          </w:tcPr>
          <w:p w14:paraId="19431BF6">
            <w:pPr>
              <w:spacing w:line="400" w:lineRule="exact"/>
              <w:jc w:val="center"/>
              <w:rPr>
                <w:rFonts w:hint="default" w:ascii="宋体" w:hAnsi="宋体" w:eastAsia="宋体" w:cs="宋体"/>
                <w:color w:val="auto"/>
                <w:szCs w:val="21"/>
                <w:lang w:val="en-US"/>
              </w:rPr>
            </w:pPr>
            <w:r>
              <w:rPr>
                <w:rFonts w:hint="eastAsia" w:ascii="宋体" w:hAnsi="宋体" w:eastAsia="宋体" w:cs="宋体"/>
                <w:bCs/>
                <w:color w:val="auto"/>
                <w:szCs w:val="21"/>
                <w:lang w:val="en-US" w:eastAsia="zh-CN"/>
              </w:rPr>
              <w:t>保密措施方案</w:t>
            </w:r>
          </w:p>
        </w:tc>
        <w:tc>
          <w:tcPr>
            <w:tcW w:w="537" w:type="pct"/>
            <w:gridSpan w:val="2"/>
            <w:vAlign w:val="center"/>
          </w:tcPr>
          <w:p w14:paraId="18C582A6">
            <w:pPr>
              <w:spacing w:line="400" w:lineRule="exact"/>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10分</w:t>
            </w:r>
          </w:p>
        </w:tc>
        <w:tc>
          <w:tcPr>
            <w:tcW w:w="3161" w:type="pct"/>
            <w:vAlign w:val="center"/>
          </w:tcPr>
          <w:p w14:paraId="5E3ADC4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根据</w:t>
            </w:r>
            <w:r>
              <w:rPr>
                <w:rFonts w:hint="eastAsia" w:ascii="宋体" w:hAnsi="宋体" w:eastAsia="宋体" w:cs="宋体"/>
                <w:b w:val="0"/>
                <w:bCs w:val="0"/>
                <w:color w:val="auto"/>
                <w:szCs w:val="21"/>
                <w:highlight w:val="none"/>
                <w:lang w:val="en-US" w:eastAsia="zh-CN"/>
              </w:rPr>
              <w:t>投标人</w:t>
            </w:r>
            <w:r>
              <w:rPr>
                <w:rFonts w:hint="eastAsia" w:ascii="宋体" w:hAnsi="宋体" w:eastAsia="宋体" w:cs="宋体"/>
                <w:b w:val="0"/>
                <w:bCs w:val="0"/>
                <w:color w:val="auto"/>
                <w:szCs w:val="21"/>
                <w:highlight w:val="none"/>
              </w:rPr>
              <w:t>提供保密</w:t>
            </w:r>
            <w:r>
              <w:rPr>
                <w:rFonts w:hint="eastAsia" w:ascii="宋体" w:hAnsi="宋体" w:eastAsia="宋体" w:cs="宋体"/>
                <w:b w:val="0"/>
                <w:bCs w:val="0"/>
                <w:color w:val="auto"/>
                <w:szCs w:val="21"/>
                <w:highlight w:val="none"/>
                <w:lang w:val="en-US" w:eastAsia="zh-CN"/>
              </w:rPr>
              <w:t>措施方案</w:t>
            </w:r>
            <w:r>
              <w:rPr>
                <w:rFonts w:hint="eastAsia" w:ascii="宋体" w:hAnsi="宋体" w:eastAsia="宋体" w:cs="宋体"/>
                <w:b w:val="0"/>
                <w:bCs w:val="0"/>
                <w:color w:val="auto"/>
                <w:szCs w:val="21"/>
                <w:highlight w:val="none"/>
              </w:rPr>
              <w:t>（包括但不限于</w:t>
            </w:r>
            <w:r>
              <w:rPr>
                <w:rFonts w:hint="eastAsia" w:ascii="宋体" w:hAnsi="宋体" w:eastAsia="宋体" w:cs="宋体"/>
                <w:b w:val="0"/>
                <w:bCs w:val="0"/>
                <w:color w:val="auto"/>
                <w:szCs w:val="21"/>
                <w:highlight w:val="none"/>
                <w:lang w:val="en-US" w:eastAsia="zh-CN"/>
              </w:rPr>
              <w:t>保密制度、人员保密培训、泄密情况的预防、应对及补救措施</w:t>
            </w:r>
            <w:r>
              <w:rPr>
                <w:rFonts w:hint="eastAsia" w:ascii="宋体" w:hAnsi="宋体" w:eastAsia="宋体" w:cs="宋体"/>
                <w:b w:val="0"/>
                <w:bCs w:val="0"/>
                <w:color w:val="auto"/>
                <w:szCs w:val="21"/>
                <w:highlight w:val="none"/>
              </w:rPr>
              <w:t>等）进行评审：</w:t>
            </w:r>
          </w:p>
          <w:p w14:paraId="13F4659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rPr>
              <w:t>①</w:t>
            </w:r>
            <w:r>
              <w:rPr>
                <w:rFonts w:hint="eastAsia" w:ascii="宋体" w:hAnsi="宋体" w:eastAsia="宋体" w:cs="宋体"/>
                <w:b w:val="0"/>
                <w:bCs w:val="0"/>
                <w:color w:val="auto"/>
                <w:szCs w:val="21"/>
                <w:highlight w:val="none"/>
                <w:lang w:val="en-US" w:eastAsia="zh-CN"/>
              </w:rPr>
              <w:t>投标人保密制度合法可行，对项目相关服务</w:t>
            </w:r>
            <w:r>
              <w:rPr>
                <w:rFonts w:hint="eastAsia" w:ascii="宋体" w:hAnsi="宋体" w:eastAsia="宋体" w:cs="宋体"/>
                <w:color w:val="auto"/>
                <w:szCs w:val="21"/>
                <w:highlight w:val="none"/>
                <w:lang w:val="en-US" w:eastAsia="zh-CN"/>
              </w:rPr>
              <w:t>人员制定了科学全面的保密培训计划，能很好地预见履约过程及结束后可能发生的泄密情况，并提出了完善的预防、应对及补救措施，能完全满足采购需求要求的，</w:t>
            </w:r>
            <w:r>
              <w:rPr>
                <w:rFonts w:hint="eastAsia" w:ascii="宋体" w:hAnsi="宋体" w:eastAsia="宋体" w:cs="宋体"/>
                <w:color w:val="auto"/>
                <w:szCs w:val="21"/>
                <w:highlight w:val="none"/>
              </w:rPr>
              <w:t>得1</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分；</w:t>
            </w:r>
          </w:p>
          <w:p w14:paraId="5CEAA34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rPr>
              <w:t>②</w:t>
            </w:r>
            <w:r>
              <w:rPr>
                <w:rFonts w:hint="eastAsia" w:ascii="宋体" w:hAnsi="宋体" w:eastAsia="宋体" w:cs="宋体"/>
                <w:color w:val="auto"/>
                <w:szCs w:val="21"/>
                <w:highlight w:val="none"/>
                <w:lang w:val="en-US" w:eastAsia="zh-CN"/>
              </w:rPr>
              <w:t>投标人保密制度合法合规，对项目相关服务人员制定了全面的保密培训计划，能较好地预见履约过程及结束后可能发生的泄密情况，并提出了较为完善的预防、应对及补救措施，能满足采购需求要求的，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分；</w:t>
            </w:r>
          </w:p>
          <w:p w14:paraId="52F8824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rPr>
              <w:t>③</w:t>
            </w:r>
            <w:r>
              <w:rPr>
                <w:rFonts w:hint="eastAsia" w:ascii="宋体" w:hAnsi="宋体" w:eastAsia="宋体" w:cs="宋体"/>
                <w:color w:val="auto"/>
                <w:szCs w:val="21"/>
                <w:highlight w:val="none"/>
                <w:lang w:val="en-US" w:eastAsia="zh-CN"/>
              </w:rPr>
              <w:t>投标人保密制度合法合规，对项目相关服务人员制定了保密培训计划，能一定程度上预见履约过程及结束后可能发生的泄密情况，并提出了预防、应对及补救措施，基本满足采购需求要求的，</w:t>
            </w:r>
            <w:r>
              <w:rPr>
                <w:rFonts w:hint="eastAsia" w:ascii="宋体" w:hAnsi="宋体" w:eastAsia="宋体" w:cs="宋体"/>
                <w:color w:val="auto"/>
                <w:szCs w:val="21"/>
                <w:highlight w:val="none"/>
              </w:rPr>
              <w:t>得4分；</w:t>
            </w:r>
          </w:p>
          <w:p w14:paraId="16FBC95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rPr>
              <w:t>④</w:t>
            </w:r>
            <w:r>
              <w:rPr>
                <w:rFonts w:hint="eastAsia" w:ascii="宋体" w:hAnsi="宋体" w:eastAsia="宋体" w:cs="宋体"/>
                <w:color w:val="auto"/>
                <w:szCs w:val="21"/>
                <w:highlight w:val="none"/>
                <w:lang w:val="en-US" w:eastAsia="zh-CN"/>
              </w:rPr>
              <w:t>投标人保密制度合法合规，对履约过程及结束后可能发生的泄密情况提出的预防、应对及补救措施可行性不足，难以满足采购需求要求的，</w:t>
            </w:r>
            <w:r>
              <w:rPr>
                <w:rFonts w:hint="eastAsia" w:ascii="宋体" w:hAnsi="宋体" w:eastAsia="宋体" w:cs="宋体"/>
                <w:color w:val="auto"/>
                <w:szCs w:val="21"/>
                <w:highlight w:val="none"/>
              </w:rPr>
              <w:t>得1分；</w:t>
            </w:r>
          </w:p>
          <w:p w14:paraId="1A8ACCDF">
            <w:pPr>
              <w:spacing w:line="400" w:lineRule="exact"/>
              <w:jc w:val="left"/>
              <w:rPr>
                <w:rFonts w:hint="eastAsia" w:ascii="宋体" w:hAnsi="宋体" w:eastAsia="宋体" w:cs="宋体"/>
                <w:color w:val="auto"/>
                <w:szCs w:val="21"/>
              </w:rPr>
            </w:pPr>
            <w:r>
              <w:rPr>
                <w:rFonts w:hint="eastAsia" w:ascii="宋体" w:hAnsi="宋体" w:eastAsia="宋体" w:cs="宋体"/>
                <w:color w:val="auto"/>
                <w:szCs w:val="21"/>
              </w:rPr>
              <w:t>⑤未提供对应方案不得分。</w:t>
            </w:r>
          </w:p>
        </w:tc>
      </w:tr>
      <w:bookmarkEnd w:id="27"/>
    </w:tbl>
    <w:p w14:paraId="151CEF5D">
      <w:pPr>
        <w:pStyle w:val="27"/>
        <w:numPr>
          <w:ilvl w:val="3"/>
          <w:numId w:val="73"/>
        </w:numPr>
        <w:spacing w:before="217" w:beforeLines="50"/>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汇总、排序</w:t>
      </w:r>
    </w:p>
    <w:p w14:paraId="12177A76">
      <w:pPr>
        <w:pStyle w:val="27"/>
        <w:widowControl/>
        <w:numPr>
          <w:ilvl w:val="0"/>
          <w:numId w:val="75"/>
        </w:numPr>
        <w:ind w:left="426" w:hanging="426"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7"/>
        <w:numPr>
          <w:ilvl w:val="3"/>
          <w:numId w:val="73"/>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中标价的确定</w:t>
      </w:r>
    </w:p>
    <w:p w14:paraId="06F4085C">
      <w:pPr>
        <w:widowControl/>
        <w:ind w:firstLine="420" w:firstLineChars="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除了按第四章第一点第7条修正并经投标人确认的投标报价作为中标价外，中标价以开标时公开唱标价为准。</w:t>
      </w:r>
    </w:p>
    <w:p w14:paraId="5AF16E43">
      <w:pPr>
        <w:pStyle w:val="27"/>
        <w:numPr>
          <w:ilvl w:val="3"/>
          <w:numId w:val="73"/>
        </w:numPr>
        <w:ind w:left="284" w:hanging="284" w:firstLineChars="0"/>
        <w:jc w:val="left"/>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其他无效投标的情形：</w:t>
      </w:r>
    </w:p>
    <w:p w14:paraId="7B1FED0F">
      <w:pPr>
        <w:pStyle w:val="27"/>
        <w:widowControl/>
        <w:numPr>
          <w:ilvl w:val="0"/>
          <w:numId w:val="76"/>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评标期间，投标人没有按评标委员会的要求提交法定代表人或其委托代理人签字的澄清、说明、补正或改变了投标文件的实质性内容的。</w:t>
      </w:r>
    </w:p>
    <w:p w14:paraId="12D647CC">
      <w:pPr>
        <w:pStyle w:val="27"/>
        <w:widowControl/>
        <w:numPr>
          <w:ilvl w:val="0"/>
          <w:numId w:val="76"/>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投标文件提供虚假材料的。</w:t>
      </w:r>
    </w:p>
    <w:p w14:paraId="418D0D97">
      <w:pPr>
        <w:pStyle w:val="27"/>
        <w:widowControl/>
        <w:numPr>
          <w:ilvl w:val="0"/>
          <w:numId w:val="76"/>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投标人以他人名义投标、串通投标、以行贿手段谋取中标或者以其他弄虚作假方式投标的。</w:t>
      </w:r>
    </w:p>
    <w:p w14:paraId="5B4F2156">
      <w:pPr>
        <w:pStyle w:val="27"/>
        <w:widowControl/>
        <w:numPr>
          <w:ilvl w:val="0"/>
          <w:numId w:val="76"/>
        </w:numPr>
        <w:ind w:firstLineChars="0"/>
        <w:jc w:val="left"/>
        <w:rPr>
          <w:rFonts w:hint="eastAsia" w:ascii="宋体" w:hAnsi="宋体" w:eastAsia="宋体" w:cs="宋体"/>
          <w:color w:val="auto"/>
          <w:spacing w:val="-4"/>
          <w:kern w:val="0"/>
          <w:szCs w:val="21"/>
          <w:lang w:eastAsia="zh-Hans"/>
        </w:rPr>
      </w:pPr>
      <w:r>
        <w:rPr>
          <w:rFonts w:hint="eastAsia" w:ascii="宋体" w:hAnsi="宋体" w:eastAsia="宋体" w:cs="宋体"/>
          <w:color w:val="auto"/>
          <w:spacing w:val="-4"/>
          <w:kern w:val="0"/>
          <w:szCs w:val="21"/>
          <w:lang w:eastAsia="zh-Hans"/>
        </w:rPr>
        <w:t>投标人对采购人、采购代理机构、评标委员会及其工作人员施加影响，有碍招标公平、公正的。</w:t>
      </w:r>
    </w:p>
    <w:p w14:paraId="7DDC3577">
      <w:pPr>
        <w:pStyle w:val="27"/>
        <w:widowControl/>
        <w:numPr>
          <w:ilvl w:val="0"/>
          <w:numId w:val="76"/>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投标文件含有采购人不能接受的附加条件的。</w:t>
      </w:r>
    </w:p>
    <w:p w14:paraId="0299366C">
      <w:pPr>
        <w:pStyle w:val="27"/>
        <w:widowControl/>
        <w:numPr>
          <w:ilvl w:val="0"/>
          <w:numId w:val="76"/>
        </w:numPr>
        <w:ind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法律、法规和招标文件规定的其他无效情形。</w:t>
      </w:r>
    </w:p>
    <w:p w14:paraId="4AC98C66">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 xml:space="preserve">  </w:t>
      </w:r>
    </w:p>
    <w:p w14:paraId="13B3D5BA">
      <w:pPr>
        <w:pStyle w:val="21"/>
        <w:rPr>
          <w:rFonts w:hint="eastAsia" w:ascii="宋体" w:hAnsi="宋体" w:eastAsia="宋体" w:cs="宋体"/>
          <w:color w:val="auto"/>
          <w:lang w:eastAsia="zh-CN"/>
        </w:rPr>
      </w:pPr>
    </w:p>
    <w:p w14:paraId="4058F9B5">
      <w:pPr>
        <w:pStyle w:val="21"/>
        <w:rPr>
          <w:rFonts w:hint="eastAsia" w:ascii="宋体" w:hAnsi="宋体" w:eastAsia="宋体" w:cs="宋体"/>
          <w:color w:val="auto"/>
          <w:lang w:eastAsia="zh-CN"/>
        </w:rPr>
      </w:pPr>
    </w:p>
    <w:p w14:paraId="621388A0">
      <w:pPr>
        <w:pStyle w:val="21"/>
        <w:rPr>
          <w:rFonts w:hint="eastAsia" w:ascii="宋体" w:hAnsi="宋体" w:eastAsia="宋体" w:cs="宋体"/>
          <w:color w:val="auto"/>
          <w:lang w:eastAsia="zh-CN"/>
        </w:rPr>
      </w:pPr>
    </w:p>
    <w:p w14:paraId="2096565D">
      <w:pPr>
        <w:pageBreakBefore/>
        <w:widowControl/>
        <w:jc w:val="center"/>
        <w:outlineLvl w:val="1"/>
        <w:rPr>
          <w:rFonts w:hint="eastAsia" w:ascii="宋体" w:hAnsi="宋体" w:eastAsia="宋体" w:cs="宋体"/>
          <w:color w:val="auto"/>
          <w:sz w:val="36"/>
          <w:szCs w:val="36"/>
        </w:rPr>
      </w:pPr>
      <w:bookmarkStart w:id="28" w:name="_Toc169799783"/>
      <w:bookmarkStart w:id="29" w:name="_Toc169807544"/>
      <w:r>
        <w:rPr>
          <w:rFonts w:hint="eastAsia" w:ascii="宋体" w:hAnsi="宋体" w:eastAsia="宋体" w:cs="宋体"/>
          <w:b/>
          <w:color w:val="auto"/>
          <w:kern w:val="0"/>
          <w:sz w:val="36"/>
          <w:szCs w:val="36"/>
          <w:lang w:eastAsia="zh-Hans"/>
        </w:rPr>
        <w:t>第五章 合同文本</w:t>
      </w:r>
      <w:bookmarkEnd w:id="28"/>
      <w:bookmarkEnd w:id="29"/>
    </w:p>
    <w:p w14:paraId="7854F0AE">
      <w:pPr>
        <w:keepLines/>
        <w:spacing w:line="360" w:lineRule="auto"/>
        <w:rPr>
          <w:rFonts w:hint="eastAsia" w:ascii="宋体" w:hAnsi="宋体" w:eastAsia="宋体" w:cs="宋体"/>
          <w:color w:val="auto"/>
          <w:szCs w:val="21"/>
        </w:rPr>
      </w:pPr>
      <w:r>
        <w:rPr>
          <w:rFonts w:hint="eastAsia" w:ascii="宋体" w:hAnsi="宋体" w:eastAsia="宋体" w:cs="宋体"/>
          <w:color w:val="auto"/>
          <w:szCs w:val="21"/>
        </w:rPr>
        <w:t>甲方（采购人）：</w:t>
      </w:r>
      <w:r>
        <w:rPr>
          <w:rFonts w:hint="eastAsia" w:ascii="宋体" w:hAnsi="宋体" w:eastAsia="宋体" w:cs="宋体"/>
          <w:color w:val="auto"/>
          <w:szCs w:val="21"/>
          <w:u w:val="single"/>
        </w:rPr>
        <w:t xml:space="preserve">                          </w:t>
      </w:r>
    </w:p>
    <w:p w14:paraId="6DA243B6">
      <w:pPr>
        <w:spacing w:line="360" w:lineRule="auto"/>
        <w:rPr>
          <w:rFonts w:hint="eastAsia" w:ascii="宋体" w:hAnsi="宋体" w:eastAsia="宋体" w:cs="宋体"/>
          <w:color w:val="auto"/>
          <w:szCs w:val="21"/>
        </w:rPr>
      </w:pPr>
      <w:r>
        <w:rPr>
          <w:rFonts w:hint="eastAsia" w:ascii="宋体" w:hAnsi="宋体" w:eastAsia="宋体" w:cs="宋体"/>
          <w:color w:val="auto"/>
          <w:szCs w:val="21"/>
        </w:rPr>
        <w:t>乙方（中标人）：</w:t>
      </w:r>
      <w:r>
        <w:rPr>
          <w:rFonts w:hint="eastAsia" w:ascii="宋体" w:hAnsi="宋体" w:eastAsia="宋体" w:cs="宋体"/>
          <w:color w:val="auto"/>
          <w:szCs w:val="21"/>
          <w:u w:val="single"/>
        </w:rPr>
        <w:t xml:space="preserve">                          </w:t>
      </w:r>
    </w:p>
    <w:p w14:paraId="050C8ABE">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根据</w:t>
      </w:r>
      <w:bookmarkStart w:id="30" w:name="_Hlk90988984"/>
      <w:r>
        <w:rPr>
          <w:rFonts w:hint="eastAsia" w:ascii="宋体" w:hAnsi="宋体" w:eastAsia="宋体" w:cs="宋体"/>
          <w:color w:val="auto"/>
          <w:szCs w:val="21"/>
        </w:rPr>
        <w:t>《中华人民共和国民法典</w:t>
      </w:r>
      <w:bookmarkEnd w:id="30"/>
      <w:r>
        <w:rPr>
          <w:rFonts w:hint="eastAsia" w:ascii="宋体" w:hAnsi="宋体" w:eastAsia="宋体" w:cs="宋体"/>
          <w:color w:val="auto"/>
          <w:szCs w:val="21"/>
        </w:rPr>
        <w:t>》及招标文件、中标通知书等相关资料的要求，经双方协商一致，签订本合同，共同遵守如下条款。</w:t>
      </w:r>
    </w:p>
    <w:p w14:paraId="4D33449C">
      <w:pPr>
        <w:pStyle w:val="27"/>
        <w:numPr>
          <w:ilvl w:val="0"/>
          <w:numId w:val="77"/>
        </w:numPr>
        <w:ind w:firstLineChars="0"/>
        <w:rPr>
          <w:rFonts w:hint="eastAsia" w:ascii="宋体" w:hAnsi="宋体" w:eastAsia="宋体" w:cs="宋体"/>
          <w:b/>
          <w:bCs/>
          <w:color w:val="auto"/>
          <w:spacing w:val="20"/>
          <w:szCs w:val="21"/>
        </w:rPr>
      </w:pPr>
      <w:r>
        <w:rPr>
          <w:rFonts w:hint="eastAsia" w:ascii="宋体" w:hAnsi="宋体" w:eastAsia="宋体" w:cs="宋体"/>
          <w:b/>
          <w:color w:val="auto"/>
          <w:spacing w:val="20"/>
          <w:szCs w:val="21"/>
        </w:rPr>
        <w:t>合同项目</w:t>
      </w:r>
    </w:p>
    <w:p w14:paraId="42DBE73E">
      <w:pPr>
        <w:pStyle w:val="27"/>
        <w:numPr>
          <w:ilvl w:val="0"/>
          <w:numId w:val="78"/>
        </w:numPr>
        <w:ind w:firstLineChars="0"/>
        <w:rPr>
          <w:rFonts w:hint="eastAsia" w:ascii="宋体" w:hAnsi="宋体" w:eastAsia="宋体" w:cs="宋体"/>
          <w:color w:val="auto"/>
          <w:szCs w:val="21"/>
        </w:rPr>
      </w:pPr>
      <w:r>
        <w:rPr>
          <w:rFonts w:hint="eastAsia" w:ascii="宋体" w:hAnsi="宋体" w:eastAsia="宋体" w:cs="宋体"/>
          <w:color w:val="auto"/>
          <w:szCs w:val="21"/>
        </w:rPr>
        <w:t>项目名称：</w:t>
      </w:r>
      <w:r>
        <w:rPr>
          <w:rFonts w:hint="eastAsia" w:ascii="宋体" w:hAnsi="宋体" w:eastAsia="宋体" w:cs="宋体"/>
          <w:color w:val="auto"/>
          <w:szCs w:val="21"/>
          <w:u w:val="single"/>
        </w:rPr>
        <w:t xml:space="preserve"> </w:t>
      </w:r>
      <w:r>
        <w:rPr>
          <w:rFonts w:hint="eastAsia" w:ascii="宋体" w:hAnsi="宋体" w:eastAsia="宋体" w:cs="宋体"/>
          <w:color w:val="auto"/>
          <w:szCs w:val="21"/>
          <w:u w:val="single"/>
          <w:lang w:eastAsia="zh-CN"/>
        </w:rPr>
        <w:t>东莞市汽车技术学校2025年网络安全运维项目</w:t>
      </w:r>
      <w:r>
        <w:rPr>
          <w:rFonts w:hint="eastAsia" w:ascii="宋体" w:hAnsi="宋体" w:eastAsia="宋体" w:cs="宋体"/>
          <w:color w:val="auto"/>
          <w:szCs w:val="21"/>
          <w:u w:val="single"/>
        </w:rPr>
        <w:t xml:space="preserve"> </w:t>
      </w:r>
    </w:p>
    <w:p w14:paraId="094315CF">
      <w:pPr>
        <w:pStyle w:val="27"/>
        <w:numPr>
          <w:ilvl w:val="0"/>
          <w:numId w:val="78"/>
        </w:numPr>
        <w:ind w:firstLineChars="0"/>
        <w:rPr>
          <w:rFonts w:hint="eastAsia" w:ascii="宋体" w:hAnsi="宋体" w:eastAsia="宋体" w:cs="宋体"/>
          <w:color w:val="auto"/>
          <w:szCs w:val="21"/>
        </w:rPr>
      </w:pPr>
      <w:r>
        <w:rPr>
          <w:rFonts w:hint="eastAsia" w:ascii="宋体" w:hAnsi="宋体" w:eastAsia="宋体" w:cs="宋体"/>
          <w:color w:val="auto"/>
          <w:szCs w:val="21"/>
        </w:rPr>
        <w:t>项目编号：</w:t>
      </w:r>
      <w:r>
        <w:rPr>
          <w:rFonts w:hint="eastAsia" w:ascii="宋体" w:hAnsi="宋体" w:eastAsia="宋体" w:cs="宋体"/>
          <w:color w:val="auto"/>
          <w:szCs w:val="21"/>
          <w:u w:val="single"/>
        </w:rPr>
        <w:t xml:space="preserve"> ZHDGZC2025024 </w:t>
      </w:r>
    </w:p>
    <w:p w14:paraId="6DA86955">
      <w:pPr>
        <w:pStyle w:val="27"/>
        <w:numPr>
          <w:ilvl w:val="0"/>
          <w:numId w:val="77"/>
        </w:numPr>
        <w:spacing w:before="217" w:beforeLines="50"/>
        <w:ind w:firstLineChars="0"/>
        <w:rPr>
          <w:rFonts w:hint="eastAsia" w:ascii="宋体" w:hAnsi="宋体" w:eastAsia="宋体" w:cs="宋体"/>
          <w:b/>
          <w:color w:val="auto"/>
          <w:spacing w:val="20"/>
          <w:szCs w:val="21"/>
        </w:rPr>
      </w:pPr>
      <w:r>
        <w:rPr>
          <w:rFonts w:hint="eastAsia" w:ascii="宋体" w:hAnsi="宋体" w:eastAsia="宋体" w:cs="宋体"/>
          <w:b/>
          <w:color w:val="auto"/>
          <w:spacing w:val="20"/>
          <w:szCs w:val="21"/>
        </w:rPr>
        <w:t>项目概况</w:t>
      </w:r>
    </w:p>
    <w:p w14:paraId="622494E2">
      <w:pPr>
        <w:pStyle w:val="27"/>
        <w:numPr>
          <w:ilvl w:val="0"/>
          <w:numId w:val="79"/>
        </w:numPr>
        <w:ind w:firstLineChars="0"/>
        <w:rPr>
          <w:rFonts w:hint="eastAsia" w:ascii="宋体" w:hAnsi="宋体" w:eastAsia="宋体" w:cs="宋体"/>
          <w:color w:val="auto"/>
          <w:szCs w:val="21"/>
        </w:rPr>
      </w:pPr>
      <w:r>
        <w:rPr>
          <w:rFonts w:hint="eastAsia" w:ascii="宋体" w:hAnsi="宋体" w:eastAsia="宋体" w:cs="宋体"/>
          <w:color w:val="auto"/>
          <w:szCs w:val="21"/>
        </w:rPr>
        <w:t>终端安全防护服务</w:t>
      </w:r>
    </w:p>
    <w:p w14:paraId="7CA9434C">
      <w:pPr>
        <w:pStyle w:val="27"/>
        <w:numPr>
          <w:ilvl w:val="0"/>
          <w:numId w:val="80"/>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rPr>
        <w:t>为学校的办公电脑、一体机和服务器提供终端安全防护服务，包括病毒查杀、病毒防御、网络防御（如黑客入侵拦截、对外攻击检测、恶意网站拦截）、远程维护、漏洞修复、弹窗拦截等功能；</w:t>
      </w:r>
    </w:p>
    <w:p w14:paraId="063D9E05">
      <w:pPr>
        <w:pStyle w:val="27"/>
        <w:numPr>
          <w:ilvl w:val="0"/>
          <w:numId w:val="80"/>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rPr>
        <w:t>提供</w:t>
      </w:r>
      <w:r>
        <w:rPr>
          <w:rFonts w:hint="eastAsia" w:ascii="宋体" w:hAnsi="宋体" w:eastAsia="宋体" w:cs="宋体"/>
          <w:color w:val="auto"/>
          <w:szCs w:val="21"/>
          <w:lang w:val="en-US" w:eastAsia="zh-CN"/>
        </w:rPr>
        <w:t>终端安全防护软件的</w:t>
      </w:r>
      <w:r>
        <w:rPr>
          <w:rFonts w:hint="eastAsia" w:ascii="宋体" w:hAnsi="宋体" w:eastAsia="宋体" w:cs="宋体"/>
          <w:color w:val="auto"/>
          <w:szCs w:val="21"/>
        </w:rPr>
        <w:t>管理中心对所有终端进行统一管理（</w:t>
      </w:r>
      <w:r>
        <w:rPr>
          <w:rFonts w:hint="eastAsia" w:ascii="宋体" w:hAnsi="宋体" w:eastAsia="宋体" w:cs="宋体"/>
          <w:color w:val="auto"/>
          <w:szCs w:val="21"/>
          <w:lang w:val="en-US" w:eastAsia="zh-CN"/>
        </w:rPr>
        <w:t>甲方</w:t>
      </w:r>
      <w:r>
        <w:rPr>
          <w:rFonts w:hint="eastAsia" w:ascii="宋体" w:hAnsi="宋体" w:eastAsia="宋体" w:cs="宋体"/>
          <w:color w:val="auto"/>
          <w:szCs w:val="21"/>
        </w:rPr>
        <w:t>提供服务器）；</w:t>
      </w:r>
    </w:p>
    <w:p w14:paraId="5925E010">
      <w:pPr>
        <w:pStyle w:val="27"/>
        <w:numPr>
          <w:ilvl w:val="0"/>
          <w:numId w:val="80"/>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rPr>
        <w:t>服务期内提供软件升级服务；</w:t>
      </w:r>
    </w:p>
    <w:p w14:paraId="274EE528">
      <w:pPr>
        <w:pStyle w:val="27"/>
        <w:numPr>
          <w:ilvl w:val="0"/>
          <w:numId w:val="80"/>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rPr>
        <w:t>按需提供远程安全策略配置服务</w:t>
      </w:r>
      <w:r>
        <w:rPr>
          <w:rFonts w:hint="eastAsia" w:ascii="宋体" w:hAnsi="宋体" w:eastAsia="宋体" w:cs="宋体"/>
          <w:color w:val="auto"/>
          <w:szCs w:val="21"/>
          <w:lang w:eastAsia="zh-CN"/>
        </w:rPr>
        <w:t>；</w:t>
      </w:r>
    </w:p>
    <w:p w14:paraId="19637D95">
      <w:pPr>
        <w:pStyle w:val="27"/>
        <w:numPr>
          <w:ilvl w:val="0"/>
          <w:numId w:val="80"/>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lang w:val="en-US" w:eastAsia="zh-CN"/>
        </w:rPr>
        <w:t>服务交付：为580台终端设备提供终端安全防护服务。</w:t>
      </w:r>
    </w:p>
    <w:p w14:paraId="3154002E">
      <w:pPr>
        <w:pStyle w:val="27"/>
        <w:numPr>
          <w:ilvl w:val="0"/>
          <w:numId w:val="80"/>
        </w:numPr>
        <w:snapToGrid w:val="0"/>
        <w:spacing w:line="360" w:lineRule="auto"/>
        <w:ind w:left="420" w:leftChars="0" w:hanging="420" w:firstLineChars="0"/>
        <w:contextualSpacing/>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服务期间，提供的终端安全防护软件技术参数如下：</w:t>
      </w:r>
    </w:p>
    <w:tbl>
      <w:tblPr>
        <w:tblStyle w:val="1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8"/>
        <w:gridCol w:w="7781"/>
      </w:tblGrid>
      <w:tr w14:paraId="609D5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7" w:type="pct"/>
            <w:shd w:val="clear" w:color="auto" w:fill="auto"/>
            <w:noWrap w:val="0"/>
            <w:vAlign w:val="center"/>
          </w:tcPr>
          <w:p w14:paraId="15289803">
            <w:pPr>
              <w:pStyle w:val="27"/>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contextualSpacing/>
              <w:jc w:val="center"/>
              <w:textAlignment w:val="auto"/>
              <w:rPr>
                <w:rFonts w:hint="eastAsia" w:ascii="宋体" w:hAnsi="宋体" w:eastAsia="宋体" w:cs="宋体"/>
                <w:color w:val="auto"/>
                <w:szCs w:val="21"/>
              </w:rPr>
            </w:pPr>
            <w:r>
              <w:rPr>
                <w:rFonts w:hint="eastAsia" w:ascii="宋体" w:hAnsi="宋体" w:eastAsia="宋体" w:cs="宋体"/>
                <w:color w:val="auto"/>
                <w:szCs w:val="21"/>
              </w:rPr>
              <w:t>技术指标</w:t>
            </w:r>
          </w:p>
        </w:tc>
        <w:tc>
          <w:tcPr>
            <w:tcW w:w="4192" w:type="pct"/>
            <w:shd w:val="clear" w:color="auto" w:fill="auto"/>
            <w:noWrap w:val="0"/>
            <w:vAlign w:val="center"/>
          </w:tcPr>
          <w:p w14:paraId="62DE8296">
            <w:pPr>
              <w:pStyle w:val="27"/>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contextualSpacing/>
              <w:jc w:val="center"/>
              <w:textAlignment w:val="auto"/>
              <w:rPr>
                <w:rFonts w:hint="eastAsia" w:ascii="宋体" w:hAnsi="宋体" w:eastAsia="宋体" w:cs="宋体"/>
                <w:color w:val="auto"/>
                <w:szCs w:val="21"/>
              </w:rPr>
            </w:pPr>
            <w:r>
              <w:rPr>
                <w:rFonts w:hint="eastAsia" w:ascii="宋体" w:hAnsi="宋体" w:eastAsia="宋体" w:cs="宋体"/>
                <w:color w:val="auto"/>
                <w:szCs w:val="21"/>
              </w:rPr>
              <w:t>指标要求</w:t>
            </w:r>
          </w:p>
        </w:tc>
      </w:tr>
      <w:tr w14:paraId="56612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7" w:type="pct"/>
            <w:noWrap w:val="0"/>
            <w:vAlign w:val="center"/>
          </w:tcPr>
          <w:p w14:paraId="2D44A8F6">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产品资质</w:t>
            </w:r>
          </w:p>
        </w:tc>
        <w:tc>
          <w:tcPr>
            <w:tcW w:w="4192" w:type="pct"/>
            <w:noWrap w:val="0"/>
            <w:vAlign w:val="center"/>
          </w:tcPr>
          <w:p w14:paraId="274AB5E2">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提供终端安全产品所使用检测引擎入围VirusTotal平台的资质证明，提供有效证明材料。</w:t>
            </w:r>
          </w:p>
        </w:tc>
      </w:tr>
      <w:tr w14:paraId="0C9E3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restart"/>
            <w:noWrap w:val="0"/>
            <w:vAlign w:val="center"/>
          </w:tcPr>
          <w:p w14:paraId="7065F864">
            <w:pPr>
              <w:pStyle w:val="27"/>
              <w:numPr>
                <w:ilvl w:val="0"/>
                <w:numId w:val="0"/>
              </w:numPr>
              <w:snapToGrid w:val="0"/>
              <w:spacing w:line="360" w:lineRule="auto"/>
              <w:ind w:leftChars="0"/>
              <w:contextualSpacing/>
              <w:rPr>
                <w:rFonts w:hint="eastAsia" w:ascii="宋体" w:hAnsi="宋体" w:eastAsia="宋体" w:cs="宋体"/>
                <w:b w:val="0"/>
                <w:bCs w:val="0"/>
                <w:color w:val="auto"/>
                <w:szCs w:val="21"/>
              </w:rPr>
            </w:pPr>
            <w:r>
              <w:rPr>
                <w:rFonts w:hint="eastAsia" w:ascii="宋体" w:hAnsi="宋体" w:eastAsia="宋体" w:cs="宋体"/>
                <w:b w:val="0"/>
                <w:bCs w:val="0"/>
                <w:color w:val="auto"/>
                <w:szCs w:val="21"/>
              </w:rPr>
              <w:t>多维度威胁展示</w:t>
            </w:r>
          </w:p>
        </w:tc>
        <w:tc>
          <w:tcPr>
            <w:tcW w:w="4192" w:type="pct"/>
            <w:noWrap w:val="0"/>
            <w:vAlign w:val="center"/>
          </w:tcPr>
          <w:p w14:paraId="32D6D8B2">
            <w:pPr>
              <w:pStyle w:val="27"/>
              <w:numPr>
                <w:ilvl w:val="0"/>
                <w:numId w:val="0"/>
              </w:numPr>
              <w:snapToGrid w:val="0"/>
              <w:spacing w:line="360" w:lineRule="auto"/>
              <w:ind w:leftChars="0"/>
              <w:contextualSpacing/>
              <w:rPr>
                <w:rFonts w:hint="eastAsia" w:ascii="宋体" w:hAnsi="宋体" w:eastAsia="宋体" w:cs="宋体"/>
                <w:b w:val="0"/>
                <w:bCs w:val="0"/>
                <w:color w:val="auto"/>
                <w:szCs w:val="21"/>
                <w:lang w:eastAsia="zh-CN"/>
              </w:rPr>
            </w:pPr>
            <w:r>
              <w:rPr>
                <w:rFonts w:hint="eastAsia" w:ascii="宋体" w:hAnsi="宋体" w:eastAsia="宋体" w:cs="宋体"/>
                <w:b w:val="0"/>
                <w:bCs w:val="0"/>
                <w:color w:val="auto"/>
                <w:szCs w:val="21"/>
              </w:rPr>
              <w:t>支持全网风险展示，包括但不限于未处理的勒索病毒数量、高级威胁、暴力破解、僵尸网络、WebShell后门、高危漏洞及其各自影响的终端数量</w:t>
            </w:r>
            <w:r>
              <w:rPr>
                <w:rFonts w:hint="eastAsia" w:ascii="宋体" w:hAnsi="宋体" w:eastAsia="宋体" w:cs="宋体"/>
                <w:b w:val="0"/>
                <w:bCs w:val="0"/>
                <w:color w:val="auto"/>
                <w:szCs w:val="21"/>
                <w:lang w:eastAsia="zh-CN"/>
              </w:rPr>
              <w:t>。</w:t>
            </w:r>
          </w:p>
        </w:tc>
      </w:tr>
      <w:tr w14:paraId="6D541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vMerge w:val="continue"/>
            <w:noWrap w:val="0"/>
            <w:vAlign w:val="center"/>
          </w:tcPr>
          <w:p w14:paraId="4E8364EF">
            <w:pPr>
              <w:pStyle w:val="27"/>
              <w:numPr>
                <w:ilvl w:val="0"/>
                <w:numId w:val="0"/>
              </w:numPr>
              <w:snapToGrid w:val="0"/>
              <w:spacing w:line="360" w:lineRule="auto"/>
              <w:ind w:leftChars="0"/>
              <w:contextualSpacing/>
              <w:rPr>
                <w:rFonts w:hint="eastAsia" w:ascii="宋体" w:hAnsi="宋体" w:eastAsia="宋体" w:cs="宋体"/>
                <w:b w:val="0"/>
                <w:bCs w:val="0"/>
                <w:color w:val="auto"/>
                <w:szCs w:val="21"/>
              </w:rPr>
            </w:pPr>
          </w:p>
        </w:tc>
        <w:tc>
          <w:tcPr>
            <w:tcW w:w="4192" w:type="pct"/>
            <w:noWrap w:val="0"/>
            <w:vAlign w:val="center"/>
          </w:tcPr>
          <w:p w14:paraId="115E6EFF">
            <w:pPr>
              <w:pStyle w:val="27"/>
              <w:numPr>
                <w:ilvl w:val="0"/>
                <w:numId w:val="0"/>
              </w:numPr>
              <w:snapToGrid w:val="0"/>
              <w:spacing w:line="360" w:lineRule="auto"/>
              <w:ind w:leftChars="0"/>
              <w:contextualSpacing/>
              <w:rPr>
                <w:rFonts w:hint="eastAsia" w:ascii="宋体" w:hAnsi="宋体" w:eastAsia="宋体" w:cs="宋体"/>
                <w:b w:val="0"/>
                <w:bCs w:val="0"/>
                <w:color w:val="auto"/>
                <w:szCs w:val="21"/>
                <w:lang w:eastAsia="zh-CN"/>
              </w:rPr>
            </w:pPr>
            <w:r>
              <w:rPr>
                <w:rFonts w:hint="eastAsia" w:ascii="宋体" w:hAnsi="宋体" w:eastAsia="宋体" w:cs="宋体"/>
                <w:b w:val="0"/>
                <w:bCs w:val="0"/>
                <w:color w:val="auto"/>
                <w:szCs w:val="21"/>
              </w:rPr>
              <w:t>提供勒索病毒整体防护体系入口，直观展示最近七天勒索病毒防护效果，包括已处置的勒索病毒数量、已阻止的勒索病毒行为次数、已阻止的未知进程操作次数、已阻止的暴力破解攻击次数</w:t>
            </w:r>
            <w:r>
              <w:rPr>
                <w:rFonts w:hint="eastAsia" w:ascii="宋体" w:hAnsi="宋体" w:eastAsia="宋体" w:cs="宋体"/>
                <w:b w:val="0"/>
                <w:bCs w:val="0"/>
                <w:color w:val="auto"/>
                <w:szCs w:val="21"/>
                <w:lang w:eastAsia="zh-CN"/>
              </w:rPr>
              <w:t>。</w:t>
            </w:r>
          </w:p>
        </w:tc>
      </w:tr>
      <w:tr w14:paraId="7BC4C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7" w:type="pct"/>
            <w:noWrap w:val="0"/>
            <w:vAlign w:val="center"/>
          </w:tcPr>
          <w:p w14:paraId="2B62368F">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云端威胁分析</w:t>
            </w:r>
          </w:p>
        </w:tc>
        <w:tc>
          <w:tcPr>
            <w:tcW w:w="4192" w:type="pct"/>
            <w:noWrap w:val="0"/>
            <w:vAlign w:val="center"/>
          </w:tcPr>
          <w:p w14:paraId="4B96E287">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支持跳转链接至云端威胁情报中心，针对已发生的威胁提供详细的分析结果，包含威胁分析、网络行为、静态分析、分析环境和影响分析。</w:t>
            </w:r>
          </w:p>
        </w:tc>
      </w:tr>
      <w:tr w14:paraId="31426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noWrap w:val="0"/>
            <w:vAlign w:val="center"/>
          </w:tcPr>
          <w:p w14:paraId="43EFB813">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策略管理</w:t>
            </w:r>
          </w:p>
        </w:tc>
        <w:tc>
          <w:tcPr>
            <w:tcW w:w="4192" w:type="pct"/>
            <w:noWrap w:val="0"/>
            <w:vAlign w:val="center"/>
          </w:tcPr>
          <w:p w14:paraId="5990A506">
            <w:pPr>
              <w:pStyle w:val="27"/>
              <w:numPr>
                <w:ilvl w:val="0"/>
                <w:numId w:val="0"/>
              </w:numPr>
              <w:snapToGrid w:val="0"/>
              <w:spacing w:line="360" w:lineRule="auto"/>
              <w:ind w:leftChars="0"/>
              <w:contextualSpacing/>
              <w:rPr>
                <w:rFonts w:hint="eastAsia" w:ascii="宋体" w:hAnsi="宋体" w:eastAsia="宋体" w:cs="宋体"/>
                <w:color w:val="auto"/>
                <w:szCs w:val="21"/>
                <w:lang w:eastAsia="zh-CN"/>
              </w:rPr>
            </w:pPr>
            <w:r>
              <w:rPr>
                <w:rFonts w:hint="eastAsia" w:ascii="宋体" w:hAnsi="宋体" w:eastAsia="宋体" w:cs="宋体"/>
                <w:color w:val="auto"/>
                <w:szCs w:val="21"/>
              </w:rPr>
              <w:t>支持安全策略一体化配置，通过单一策略即可实现不同安全功能的配置，包括：终端病毒查杀的文件扫描配置、文件实时监控的参数配置、WebShell检测和威胁处置方式、暴力破解的威胁处置方式和Windows白名单信任目录</w:t>
            </w:r>
            <w:r>
              <w:rPr>
                <w:rFonts w:hint="eastAsia" w:ascii="宋体" w:hAnsi="宋体" w:eastAsia="宋体" w:cs="宋体"/>
                <w:color w:val="auto"/>
                <w:szCs w:val="21"/>
                <w:lang w:eastAsia="zh-CN"/>
              </w:rPr>
              <w:t>。</w:t>
            </w:r>
          </w:p>
        </w:tc>
      </w:tr>
      <w:tr w14:paraId="2AF0F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restart"/>
            <w:noWrap w:val="0"/>
            <w:vAlign w:val="center"/>
          </w:tcPr>
          <w:p w14:paraId="1D28CC37">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资产管理</w:t>
            </w:r>
          </w:p>
        </w:tc>
        <w:tc>
          <w:tcPr>
            <w:tcW w:w="4192" w:type="pct"/>
            <w:noWrap w:val="0"/>
            <w:vAlign w:val="center"/>
          </w:tcPr>
          <w:p w14:paraId="33C426C5">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支持全网视角的终端资产统一清点，便于帮助用户快速发现风险面。清点信息包括操作系统、应用软件、监听端口和终端账户，其中操作系统和监听端口支持从资产和终端两个视角进行统计和展示。</w:t>
            </w:r>
          </w:p>
        </w:tc>
      </w:tr>
      <w:tr w14:paraId="7611C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continue"/>
            <w:noWrap w:val="0"/>
            <w:vAlign w:val="center"/>
          </w:tcPr>
          <w:p w14:paraId="2333BB53">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58776634">
            <w:pPr>
              <w:pStyle w:val="27"/>
              <w:numPr>
                <w:ilvl w:val="0"/>
                <w:numId w:val="0"/>
              </w:numPr>
              <w:snapToGrid w:val="0"/>
              <w:spacing w:line="360" w:lineRule="auto"/>
              <w:ind w:leftChars="0"/>
              <w:contextualSpacing/>
              <w:rPr>
                <w:rFonts w:hint="eastAsia" w:ascii="宋体" w:hAnsi="宋体" w:eastAsia="宋体" w:cs="宋体"/>
                <w:color w:val="auto"/>
                <w:szCs w:val="21"/>
                <w:lang w:eastAsia="zh-CN"/>
              </w:rPr>
            </w:pPr>
            <w:r>
              <w:rPr>
                <w:rFonts w:hint="eastAsia" w:ascii="宋体" w:hAnsi="宋体" w:eastAsia="宋体" w:cs="宋体"/>
                <w:color w:val="auto"/>
                <w:szCs w:val="21"/>
              </w:rPr>
              <w:t>支持对单个终端运行状态的监控，包括但不限于进程、服务、网络连接、计划任务和开放共享信息</w:t>
            </w:r>
            <w:r>
              <w:rPr>
                <w:rFonts w:hint="eastAsia" w:ascii="宋体" w:hAnsi="宋体" w:eastAsia="宋体" w:cs="宋体"/>
                <w:color w:val="auto"/>
                <w:szCs w:val="21"/>
                <w:lang w:eastAsia="zh-CN"/>
              </w:rPr>
              <w:t>。</w:t>
            </w:r>
          </w:p>
        </w:tc>
      </w:tr>
      <w:tr w14:paraId="3B2E9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vMerge w:val="continue"/>
            <w:noWrap w:val="0"/>
            <w:vAlign w:val="center"/>
          </w:tcPr>
          <w:p w14:paraId="21A8E5F6">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top"/>
          </w:tcPr>
          <w:p w14:paraId="6ED31EEB">
            <w:pPr>
              <w:pStyle w:val="27"/>
              <w:numPr>
                <w:ilvl w:val="0"/>
                <w:numId w:val="0"/>
              </w:numPr>
              <w:snapToGrid w:val="0"/>
              <w:spacing w:line="360" w:lineRule="auto"/>
              <w:ind w:leftChars="0"/>
              <w:contextualSpacing/>
              <w:rPr>
                <w:rFonts w:hint="eastAsia" w:ascii="宋体" w:hAnsi="宋体" w:eastAsia="宋体" w:cs="宋体"/>
                <w:color w:val="auto"/>
                <w:szCs w:val="21"/>
                <w:lang w:eastAsia="zh-CN"/>
              </w:rPr>
            </w:pPr>
            <w:r>
              <w:rPr>
                <w:rFonts w:hint="eastAsia" w:ascii="宋体" w:hAnsi="宋体" w:eastAsia="宋体" w:cs="宋体"/>
                <w:color w:val="auto"/>
                <w:szCs w:val="21"/>
              </w:rPr>
              <w:t>支持对系统账号信息进行梳理，了解账号权限分布概况以及风险账号分布情况，可按照隐藏账号、弱密码账号、可疑root权限账号、长期未使用账号、夜间登录、多IP登录进行账号分类查看，支持统计最近一年未修改密码的账户</w:t>
            </w:r>
            <w:r>
              <w:rPr>
                <w:rFonts w:hint="eastAsia" w:ascii="宋体" w:hAnsi="宋体" w:eastAsia="宋体" w:cs="宋体"/>
                <w:color w:val="auto"/>
                <w:szCs w:val="21"/>
                <w:lang w:eastAsia="zh-CN"/>
              </w:rPr>
              <w:t>。</w:t>
            </w:r>
          </w:p>
        </w:tc>
      </w:tr>
      <w:tr w14:paraId="5AAE5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7" w:type="pct"/>
            <w:vMerge w:val="restart"/>
            <w:noWrap w:val="0"/>
            <w:vAlign w:val="center"/>
          </w:tcPr>
          <w:p w14:paraId="0A8A373D">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威胁检测</w:t>
            </w:r>
          </w:p>
        </w:tc>
        <w:tc>
          <w:tcPr>
            <w:tcW w:w="4192" w:type="pct"/>
            <w:noWrap w:val="0"/>
            <w:vAlign w:val="center"/>
          </w:tcPr>
          <w:p w14:paraId="582D9C21">
            <w:pPr>
              <w:pStyle w:val="27"/>
              <w:numPr>
                <w:ilvl w:val="0"/>
                <w:numId w:val="0"/>
              </w:numPr>
              <w:snapToGrid w:val="0"/>
              <w:spacing w:line="360" w:lineRule="auto"/>
              <w:ind w:leftChars="0"/>
              <w:contextualSpacing/>
              <w:rPr>
                <w:rFonts w:hint="eastAsia" w:ascii="宋体" w:hAnsi="宋体" w:eastAsia="宋体" w:cs="宋体"/>
                <w:color w:val="auto"/>
                <w:szCs w:val="21"/>
                <w:lang w:eastAsia="zh-CN"/>
              </w:rPr>
            </w:pPr>
            <w:r>
              <w:rPr>
                <w:rFonts w:hint="eastAsia" w:ascii="宋体" w:hAnsi="宋体" w:eastAsia="宋体" w:cs="宋体"/>
                <w:color w:val="auto"/>
                <w:szCs w:val="21"/>
              </w:rPr>
              <w:t>具备自研的基于人工智能的检测引擎，支持无特征检测技术，有效应对恶意代码及其变种</w:t>
            </w:r>
            <w:r>
              <w:rPr>
                <w:rFonts w:hint="eastAsia" w:ascii="宋体" w:hAnsi="宋体" w:eastAsia="宋体" w:cs="宋体"/>
                <w:color w:val="auto"/>
                <w:szCs w:val="21"/>
                <w:lang w:eastAsia="zh-CN"/>
              </w:rPr>
              <w:t>。</w:t>
            </w:r>
          </w:p>
        </w:tc>
      </w:tr>
      <w:tr w14:paraId="70391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807" w:type="pct"/>
            <w:vMerge w:val="continue"/>
            <w:noWrap w:val="0"/>
            <w:vAlign w:val="center"/>
          </w:tcPr>
          <w:p w14:paraId="42B16D76">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4E04B424">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通过智能识别终端环境情况（低配硬件、老旧设备、虚拟化等）和当前终端资源占用，在闲时实时监控和病毒扫描场景，都可智能调整EDR的资源占用（CPU、IO等），为业务让出资源，不卡业务，对业务零摩擦。</w:t>
            </w:r>
          </w:p>
        </w:tc>
      </w:tr>
      <w:tr w14:paraId="5892D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continue"/>
            <w:noWrap w:val="0"/>
            <w:vAlign w:val="center"/>
          </w:tcPr>
          <w:p w14:paraId="2C30C91B">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2927C523">
            <w:pPr>
              <w:pStyle w:val="27"/>
              <w:numPr>
                <w:ilvl w:val="0"/>
                <w:numId w:val="0"/>
              </w:numPr>
              <w:snapToGrid w:val="0"/>
              <w:spacing w:line="360" w:lineRule="auto"/>
              <w:ind w:leftChars="0"/>
              <w:contextualSpacing/>
              <w:rPr>
                <w:rFonts w:hint="eastAsia" w:ascii="宋体" w:hAnsi="宋体" w:eastAsia="宋体" w:cs="宋体"/>
                <w:color w:val="auto"/>
                <w:szCs w:val="21"/>
                <w:lang w:eastAsia="zh-CN"/>
              </w:rPr>
            </w:pPr>
            <w:r>
              <w:rPr>
                <w:rFonts w:hint="eastAsia" w:ascii="宋体" w:hAnsi="宋体" w:eastAsia="宋体" w:cs="宋体"/>
                <w:color w:val="auto"/>
                <w:szCs w:val="21"/>
              </w:rPr>
              <w:t>具备基于本地缓存信誉检测与全网信誉检测，构建企业全网信誉库的检测引擎，做到企业内网一台威胁，全网感知并进行针对性查杀，支持处置病毒时选择是否在其它终端上同步处置有效提升查杀效率，减少终端资源开销</w:t>
            </w:r>
            <w:r>
              <w:rPr>
                <w:rFonts w:hint="eastAsia" w:ascii="宋体" w:hAnsi="宋体" w:eastAsia="宋体" w:cs="宋体"/>
                <w:color w:val="auto"/>
                <w:szCs w:val="21"/>
                <w:lang w:eastAsia="zh-CN"/>
              </w:rPr>
              <w:t>。</w:t>
            </w:r>
          </w:p>
        </w:tc>
      </w:tr>
      <w:tr w14:paraId="76B2F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continue"/>
            <w:noWrap w:val="0"/>
            <w:vAlign w:val="center"/>
          </w:tcPr>
          <w:p w14:paraId="23DF3016">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02A0F912">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支持一键云鉴定服务，提供云端专家+沙箱+多引擎鉴定能力，结合云端威胁情报对已告警的威胁文件再次进行综合研判并给出100%黑白结果，用户可自助对管理平台告警的威胁快速判断是否误报和了解威胁详情。</w:t>
            </w:r>
          </w:p>
        </w:tc>
      </w:tr>
      <w:tr w14:paraId="309CC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restart"/>
            <w:noWrap w:val="0"/>
            <w:vAlign w:val="center"/>
          </w:tcPr>
          <w:p w14:paraId="0B596C66">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终端自保护</w:t>
            </w:r>
          </w:p>
        </w:tc>
        <w:tc>
          <w:tcPr>
            <w:tcW w:w="4192" w:type="pct"/>
            <w:noWrap w:val="0"/>
            <w:vAlign w:val="center"/>
          </w:tcPr>
          <w:p w14:paraId="514EC123">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支持agent安装目录的文件保护，可以保护agent目录和文件实时监控驱动文件，可以保护agent的服务/进程/文件不被恶意删除，以免影响正常功能，导致用户的终端受到病毒入侵。</w:t>
            </w:r>
          </w:p>
        </w:tc>
      </w:tr>
      <w:tr w14:paraId="0B252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vMerge w:val="continue"/>
            <w:noWrap w:val="0"/>
            <w:vAlign w:val="center"/>
          </w:tcPr>
          <w:p w14:paraId="6DC1E105">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68E09578">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支持禁止黑客工具启动，包含：冰刃、xuetr、ProcessHacker、PCHunter、火绒剑、Mimikatz的自启动，可以防止黑客攻击。</w:t>
            </w:r>
          </w:p>
        </w:tc>
      </w:tr>
      <w:tr w14:paraId="61339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noWrap w:val="0"/>
            <w:vAlign w:val="center"/>
          </w:tcPr>
          <w:p w14:paraId="099BDAEE">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文件实时监控</w:t>
            </w:r>
          </w:p>
        </w:tc>
        <w:tc>
          <w:tcPr>
            <w:tcW w:w="4192" w:type="pct"/>
            <w:noWrap w:val="0"/>
            <w:vAlign w:val="center"/>
          </w:tcPr>
          <w:p w14:paraId="76FA2955">
            <w:pPr>
              <w:pStyle w:val="27"/>
              <w:numPr>
                <w:ilvl w:val="0"/>
                <w:numId w:val="0"/>
              </w:numPr>
              <w:snapToGrid w:val="0"/>
              <w:spacing w:line="360" w:lineRule="auto"/>
              <w:ind w:leftChars="0"/>
              <w:contextualSpacing/>
              <w:rPr>
                <w:rFonts w:hint="eastAsia" w:ascii="宋体" w:hAnsi="宋体" w:eastAsia="宋体" w:cs="宋体"/>
                <w:b w:val="0"/>
                <w:bCs w:val="0"/>
                <w:color w:val="auto"/>
                <w:szCs w:val="21"/>
              </w:rPr>
            </w:pPr>
            <w:r>
              <w:rPr>
                <w:rFonts w:hint="eastAsia" w:ascii="宋体" w:hAnsi="宋体" w:eastAsia="宋体" w:cs="宋体"/>
                <w:b w:val="0"/>
                <w:bCs w:val="0"/>
                <w:color w:val="auto"/>
                <w:szCs w:val="21"/>
              </w:rPr>
              <w:t>可实时监控文件的状态，在文件读、写、执行或者进入主机时主动进行扫描，支持根据用户性能偏好设置高、中、低3种防护级别。</w:t>
            </w:r>
          </w:p>
        </w:tc>
      </w:tr>
      <w:tr w14:paraId="45E1E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noWrap w:val="0"/>
            <w:vAlign w:val="center"/>
          </w:tcPr>
          <w:p w14:paraId="408D3C25">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Webshell事件处理</w:t>
            </w:r>
          </w:p>
        </w:tc>
        <w:tc>
          <w:tcPr>
            <w:tcW w:w="4192" w:type="pct"/>
            <w:noWrap w:val="0"/>
            <w:vAlign w:val="center"/>
          </w:tcPr>
          <w:p w14:paraId="3404E882">
            <w:pPr>
              <w:pStyle w:val="27"/>
              <w:numPr>
                <w:ilvl w:val="0"/>
                <w:numId w:val="0"/>
              </w:numPr>
              <w:snapToGrid w:val="0"/>
              <w:spacing w:line="360" w:lineRule="auto"/>
              <w:ind w:leftChars="0"/>
              <w:contextualSpacing/>
              <w:rPr>
                <w:rFonts w:hint="eastAsia" w:ascii="宋体" w:hAnsi="宋体" w:eastAsia="宋体" w:cs="宋体"/>
                <w:b w:val="0"/>
                <w:bCs w:val="0"/>
                <w:color w:val="auto"/>
                <w:szCs w:val="21"/>
              </w:rPr>
            </w:pPr>
            <w:r>
              <w:rPr>
                <w:rFonts w:hint="eastAsia" w:ascii="宋体" w:hAnsi="宋体" w:eastAsia="宋体" w:cs="宋体"/>
                <w:b w:val="0"/>
                <w:bCs w:val="0"/>
                <w:color w:val="auto"/>
                <w:szCs w:val="21"/>
              </w:rPr>
              <w:t>支持展示终端检测到的WebShell事件及事件详情，包括：恶意文件名称，威胁等级，受感染的文件，发现时间，检测引擎，文件类型，文件名，文件Hash值，文件大小，文件创建时间；可配置WebShell实时扫描，一旦发现WebShell文件，可自动隔离或仅上报不隔离。</w:t>
            </w:r>
          </w:p>
        </w:tc>
      </w:tr>
      <w:tr w14:paraId="4329F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vMerge w:val="restart"/>
            <w:noWrap w:val="0"/>
            <w:vAlign w:val="center"/>
          </w:tcPr>
          <w:p w14:paraId="19DDCEAF">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Windows服务器加固</w:t>
            </w:r>
          </w:p>
        </w:tc>
        <w:tc>
          <w:tcPr>
            <w:tcW w:w="4192" w:type="pct"/>
            <w:noWrap w:val="0"/>
            <w:vAlign w:val="center"/>
          </w:tcPr>
          <w:p w14:paraId="7FA19D78">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提供基于可信鉴定方式的进程防护方式，通过人工智能自学习机制，自动建立信任进程名单，阻断非可信进程的运行并提供配置指引，同时支持通过模板和手动的方式添加信任进程。</w:t>
            </w:r>
          </w:p>
        </w:tc>
      </w:tr>
      <w:tr w14:paraId="2BC34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vMerge w:val="continue"/>
            <w:noWrap w:val="0"/>
            <w:vAlign w:val="center"/>
          </w:tcPr>
          <w:p w14:paraId="12785247">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3F781225">
            <w:pPr>
              <w:pStyle w:val="27"/>
              <w:numPr>
                <w:ilvl w:val="0"/>
                <w:numId w:val="0"/>
              </w:numPr>
              <w:snapToGrid w:val="0"/>
              <w:spacing w:line="360" w:lineRule="auto"/>
              <w:ind w:leftChars="0"/>
              <w:contextualSpacing/>
              <w:rPr>
                <w:rFonts w:hint="eastAsia" w:ascii="宋体" w:hAnsi="宋体" w:eastAsia="宋体" w:cs="宋体"/>
                <w:color w:val="auto"/>
                <w:szCs w:val="21"/>
                <w:lang w:eastAsia="zh-CN"/>
              </w:rPr>
            </w:pPr>
            <w:r>
              <w:rPr>
                <w:rFonts w:hint="eastAsia" w:ascii="宋体" w:hAnsi="宋体" w:eastAsia="宋体" w:cs="宋体"/>
                <w:color w:val="auto"/>
                <w:szCs w:val="21"/>
              </w:rPr>
              <w:t>支持windows服务器RDP远程登录保护，可开启RDP远程登录二次认证，以防止黑客对服务器的入侵</w:t>
            </w:r>
            <w:r>
              <w:rPr>
                <w:rFonts w:hint="eastAsia" w:ascii="宋体" w:hAnsi="宋体" w:eastAsia="宋体" w:cs="宋体"/>
                <w:color w:val="auto"/>
                <w:szCs w:val="21"/>
                <w:lang w:eastAsia="zh-CN"/>
              </w:rPr>
              <w:t>。</w:t>
            </w:r>
          </w:p>
        </w:tc>
      </w:tr>
      <w:tr w14:paraId="04E43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vMerge w:val="restart"/>
            <w:noWrap w:val="0"/>
            <w:vAlign w:val="center"/>
          </w:tcPr>
          <w:p w14:paraId="12CCFE4B">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勒索病毒专防</w:t>
            </w:r>
          </w:p>
        </w:tc>
        <w:tc>
          <w:tcPr>
            <w:tcW w:w="4192" w:type="pct"/>
            <w:noWrap w:val="0"/>
            <w:vAlign w:val="center"/>
          </w:tcPr>
          <w:p w14:paraId="301B4902">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基于勒索病毒攻击过程，建立多维度立体防护机制，提供事前入侵防御-事中反加密-事后检测响应的完整防护体系，展示勒索病毒处置情况，对勒索病毒及变种实现专门有效防御。</w:t>
            </w:r>
          </w:p>
        </w:tc>
      </w:tr>
      <w:tr w14:paraId="1C15A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continue"/>
            <w:noWrap w:val="0"/>
            <w:vAlign w:val="center"/>
          </w:tcPr>
          <w:p w14:paraId="611B55D9">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77A443BF">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支持监控诱饵文件，诱饵文件可被实时监控，当勒索病毒对该文件进行修改或加密操作时进行拦截。</w:t>
            </w:r>
          </w:p>
        </w:tc>
      </w:tr>
      <w:tr w14:paraId="716E8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continue"/>
            <w:noWrap w:val="0"/>
            <w:vAlign w:val="center"/>
          </w:tcPr>
          <w:p w14:paraId="2AD31104">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3C18DBA7">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支持用户直接对勒索病毒的家族名、病毒名、加密文件后缀名执行链接查询，可通过直接上传加密文件的方式确定勒索病毒类型，如果能解密可以提供必要的解密工具。</w:t>
            </w:r>
          </w:p>
        </w:tc>
      </w:tr>
      <w:tr w14:paraId="1F8BD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continue"/>
            <w:noWrap w:val="0"/>
            <w:vAlign w:val="center"/>
          </w:tcPr>
          <w:p w14:paraId="3F6D7AEF">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1E742B12">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支持对勒索入侵的主流方式RDP暴破做全方位保护，包括RDP登录校验、RDP文件加白二次校验等功能。</w:t>
            </w:r>
          </w:p>
        </w:tc>
      </w:tr>
      <w:tr w14:paraId="09BD9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noWrap w:val="0"/>
            <w:vAlign w:val="center"/>
          </w:tcPr>
          <w:p w14:paraId="2BB272DE">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暴力破解检测</w:t>
            </w:r>
          </w:p>
        </w:tc>
        <w:tc>
          <w:tcPr>
            <w:tcW w:w="4192" w:type="pct"/>
            <w:noWrap w:val="0"/>
            <w:vAlign w:val="center"/>
          </w:tcPr>
          <w:p w14:paraId="4D1C5C16">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统计单个攻击源及分布式攻击源的暴力破解检测，支持按照RDP、SMB和SSH类型进行封堵并自定义爆破阈值，可对封停时间进行自设置。</w:t>
            </w:r>
          </w:p>
        </w:tc>
      </w:tr>
      <w:tr w14:paraId="410D2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restart"/>
            <w:noWrap w:val="0"/>
            <w:vAlign w:val="center"/>
          </w:tcPr>
          <w:p w14:paraId="0722AECE">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威胁处置</w:t>
            </w:r>
          </w:p>
        </w:tc>
        <w:tc>
          <w:tcPr>
            <w:tcW w:w="4192" w:type="pct"/>
            <w:noWrap w:val="0"/>
            <w:vAlign w:val="center"/>
          </w:tcPr>
          <w:p w14:paraId="1AC2FE41">
            <w:pPr>
              <w:pStyle w:val="27"/>
              <w:numPr>
                <w:ilvl w:val="0"/>
                <w:numId w:val="0"/>
              </w:numPr>
              <w:snapToGrid w:val="0"/>
              <w:spacing w:line="360" w:lineRule="auto"/>
              <w:ind w:leftChars="0"/>
              <w:contextualSpacing/>
              <w:rPr>
                <w:rFonts w:hint="eastAsia" w:ascii="宋体" w:hAnsi="宋体" w:eastAsia="宋体" w:cs="宋体"/>
                <w:b w:val="0"/>
                <w:bCs w:val="0"/>
                <w:color w:val="auto"/>
                <w:szCs w:val="21"/>
                <w:lang w:eastAsia="zh-CN"/>
              </w:rPr>
            </w:pPr>
            <w:r>
              <w:rPr>
                <w:rFonts w:hint="eastAsia" w:ascii="宋体" w:hAnsi="宋体" w:eastAsia="宋体" w:cs="宋体"/>
                <w:b w:val="0"/>
                <w:bCs w:val="0"/>
                <w:color w:val="auto"/>
                <w:szCs w:val="21"/>
              </w:rPr>
              <w:t>构建全网文件信誉库，当一台终端发现某一病毒文件，全网可进行感知并进行针对性查杀，支持处置病毒时选择是否在其它终端上同步处置</w:t>
            </w:r>
            <w:r>
              <w:rPr>
                <w:rFonts w:hint="eastAsia" w:ascii="宋体" w:hAnsi="宋体" w:eastAsia="宋体" w:cs="宋体"/>
                <w:b w:val="0"/>
                <w:bCs w:val="0"/>
                <w:color w:val="auto"/>
                <w:szCs w:val="21"/>
                <w:lang w:eastAsia="zh-CN"/>
              </w:rPr>
              <w:t>。</w:t>
            </w:r>
          </w:p>
        </w:tc>
      </w:tr>
      <w:tr w14:paraId="68766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07" w:type="pct"/>
            <w:vMerge w:val="continue"/>
            <w:noWrap w:val="0"/>
            <w:vAlign w:val="center"/>
          </w:tcPr>
          <w:p w14:paraId="6D870F2A">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789679C4">
            <w:pPr>
              <w:pStyle w:val="27"/>
              <w:numPr>
                <w:ilvl w:val="0"/>
                <w:numId w:val="0"/>
              </w:numPr>
              <w:snapToGrid w:val="0"/>
              <w:spacing w:line="360" w:lineRule="auto"/>
              <w:ind w:leftChars="0"/>
              <w:contextualSpacing/>
              <w:rPr>
                <w:rFonts w:hint="eastAsia" w:ascii="宋体" w:hAnsi="宋体" w:eastAsia="宋体" w:cs="宋体"/>
                <w:b w:val="0"/>
                <w:bCs w:val="0"/>
                <w:color w:val="auto"/>
                <w:szCs w:val="21"/>
              </w:rPr>
            </w:pPr>
            <w:r>
              <w:rPr>
                <w:rFonts w:hint="eastAsia" w:ascii="宋体" w:hAnsi="宋体" w:eastAsia="宋体" w:cs="宋体"/>
                <w:b w:val="0"/>
                <w:bCs w:val="0"/>
                <w:color w:val="auto"/>
                <w:szCs w:val="21"/>
              </w:rPr>
              <w:t>具备强力专杀云端下发通道，支持在管理端批量下发强力专杀工具到内网各终端快速响应终端威胁。</w:t>
            </w:r>
          </w:p>
        </w:tc>
      </w:tr>
      <w:tr w14:paraId="590AB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restart"/>
            <w:noWrap w:val="0"/>
            <w:vAlign w:val="center"/>
          </w:tcPr>
          <w:p w14:paraId="4933C728">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漏洞防护</w:t>
            </w:r>
          </w:p>
        </w:tc>
        <w:tc>
          <w:tcPr>
            <w:tcW w:w="4192" w:type="pct"/>
            <w:noWrap w:val="0"/>
            <w:vAlign w:val="top"/>
          </w:tcPr>
          <w:p w14:paraId="3A5D8690">
            <w:pPr>
              <w:pStyle w:val="27"/>
              <w:numPr>
                <w:ilvl w:val="0"/>
                <w:numId w:val="0"/>
              </w:numPr>
              <w:snapToGrid w:val="0"/>
              <w:spacing w:line="360" w:lineRule="auto"/>
              <w:ind w:leftChars="0"/>
              <w:contextualSpacing/>
              <w:rPr>
                <w:rFonts w:hint="eastAsia" w:ascii="宋体" w:hAnsi="宋体" w:eastAsia="宋体" w:cs="宋体"/>
                <w:color w:val="auto"/>
                <w:szCs w:val="21"/>
                <w:lang w:eastAsia="zh-CN"/>
              </w:rPr>
            </w:pPr>
            <w:r>
              <w:rPr>
                <w:rFonts w:hint="eastAsia" w:ascii="宋体" w:hAnsi="宋体" w:eastAsia="宋体" w:cs="宋体"/>
                <w:color w:val="auto"/>
                <w:szCs w:val="21"/>
              </w:rPr>
              <w:t>支持对Windows终端的漏洞情况进行扫描，并查看漏洞具体情况及KB号，并显示具体修复情况</w:t>
            </w:r>
            <w:r>
              <w:rPr>
                <w:rFonts w:hint="eastAsia" w:ascii="宋体" w:hAnsi="宋体" w:eastAsia="宋体" w:cs="宋体"/>
                <w:color w:val="auto"/>
                <w:szCs w:val="21"/>
                <w:lang w:eastAsia="zh-CN"/>
              </w:rPr>
              <w:t>。</w:t>
            </w:r>
          </w:p>
        </w:tc>
      </w:tr>
      <w:tr w14:paraId="3A384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continue"/>
            <w:noWrap w:val="0"/>
            <w:vAlign w:val="center"/>
          </w:tcPr>
          <w:p w14:paraId="65A117D7">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2D0447FA">
            <w:pPr>
              <w:pStyle w:val="27"/>
              <w:numPr>
                <w:ilvl w:val="0"/>
                <w:numId w:val="0"/>
              </w:numPr>
              <w:snapToGrid w:val="0"/>
              <w:spacing w:line="360" w:lineRule="auto"/>
              <w:ind w:leftChars="0"/>
              <w:contextualSpacing/>
              <w:rPr>
                <w:rFonts w:hint="eastAsia" w:ascii="宋体" w:hAnsi="宋体" w:eastAsia="宋体" w:cs="宋体"/>
                <w:color w:val="auto"/>
                <w:szCs w:val="21"/>
                <w:lang w:eastAsia="zh-CN"/>
              </w:rPr>
            </w:pPr>
            <w:r>
              <w:rPr>
                <w:rFonts w:hint="eastAsia" w:ascii="宋体" w:hAnsi="宋体" w:eastAsia="宋体" w:cs="宋体"/>
                <w:color w:val="auto"/>
                <w:szCs w:val="21"/>
              </w:rPr>
              <w:t>支持流行Windows高危漏洞的轻补丁免疫防御，支持Windows补丁批量一键修复</w:t>
            </w:r>
            <w:r>
              <w:rPr>
                <w:rFonts w:hint="eastAsia" w:ascii="宋体" w:hAnsi="宋体" w:eastAsia="宋体" w:cs="宋体"/>
                <w:color w:val="auto"/>
                <w:szCs w:val="21"/>
                <w:lang w:eastAsia="zh-CN"/>
              </w:rPr>
              <w:t>。</w:t>
            </w:r>
          </w:p>
        </w:tc>
      </w:tr>
      <w:tr w14:paraId="2E267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continue"/>
            <w:noWrap w:val="0"/>
            <w:vAlign w:val="center"/>
          </w:tcPr>
          <w:p w14:paraId="65FC45A0">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1BED7DE7">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支持对Linux终端扫描系统漏洞、提供漏洞分析详情和修复建议。</w:t>
            </w:r>
          </w:p>
        </w:tc>
      </w:tr>
      <w:tr w14:paraId="5F760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restart"/>
            <w:noWrap w:val="0"/>
            <w:vAlign w:val="center"/>
          </w:tcPr>
          <w:p w14:paraId="23C33ECA">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轻桌管</w:t>
            </w:r>
          </w:p>
        </w:tc>
        <w:tc>
          <w:tcPr>
            <w:tcW w:w="4192" w:type="pct"/>
            <w:noWrap w:val="0"/>
            <w:vAlign w:val="center"/>
          </w:tcPr>
          <w:p w14:paraId="6F0BB26B">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支持自定义拦截终端软件弹窗，可在终端设置自动拦截骚扰弹窗开关。</w:t>
            </w:r>
          </w:p>
        </w:tc>
      </w:tr>
      <w:tr w14:paraId="25EC4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continue"/>
            <w:noWrap w:val="0"/>
            <w:vAlign w:val="center"/>
          </w:tcPr>
          <w:p w14:paraId="35A102D4">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52F823B7">
            <w:pPr>
              <w:pStyle w:val="27"/>
              <w:numPr>
                <w:ilvl w:val="0"/>
                <w:numId w:val="0"/>
              </w:numPr>
              <w:snapToGrid w:val="0"/>
              <w:spacing w:line="360" w:lineRule="auto"/>
              <w:ind w:leftChars="0"/>
              <w:contextualSpacing/>
              <w:rPr>
                <w:rFonts w:hint="eastAsia" w:ascii="宋体" w:hAnsi="宋体" w:eastAsia="宋体" w:cs="宋体"/>
                <w:color w:val="auto"/>
                <w:szCs w:val="21"/>
                <w:lang w:eastAsia="zh-CN"/>
              </w:rPr>
            </w:pPr>
            <w:r>
              <w:rPr>
                <w:rFonts w:hint="eastAsia" w:ascii="宋体" w:hAnsi="宋体" w:eastAsia="宋体" w:cs="宋体"/>
                <w:color w:val="auto"/>
                <w:szCs w:val="21"/>
              </w:rPr>
              <w:t>支持拦截已安装软件的恶意广告弹窗，保持工作环境清净无打扰</w:t>
            </w:r>
            <w:r>
              <w:rPr>
                <w:rFonts w:hint="eastAsia" w:ascii="宋体" w:hAnsi="宋体" w:eastAsia="宋体" w:cs="宋体"/>
                <w:color w:val="auto"/>
                <w:szCs w:val="21"/>
                <w:lang w:eastAsia="zh-CN"/>
              </w:rPr>
              <w:t>。</w:t>
            </w:r>
          </w:p>
        </w:tc>
      </w:tr>
      <w:tr w14:paraId="28296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continue"/>
            <w:noWrap w:val="0"/>
            <w:vAlign w:val="center"/>
          </w:tcPr>
          <w:p w14:paraId="15EA3E0F">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2A1B1465">
            <w:pPr>
              <w:pStyle w:val="27"/>
              <w:numPr>
                <w:ilvl w:val="0"/>
                <w:numId w:val="0"/>
              </w:numPr>
              <w:snapToGrid w:val="0"/>
              <w:spacing w:line="360" w:lineRule="auto"/>
              <w:ind w:leftChars="0"/>
              <w:contextualSpacing/>
              <w:rPr>
                <w:rFonts w:hint="eastAsia" w:ascii="宋体" w:hAnsi="宋体" w:eastAsia="宋体" w:cs="宋体"/>
                <w:color w:val="auto"/>
                <w:szCs w:val="21"/>
                <w:lang w:eastAsia="zh-CN"/>
              </w:rPr>
            </w:pPr>
            <w:r>
              <w:rPr>
                <w:rFonts w:hint="eastAsia" w:ascii="宋体" w:hAnsi="宋体" w:eastAsia="宋体" w:cs="宋体"/>
                <w:color w:val="auto"/>
                <w:szCs w:val="21"/>
              </w:rPr>
              <w:t>支持分组的USB存储是管控防护启用，不允许指定终端分组下的终端使用USB存储设备</w:t>
            </w:r>
            <w:r>
              <w:rPr>
                <w:rFonts w:hint="eastAsia" w:ascii="宋体" w:hAnsi="宋体" w:eastAsia="宋体" w:cs="宋体"/>
                <w:color w:val="auto"/>
                <w:szCs w:val="21"/>
                <w:lang w:eastAsia="zh-CN"/>
              </w:rPr>
              <w:t>。</w:t>
            </w:r>
          </w:p>
        </w:tc>
      </w:tr>
      <w:tr w14:paraId="26362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07" w:type="pct"/>
            <w:vMerge w:val="continue"/>
            <w:noWrap w:val="0"/>
            <w:vAlign w:val="center"/>
          </w:tcPr>
          <w:p w14:paraId="2878A148">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5E073026">
            <w:pPr>
              <w:pStyle w:val="27"/>
              <w:numPr>
                <w:ilvl w:val="0"/>
                <w:numId w:val="0"/>
              </w:numPr>
              <w:snapToGrid w:val="0"/>
              <w:spacing w:line="360" w:lineRule="auto"/>
              <w:ind w:leftChars="0"/>
              <w:contextualSpacing/>
              <w:rPr>
                <w:rFonts w:hint="eastAsia" w:ascii="宋体" w:hAnsi="宋体" w:eastAsia="宋体" w:cs="宋体"/>
                <w:b w:val="0"/>
                <w:bCs w:val="0"/>
                <w:color w:val="auto"/>
                <w:szCs w:val="21"/>
                <w:lang w:eastAsia="zh-CN"/>
              </w:rPr>
            </w:pPr>
            <w:r>
              <w:rPr>
                <w:rFonts w:hint="eastAsia" w:ascii="宋体" w:hAnsi="宋体" w:eastAsia="宋体" w:cs="宋体"/>
                <w:b w:val="0"/>
                <w:bCs w:val="0"/>
                <w:color w:val="auto"/>
                <w:szCs w:val="21"/>
              </w:rPr>
              <w:t>支持Windows系统的违规外联动能，有效帮助管理员规范终端上网行为</w:t>
            </w:r>
            <w:r>
              <w:rPr>
                <w:rFonts w:hint="eastAsia" w:ascii="宋体" w:hAnsi="宋体" w:eastAsia="宋体" w:cs="宋体"/>
                <w:b w:val="0"/>
                <w:bCs w:val="0"/>
                <w:color w:val="auto"/>
                <w:szCs w:val="21"/>
                <w:lang w:eastAsia="zh-CN"/>
              </w:rPr>
              <w:t>。</w:t>
            </w:r>
          </w:p>
        </w:tc>
      </w:tr>
      <w:tr w14:paraId="137C9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07" w:type="pct"/>
            <w:vMerge w:val="restart"/>
            <w:noWrap w:val="0"/>
            <w:vAlign w:val="center"/>
          </w:tcPr>
          <w:p w14:paraId="3200225B">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windows智御</w:t>
            </w:r>
          </w:p>
        </w:tc>
        <w:tc>
          <w:tcPr>
            <w:tcW w:w="4192" w:type="pct"/>
            <w:noWrap w:val="0"/>
            <w:vAlign w:val="center"/>
          </w:tcPr>
          <w:p w14:paraId="40E0E0DA">
            <w:pPr>
              <w:pStyle w:val="27"/>
              <w:numPr>
                <w:ilvl w:val="0"/>
                <w:numId w:val="0"/>
              </w:numPr>
              <w:snapToGrid w:val="0"/>
              <w:spacing w:line="360" w:lineRule="auto"/>
              <w:ind w:leftChars="0"/>
              <w:contextualSpacing/>
              <w:rPr>
                <w:rFonts w:hint="eastAsia" w:ascii="宋体" w:hAnsi="宋体" w:eastAsia="宋体" w:cs="宋体"/>
                <w:b w:val="0"/>
                <w:bCs w:val="0"/>
                <w:color w:val="auto"/>
                <w:szCs w:val="21"/>
              </w:rPr>
            </w:pPr>
            <w:r>
              <w:rPr>
                <w:rFonts w:hint="eastAsia" w:ascii="宋体" w:hAnsi="宋体" w:eastAsia="宋体" w:cs="宋体"/>
                <w:b w:val="0"/>
                <w:bCs w:val="0"/>
                <w:color w:val="auto"/>
                <w:szCs w:val="21"/>
              </w:rPr>
              <w:t>支持对Windows停更的系统提供专项防护，包括0day漏洞防护、文件防护、暴破入侵防护、系统脆弱点识别和风险端口封堵等多项核心功能</w:t>
            </w:r>
            <w:r>
              <w:rPr>
                <w:rFonts w:hint="eastAsia" w:ascii="宋体" w:hAnsi="宋体" w:eastAsia="宋体" w:cs="宋体"/>
                <w:b w:val="0"/>
                <w:bCs w:val="0"/>
                <w:color w:val="auto"/>
                <w:szCs w:val="21"/>
                <w:lang w:eastAsia="zh-CN"/>
              </w:rPr>
              <w:t>。</w:t>
            </w:r>
          </w:p>
        </w:tc>
      </w:tr>
      <w:tr w14:paraId="50188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continue"/>
            <w:noWrap w:val="0"/>
            <w:vAlign w:val="center"/>
          </w:tcPr>
          <w:p w14:paraId="4C5BD957">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1E30CA1B">
            <w:pPr>
              <w:pStyle w:val="27"/>
              <w:numPr>
                <w:ilvl w:val="0"/>
                <w:numId w:val="0"/>
              </w:numPr>
              <w:snapToGrid w:val="0"/>
              <w:spacing w:line="360" w:lineRule="auto"/>
              <w:ind w:leftChars="0"/>
              <w:contextualSpacing/>
              <w:rPr>
                <w:rFonts w:hint="eastAsia" w:ascii="宋体" w:hAnsi="宋体" w:eastAsia="宋体" w:cs="宋体"/>
                <w:color w:val="auto"/>
                <w:szCs w:val="21"/>
                <w:lang w:eastAsia="zh-CN"/>
              </w:rPr>
            </w:pPr>
            <w:r>
              <w:rPr>
                <w:rFonts w:hint="eastAsia" w:ascii="宋体" w:hAnsi="宋体" w:eastAsia="宋体" w:cs="宋体"/>
                <w:color w:val="auto"/>
                <w:szCs w:val="21"/>
              </w:rPr>
              <w:t>支持对已停止更新的Windows系统的全网一键清点，管理员可快速筛选出全网已停止更新的Windows系统的数量和具体的终端</w:t>
            </w:r>
            <w:r>
              <w:rPr>
                <w:rFonts w:hint="eastAsia" w:ascii="宋体" w:hAnsi="宋体" w:eastAsia="宋体" w:cs="宋体"/>
                <w:color w:val="auto"/>
                <w:szCs w:val="21"/>
                <w:lang w:eastAsia="zh-CN"/>
              </w:rPr>
              <w:t>。</w:t>
            </w:r>
          </w:p>
        </w:tc>
      </w:tr>
      <w:tr w14:paraId="5E80D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07" w:type="pct"/>
            <w:vMerge w:val="continue"/>
            <w:noWrap w:val="0"/>
            <w:vAlign w:val="center"/>
          </w:tcPr>
          <w:p w14:paraId="219BD93C">
            <w:pPr>
              <w:pStyle w:val="27"/>
              <w:numPr>
                <w:ilvl w:val="0"/>
                <w:numId w:val="0"/>
              </w:numPr>
              <w:snapToGrid w:val="0"/>
              <w:spacing w:line="360" w:lineRule="auto"/>
              <w:ind w:leftChars="0"/>
              <w:contextualSpacing/>
              <w:rPr>
                <w:rFonts w:hint="eastAsia" w:ascii="宋体" w:hAnsi="宋体" w:eastAsia="宋体" w:cs="宋体"/>
                <w:color w:val="auto"/>
                <w:szCs w:val="21"/>
              </w:rPr>
            </w:pPr>
          </w:p>
        </w:tc>
        <w:tc>
          <w:tcPr>
            <w:tcW w:w="4192" w:type="pct"/>
            <w:noWrap w:val="0"/>
            <w:vAlign w:val="center"/>
          </w:tcPr>
          <w:p w14:paraId="65D9E6AA">
            <w:pPr>
              <w:pStyle w:val="27"/>
              <w:numPr>
                <w:ilvl w:val="0"/>
                <w:numId w:val="0"/>
              </w:numPr>
              <w:snapToGrid w:val="0"/>
              <w:spacing w:line="360" w:lineRule="auto"/>
              <w:ind w:leftChars="0"/>
              <w:contextualSpacing/>
              <w:rPr>
                <w:rFonts w:hint="eastAsia" w:ascii="宋体" w:hAnsi="宋体" w:eastAsia="宋体" w:cs="宋体"/>
                <w:color w:val="auto"/>
                <w:szCs w:val="21"/>
              </w:rPr>
            </w:pPr>
            <w:r>
              <w:rPr>
                <w:rFonts w:hint="eastAsia" w:ascii="宋体" w:hAnsi="宋体" w:eastAsia="宋体" w:cs="宋体"/>
                <w:color w:val="auto"/>
                <w:szCs w:val="21"/>
              </w:rPr>
              <w:t>支持基于应用、端口和账号的清点，可辅助客户进行已停更Windows系统的风险识别。</w:t>
            </w:r>
          </w:p>
        </w:tc>
      </w:tr>
    </w:tbl>
    <w:p w14:paraId="67B87053">
      <w:pPr>
        <w:pStyle w:val="27"/>
        <w:numPr>
          <w:ilvl w:val="0"/>
          <w:numId w:val="0"/>
        </w:numPr>
        <w:snapToGrid w:val="0"/>
        <w:spacing w:line="360" w:lineRule="auto"/>
        <w:ind w:leftChars="0"/>
        <w:contextualSpacing/>
        <w:rPr>
          <w:rFonts w:hint="eastAsia" w:ascii="宋体" w:hAnsi="宋体" w:eastAsia="宋体" w:cs="宋体"/>
          <w:color w:val="auto"/>
          <w:szCs w:val="21"/>
        </w:rPr>
      </w:pPr>
    </w:p>
    <w:p w14:paraId="5323BF4C">
      <w:pPr>
        <w:pStyle w:val="27"/>
        <w:numPr>
          <w:ilvl w:val="0"/>
          <w:numId w:val="79"/>
        </w:numPr>
        <w:ind w:firstLineChars="0"/>
        <w:rPr>
          <w:rFonts w:hint="eastAsia" w:ascii="宋体" w:hAnsi="宋体" w:eastAsia="宋体" w:cs="宋体"/>
          <w:color w:val="auto"/>
          <w:szCs w:val="21"/>
        </w:rPr>
      </w:pPr>
      <w:r>
        <w:rPr>
          <w:rFonts w:hint="eastAsia" w:ascii="宋体" w:hAnsi="宋体" w:eastAsia="宋体" w:cs="宋体"/>
          <w:color w:val="auto"/>
          <w:szCs w:val="21"/>
        </w:rPr>
        <w:t>考核检查支撑服务</w:t>
      </w:r>
    </w:p>
    <w:p w14:paraId="6FF0649E">
      <w:pPr>
        <w:pStyle w:val="27"/>
        <w:widowControl/>
        <w:numPr>
          <w:ilvl w:val="0"/>
          <w:numId w:val="81"/>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rPr>
        <w:t>服务内容：派出</w:t>
      </w:r>
      <w:r>
        <w:rPr>
          <w:rFonts w:hint="eastAsia" w:ascii="宋体" w:hAnsi="宋体" w:eastAsia="宋体" w:cs="宋体"/>
          <w:color w:val="auto"/>
          <w:szCs w:val="21"/>
          <w:lang w:val="en-US" w:eastAsia="zh-CN"/>
        </w:rPr>
        <w:t>服务人员</w:t>
      </w:r>
      <w:r>
        <w:rPr>
          <w:rFonts w:hint="eastAsia" w:ascii="宋体" w:hAnsi="宋体" w:eastAsia="宋体" w:cs="宋体"/>
          <w:color w:val="auto"/>
          <w:szCs w:val="21"/>
        </w:rPr>
        <w:t>，提供检查工具，按照</w:t>
      </w:r>
      <w:r>
        <w:rPr>
          <w:rFonts w:hint="eastAsia" w:ascii="宋体" w:hAnsi="宋体" w:eastAsia="宋体" w:cs="宋体"/>
          <w:color w:val="auto"/>
          <w:szCs w:val="21"/>
          <w:lang w:val="en-US" w:eastAsia="zh-CN"/>
        </w:rPr>
        <w:t>本</w:t>
      </w:r>
      <w:r>
        <w:rPr>
          <w:rFonts w:hint="eastAsia" w:ascii="宋体" w:hAnsi="宋体" w:eastAsia="宋体" w:cs="宋体"/>
          <w:color w:val="auto"/>
          <w:szCs w:val="21"/>
        </w:rPr>
        <w:t>年度市教育局网络安全工作责任制考核办法</w:t>
      </w:r>
      <w:r>
        <w:rPr>
          <w:rFonts w:hint="eastAsia" w:ascii="宋体" w:hAnsi="宋体" w:eastAsia="宋体" w:cs="宋体"/>
          <w:color w:val="auto"/>
          <w:szCs w:val="21"/>
          <w:lang w:val="en-US" w:eastAsia="zh-CN"/>
        </w:rPr>
        <w:t>或技术检查</w:t>
      </w:r>
      <w:r>
        <w:rPr>
          <w:rFonts w:hint="eastAsia" w:ascii="宋体" w:hAnsi="宋体" w:eastAsia="宋体" w:cs="宋体"/>
          <w:color w:val="auto"/>
          <w:szCs w:val="21"/>
        </w:rPr>
        <w:t>的相关要求，提前帮助学校自查，协助学校进行整改；</w:t>
      </w:r>
    </w:p>
    <w:p w14:paraId="6F3D4264">
      <w:pPr>
        <w:pStyle w:val="27"/>
        <w:widowControl/>
        <w:numPr>
          <w:ilvl w:val="0"/>
          <w:numId w:val="81"/>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rPr>
        <w:t>服务方式：现场检查。</w:t>
      </w:r>
    </w:p>
    <w:p w14:paraId="65AE4791">
      <w:pPr>
        <w:pStyle w:val="27"/>
        <w:widowControl/>
        <w:numPr>
          <w:ilvl w:val="0"/>
          <w:numId w:val="81"/>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rPr>
        <w:t>服务频次：每年1次。</w:t>
      </w:r>
    </w:p>
    <w:p w14:paraId="192ADE5B">
      <w:pPr>
        <w:pStyle w:val="27"/>
        <w:widowControl/>
        <w:numPr>
          <w:ilvl w:val="0"/>
          <w:numId w:val="81"/>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lang w:eastAsia="zh-CN"/>
        </w:rPr>
        <w:t>服务交付</w:t>
      </w:r>
      <w:r>
        <w:rPr>
          <w:rFonts w:hint="eastAsia" w:ascii="宋体" w:hAnsi="宋体" w:eastAsia="宋体" w:cs="宋体"/>
          <w:color w:val="auto"/>
          <w:szCs w:val="21"/>
        </w:rPr>
        <w:t>：《网络安全检查报告》。</w:t>
      </w:r>
    </w:p>
    <w:p w14:paraId="540BEE77">
      <w:pPr>
        <w:pStyle w:val="27"/>
        <w:numPr>
          <w:ilvl w:val="0"/>
          <w:numId w:val="79"/>
        </w:numPr>
        <w:ind w:firstLineChars="0"/>
        <w:rPr>
          <w:rFonts w:hint="eastAsia" w:ascii="宋体" w:hAnsi="宋体" w:eastAsia="宋体" w:cs="宋体"/>
          <w:iCs/>
          <w:color w:val="auto"/>
          <w:szCs w:val="21"/>
        </w:rPr>
      </w:pPr>
      <w:r>
        <w:rPr>
          <w:rFonts w:hint="eastAsia" w:ascii="宋体" w:hAnsi="宋体" w:eastAsia="宋体" w:cs="宋体"/>
          <w:iCs/>
          <w:color w:val="auto"/>
          <w:szCs w:val="21"/>
          <w:lang w:val="en-US" w:eastAsia="zh-CN"/>
        </w:rPr>
        <w:t>重要时期保障</w:t>
      </w:r>
      <w:r>
        <w:rPr>
          <w:rFonts w:hint="eastAsia" w:ascii="宋体" w:hAnsi="宋体" w:eastAsia="宋体" w:cs="宋体"/>
          <w:iCs/>
          <w:color w:val="auto"/>
          <w:szCs w:val="21"/>
        </w:rPr>
        <w:t>服务</w:t>
      </w:r>
    </w:p>
    <w:p w14:paraId="12A1B40D">
      <w:pPr>
        <w:pStyle w:val="27"/>
        <w:widowControl/>
        <w:numPr>
          <w:ilvl w:val="0"/>
          <w:numId w:val="82"/>
        </w:numPr>
        <w:snapToGrid w:val="0"/>
        <w:spacing w:line="360" w:lineRule="auto"/>
        <w:ind w:left="420" w:leftChars="0" w:hanging="420"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内容：在重要活动、重要会议、重大节假日等重要时期，面临攻击手段多、频率高的安全态势，为防范重大网络安全事件的发生，提供重保团队帮助完善安全防护体系，重保前开展风险检测和整改加固，重保中开展监测预警和应急处置，重保后进行总结复盘和优化提升，确保重要信息系统在重要时期的安全稳定运行。</w:t>
      </w:r>
    </w:p>
    <w:p w14:paraId="5150F4CA">
      <w:pPr>
        <w:pStyle w:val="27"/>
        <w:widowControl/>
        <w:numPr>
          <w:ilvl w:val="0"/>
          <w:numId w:val="82"/>
        </w:numPr>
        <w:snapToGrid w:val="0"/>
        <w:spacing w:line="360" w:lineRule="auto"/>
        <w:ind w:left="420" w:leftChars="0" w:hanging="420"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服务方式：远程或现场</w:t>
      </w:r>
      <w:r>
        <w:rPr>
          <w:rFonts w:hint="eastAsia" w:ascii="宋体" w:hAnsi="宋体" w:eastAsia="宋体" w:cs="宋体"/>
          <w:iCs/>
          <w:color w:val="auto"/>
          <w:szCs w:val="21"/>
          <w:lang w:val="en-US" w:eastAsia="zh-CN"/>
        </w:rPr>
        <w:t>服务</w:t>
      </w:r>
      <w:r>
        <w:rPr>
          <w:rFonts w:hint="eastAsia" w:ascii="宋体" w:hAnsi="宋体" w:eastAsia="宋体" w:cs="宋体"/>
          <w:iCs/>
          <w:color w:val="auto"/>
          <w:szCs w:val="21"/>
        </w:rPr>
        <w:t>。</w:t>
      </w:r>
    </w:p>
    <w:p w14:paraId="3DECA48C">
      <w:pPr>
        <w:pStyle w:val="27"/>
        <w:widowControl/>
        <w:numPr>
          <w:ilvl w:val="0"/>
          <w:numId w:val="82"/>
        </w:numPr>
        <w:snapToGrid w:val="0"/>
        <w:spacing w:line="360" w:lineRule="auto"/>
        <w:ind w:left="420" w:leftChars="0" w:hanging="420"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服务交付：《</w:t>
      </w:r>
      <w:r>
        <w:rPr>
          <w:rFonts w:hint="eastAsia" w:ascii="宋体" w:hAnsi="宋体" w:eastAsia="宋体" w:cs="宋体"/>
          <w:iCs/>
          <w:color w:val="auto"/>
          <w:szCs w:val="21"/>
          <w:lang w:val="en-US" w:eastAsia="zh-CN"/>
        </w:rPr>
        <w:t>重要时期保障</w:t>
      </w:r>
      <w:r>
        <w:rPr>
          <w:rFonts w:hint="eastAsia" w:ascii="宋体" w:hAnsi="宋体" w:eastAsia="宋体" w:cs="宋体"/>
          <w:iCs/>
          <w:color w:val="auto"/>
          <w:szCs w:val="21"/>
        </w:rPr>
        <w:t>工作</w:t>
      </w:r>
      <w:r>
        <w:rPr>
          <w:rFonts w:hint="eastAsia" w:ascii="宋体" w:hAnsi="宋体" w:eastAsia="宋体" w:cs="宋体"/>
          <w:iCs/>
          <w:color w:val="auto"/>
          <w:szCs w:val="21"/>
          <w:lang w:val="en-US" w:eastAsia="zh-CN"/>
        </w:rPr>
        <w:t>报告</w:t>
      </w:r>
      <w:r>
        <w:rPr>
          <w:rFonts w:hint="eastAsia" w:ascii="宋体" w:hAnsi="宋体" w:eastAsia="宋体" w:cs="宋体"/>
          <w:iCs/>
          <w:color w:val="auto"/>
          <w:szCs w:val="21"/>
        </w:rPr>
        <w:t>》</w:t>
      </w:r>
      <w:r>
        <w:rPr>
          <w:rFonts w:hint="eastAsia" w:ascii="宋体" w:hAnsi="宋体" w:eastAsia="宋体" w:cs="宋体"/>
          <w:iCs/>
          <w:color w:val="auto"/>
          <w:szCs w:val="21"/>
          <w:lang w:eastAsia="zh-CN"/>
        </w:rPr>
        <w:t>。</w:t>
      </w:r>
    </w:p>
    <w:p w14:paraId="1B49829B">
      <w:pPr>
        <w:pStyle w:val="27"/>
        <w:numPr>
          <w:ilvl w:val="0"/>
          <w:numId w:val="79"/>
        </w:numPr>
        <w:ind w:firstLineChars="0"/>
        <w:rPr>
          <w:rFonts w:hint="eastAsia" w:ascii="宋体" w:hAnsi="宋体" w:eastAsia="宋体" w:cs="宋体"/>
          <w:iCs/>
          <w:color w:val="auto"/>
          <w:szCs w:val="21"/>
        </w:rPr>
      </w:pPr>
      <w:r>
        <w:rPr>
          <w:rFonts w:hint="eastAsia" w:ascii="宋体" w:hAnsi="宋体" w:eastAsia="宋体" w:cs="宋体"/>
          <w:iCs/>
          <w:color w:val="auto"/>
          <w:szCs w:val="21"/>
        </w:rPr>
        <w:t>网络资产</w:t>
      </w:r>
      <w:r>
        <w:rPr>
          <w:rFonts w:hint="eastAsia" w:ascii="宋体" w:hAnsi="宋体" w:eastAsia="宋体" w:cs="宋体"/>
          <w:iCs/>
          <w:color w:val="auto"/>
          <w:szCs w:val="21"/>
          <w:lang w:val="en-US" w:eastAsia="zh-CN"/>
        </w:rPr>
        <w:t>治理</w:t>
      </w:r>
      <w:r>
        <w:rPr>
          <w:rFonts w:hint="eastAsia" w:ascii="宋体" w:hAnsi="宋体" w:eastAsia="宋体" w:cs="宋体"/>
          <w:iCs/>
          <w:color w:val="auto"/>
          <w:szCs w:val="21"/>
        </w:rPr>
        <w:t>服务</w:t>
      </w:r>
    </w:p>
    <w:p w14:paraId="5A097CB2">
      <w:pPr>
        <w:pStyle w:val="27"/>
        <w:widowControl/>
        <w:numPr>
          <w:ilvl w:val="0"/>
          <w:numId w:val="83"/>
        </w:numPr>
        <w:snapToGrid w:val="0"/>
        <w:spacing w:line="360" w:lineRule="auto"/>
        <w:ind w:left="420" w:leftChars="0" w:hanging="420"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服务内容：为学校梳理电脑、网络设备、系统网站、摄像头等各类网络资产，填报到市教育局“</w:t>
      </w:r>
      <w:r>
        <w:rPr>
          <w:rFonts w:hint="eastAsia" w:ascii="宋体" w:hAnsi="宋体" w:eastAsia="宋体" w:cs="宋体"/>
          <w:iCs/>
          <w:color w:val="auto"/>
          <w:szCs w:val="21"/>
          <w:lang w:val="en-US" w:eastAsia="zh-CN"/>
        </w:rPr>
        <w:t>网络</w:t>
      </w:r>
      <w:r>
        <w:rPr>
          <w:rFonts w:hint="eastAsia" w:ascii="宋体" w:hAnsi="宋体" w:eastAsia="宋体" w:cs="宋体"/>
          <w:iCs/>
          <w:color w:val="auto"/>
          <w:szCs w:val="21"/>
        </w:rPr>
        <w:t>安全运维管理平台”</w:t>
      </w:r>
    </w:p>
    <w:p w14:paraId="766CE96E">
      <w:pPr>
        <w:pStyle w:val="27"/>
        <w:widowControl/>
        <w:numPr>
          <w:ilvl w:val="0"/>
          <w:numId w:val="83"/>
        </w:numPr>
        <w:snapToGrid w:val="0"/>
        <w:spacing w:line="360" w:lineRule="auto"/>
        <w:ind w:left="420" w:leftChars="0" w:hanging="420"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服务频次：每个季度1次，一年4次；</w:t>
      </w:r>
    </w:p>
    <w:p w14:paraId="40B82A5B">
      <w:pPr>
        <w:pStyle w:val="27"/>
        <w:widowControl/>
        <w:numPr>
          <w:ilvl w:val="0"/>
          <w:numId w:val="83"/>
        </w:numPr>
        <w:snapToGrid w:val="0"/>
        <w:spacing w:line="360" w:lineRule="auto"/>
        <w:ind w:left="420" w:leftChars="0" w:hanging="420"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w:t>
      </w:r>
      <w:r>
        <w:rPr>
          <w:rFonts w:hint="eastAsia" w:ascii="宋体" w:hAnsi="宋体" w:eastAsia="宋体" w:cs="宋体"/>
          <w:iCs/>
          <w:color w:val="auto"/>
          <w:szCs w:val="21"/>
          <w:lang w:val="en-US" w:eastAsia="zh-CN"/>
        </w:rPr>
        <w:t>交付</w:t>
      </w:r>
      <w:r>
        <w:rPr>
          <w:rFonts w:hint="eastAsia" w:ascii="宋体" w:hAnsi="宋体" w:eastAsia="宋体" w:cs="宋体"/>
          <w:iCs/>
          <w:color w:val="auto"/>
          <w:szCs w:val="21"/>
        </w:rPr>
        <w:t>：《</w:t>
      </w:r>
      <w:r>
        <w:rPr>
          <w:rFonts w:hint="eastAsia" w:ascii="宋体" w:hAnsi="宋体" w:eastAsia="宋体" w:cs="宋体"/>
          <w:iCs/>
          <w:color w:val="auto"/>
          <w:szCs w:val="21"/>
          <w:lang w:val="en-US" w:eastAsia="zh-CN"/>
        </w:rPr>
        <w:t>网络</w:t>
      </w:r>
      <w:r>
        <w:rPr>
          <w:rFonts w:hint="eastAsia" w:ascii="宋体" w:hAnsi="宋体" w:eastAsia="宋体" w:cs="宋体"/>
          <w:iCs/>
          <w:color w:val="auto"/>
          <w:szCs w:val="21"/>
        </w:rPr>
        <w:t>资产台账清单》。</w:t>
      </w:r>
    </w:p>
    <w:p w14:paraId="6034937C">
      <w:pPr>
        <w:pStyle w:val="27"/>
        <w:numPr>
          <w:ilvl w:val="0"/>
          <w:numId w:val="79"/>
        </w:numPr>
        <w:ind w:firstLineChars="0"/>
        <w:rPr>
          <w:rFonts w:hint="eastAsia" w:ascii="宋体" w:hAnsi="宋体" w:eastAsia="宋体" w:cs="宋体"/>
          <w:iCs/>
          <w:color w:val="auto"/>
          <w:szCs w:val="21"/>
        </w:rPr>
      </w:pPr>
      <w:r>
        <w:rPr>
          <w:rFonts w:hint="eastAsia" w:ascii="宋体" w:hAnsi="宋体" w:eastAsia="宋体" w:cs="宋体"/>
          <w:iCs/>
          <w:color w:val="auto"/>
          <w:szCs w:val="21"/>
        </w:rPr>
        <w:t>高级安全检测服务</w:t>
      </w:r>
    </w:p>
    <w:p w14:paraId="57E08F5E">
      <w:pPr>
        <w:pStyle w:val="27"/>
        <w:widowControl/>
        <w:numPr>
          <w:ilvl w:val="0"/>
          <w:numId w:val="84"/>
        </w:numPr>
        <w:snapToGrid w:val="0"/>
        <w:spacing w:line="360" w:lineRule="auto"/>
        <w:ind w:left="420" w:leftChars="0" w:hanging="420"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及时发现学校存在的弱口令、高危漏洞、基线不合规、高危端口等安全隐患，避免引发安全事件被通报。</w:t>
      </w:r>
    </w:p>
    <w:p w14:paraId="0996BE82">
      <w:pPr>
        <w:pStyle w:val="27"/>
        <w:widowControl/>
        <w:numPr>
          <w:ilvl w:val="0"/>
          <w:numId w:val="84"/>
        </w:numPr>
        <w:snapToGrid w:val="0"/>
        <w:spacing w:line="360" w:lineRule="auto"/>
        <w:ind w:left="420" w:leftChars="0" w:hanging="420"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服务内容：通过专业漏洞扫描工具</w:t>
      </w:r>
      <w:r>
        <w:rPr>
          <w:rFonts w:hint="eastAsia" w:ascii="宋体" w:hAnsi="宋体" w:eastAsia="宋体" w:cs="宋体"/>
          <w:iCs/>
          <w:color w:val="auto"/>
          <w:szCs w:val="21"/>
          <w:lang w:eastAsia="zh-CN"/>
        </w:rPr>
        <w:t>、</w:t>
      </w:r>
      <w:r>
        <w:rPr>
          <w:rFonts w:hint="eastAsia" w:ascii="宋体" w:hAnsi="宋体" w:eastAsia="宋体" w:cs="宋体"/>
          <w:iCs/>
          <w:color w:val="auto"/>
          <w:szCs w:val="21"/>
          <w:lang w:val="en-US" w:eastAsia="zh-CN"/>
        </w:rPr>
        <w:t>代码审计工具和专家</w:t>
      </w:r>
      <w:r>
        <w:rPr>
          <w:rFonts w:hint="eastAsia" w:ascii="宋体" w:hAnsi="宋体" w:eastAsia="宋体" w:cs="宋体"/>
          <w:iCs/>
          <w:color w:val="auto"/>
          <w:szCs w:val="21"/>
        </w:rPr>
        <w:t>渗透测试帮助学校及时发现电脑终端、服务器、业务系统（网站）、数据库、摄像头、打印机、网络设备等各类信息资产存在的弱口令、高危漏洞、高危端口等风险隐患，并提出整改方案；</w:t>
      </w:r>
    </w:p>
    <w:p w14:paraId="15A36250">
      <w:pPr>
        <w:pStyle w:val="27"/>
        <w:widowControl/>
        <w:numPr>
          <w:ilvl w:val="0"/>
          <w:numId w:val="84"/>
        </w:numPr>
        <w:snapToGrid w:val="0"/>
        <w:spacing w:line="360" w:lineRule="auto"/>
        <w:ind w:left="420" w:leftChars="0" w:hanging="420" w:firstLineChars="0"/>
        <w:contextualSpacing/>
        <w:rPr>
          <w:rFonts w:hint="eastAsia" w:ascii="宋体" w:hAnsi="宋体" w:eastAsia="宋体" w:cs="宋体"/>
          <w:iCs/>
          <w:color w:val="auto"/>
          <w:szCs w:val="21"/>
        </w:rPr>
      </w:pPr>
      <w:r>
        <w:rPr>
          <w:rFonts w:hint="eastAsia" w:ascii="宋体" w:hAnsi="宋体" w:eastAsia="宋体" w:cs="宋体"/>
          <w:iCs/>
          <w:color w:val="auto"/>
          <w:szCs w:val="21"/>
        </w:rPr>
        <w:t>服务频次：每学期1次，1年2次；</w:t>
      </w:r>
    </w:p>
    <w:p w14:paraId="447A271A">
      <w:pPr>
        <w:pStyle w:val="27"/>
        <w:widowControl/>
        <w:numPr>
          <w:ilvl w:val="0"/>
          <w:numId w:val="84"/>
        </w:numPr>
        <w:snapToGrid w:val="0"/>
        <w:spacing w:line="360" w:lineRule="auto"/>
        <w:ind w:left="420" w:leftChars="0" w:hanging="420" w:firstLineChars="0"/>
        <w:contextualSpacing/>
        <w:rPr>
          <w:rFonts w:hint="eastAsia" w:ascii="宋体" w:hAnsi="宋体" w:eastAsia="宋体" w:cs="宋体"/>
          <w:iCs/>
          <w:color w:val="auto"/>
          <w:szCs w:val="21"/>
        </w:rPr>
      </w:pPr>
      <w:r>
        <w:rPr>
          <w:rFonts w:hint="eastAsia" w:ascii="宋体" w:hAnsi="宋体" w:eastAsia="宋体" w:cs="宋体"/>
          <w:iCs/>
          <w:color w:val="auto"/>
          <w:szCs w:val="21"/>
          <w:lang w:eastAsia="zh-CN"/>
        </w:rPr>
        <w:t>服务交付</w:t>
      </w:r>
      <w:r>
        <w:rPr>
          <w:rFonts w:hint="eastAsia" w:ascii="宋体" w:hAnsi="宋体" w:eastAsia="宋体" w:cs="宋体"/>
          <w:iCs/>
          <w:color w:val="auto"/>
          <w:szCs w:val="21"/>
        </w:rPr>
        <w:t>：《风险检测报告》。</w:t>
      </w:r>
    </w:p>
    <w:p w14:paraId="452180EA">
      <w:pPr>
        <w:pStyle w:val="27"/>
        <w:widowControl/>
        <w:numPr>
          <w:ilvl w:val="0"/>
          <w:numId w:val="84"/>
        </w:numPr>
        <w:snapToGrid w:val="0"/>
        <w:spacing w:line="360" w:lineRule="auto"/>
        <w:ind w:left="420" w:leftChars="0" w:hanging="420" w:firstLineChars="0"/>
        <w:contextualSpacing/>
        <w:rPr>
          <w:rFonts w:hint="eastAsia" w:ascii="宋体" w:hAnsi="宋体" w:eastAsia="宋体" w:cs="宋体"/>
          <w:iCs/>
          <w:color w:val="auto"/>
          <w:szCs w:val="21"/>
        </w:rPr>
      </w:pPr>
      <w:r>
        <w:rPr>
          <w:rFonts w:hint="eastAsia" w:ascii="宋体" w:hAnsi="宋体" w:eastAsia="宋体" w:cs="宋体"/>
          <w:iCs/>
          <w:color w:val="auto"/>
          <w:szCs w:val="21"/>
          <w:lang w:val="en-US" w:eastAsia="zh-CN"/>
        </w:rPr>
        <w:t>乙方</w:t>
      </w:r>
      <w:r>
        <w:rPr>
          <w:rFonts w:hint="eastAsia" w:ascii="宋体" w:hAnsi="宋体" w:eastAsia="宋体" w:cs="宋体"/>
          <w:iCs/>
          <w:color w:val="auto"/>
          <w:szCs w:val="21"/>
        </w:rPr>
        <w:t>需提供专业</w:t>
      </w:r>
      <w:r>
        <w:rPr>
          <w:rFonts w:hint="eastAsia" w:ascii="宋体" w:hAnsi="宋体" w:eastAsia="宋体" w:cs="宋体"/>
          <w:iCs/>
          <w:color w:val="auto"/>
          <w:szCs w:val="21"/>
          <w:lang w:val="en-US" w:eastAsia="zh-CN"/>
        </w:rPr>
        <w:t>的</w:t>
      </w:r>
      <w:r>
        <w:rPr>
          <w:rFonts w:hint="eastAsia" w:ascii="宋体" w:hAnsi="宋体" w:eastAsia="宋体" w:cs="宋体"/>
          <w:iCs/>
          <w:color w:val="auto"/>
          <w:szCs w:val="21"/>
        </w:rPr>
        <w:t>漏洞扫描工具，技术参数要求如下：</w:t>
      </w:r>
    </w:p>
    <w:tbl>
      <w:tblPr>
        <w:tblStyle w:val="15"/>
        <w:tblW w:w="9078"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50"/>
        <w:gridCol w:w="8528"/>
      </w:tblGrid>
      <w:tr w14:paraId="47C3C5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550" w:type="dxa"/>
            <w:vAlign w:val="center"/>
          </w:tcPr>
          <w:p w14:paraId="50E40A13">
            <w:pPr>
              <w:widowControl w:val="0"/>
              <w:spacing w:line="360" w:lineRule="auto"/>
              <w:ind w:left="82"/>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序号</w:t>
            </w:r>
          </w:p>
        </w:tc>
        <w:tc>
          <w:tcPr>
            <w:tcW w:w="8528" w:type="dxa"/>
            <w:vAlign w:val="center"/>
          </w:tcPr>
          <w:p w14:paraId="04C85E66">
            <w:pPr>
              <w:widowControl w:val="0"/>
              <w:spacing w:line="360" w:lineRule="auto"/>
              <w:ind w:left="82"/>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技术指标要求</w:t>
            </w:r>
          </w:p>
        </w:tc>
      </w:tr>
      <w:tr w14:paraId="1ED8C2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50" w:type="dxa"/>
            <w:vAlign w:val="center"/>
          </w:tcPr>
          <w:p w14:paraId="351F1D8C">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1</w:t>
            </w:r>
          </w:p>
        </w:tc>
        <w:tc>
          <w:tcPr>
            <w:tcW w:w="8528" w:type="dxa"/>
            <w:vAlign w:val="center"/>
          </w:tcPr>
          <w:p w14:paraId="6E832532">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漏洞扫描系统支持实现对主流操作系统（如windows、liunx等）、主流数据库（如oracle、mysql、sql server等）、中间件、网络及安全设备的配置安全合规检测。</w:t>
            </w:r>
          </w:p>
        </w:tc>
      </w:tr>
      <w:tr w14:paraId="7A6061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50" w:type="dxa"/>
            <w:vAlign w:val="center"/>
          </w:tcPr>
          <w:p w14:paraId="6004BE85">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w:t>
            </w:r>
          </w:p>
        </w:tc>
        <w:tc>
          <w:tcPr>
            <w:tcW w:w="8528" w:type="dxa"/>
            <w:vAlign w:val="center"/>
          </w:tcPr>
          <w:p w14:paraId="4AE2E6B2">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漏洞扫描系统支持可检测的漏洞类型兼容CVE、CNCVE、CNNVD、CNVD、Bugtraq等主流标准。</w:t>
            </w:r>
          </w:p>
        </w:tc>
      </w:tr>
      <w:tr w14:paraId="415D2C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50" w:type="dxa"/>
            <w:vAlign w:val="center"/>
          </w:tcPr>
          <w:p w14:paraId="36B68602">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3</w:t>
            </w:r>
          </w:p>
        </w:tc>
        <w:tc>
          <w:tcPr>
            <w:tcW w:w="8528" w:type="dxa"/>
            <w:vAlign w:val="center"/>
          </w:tcPr>
          <w:p w14:paraId="491EE001">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漏洞扫描系统内置不同的漏洞模板针对Unix、Windows操作系统、网络设备和防火墙等模板，同时支持用户自定义扫描范围和扫描策略。</w:t>
            </w:r>
          </w:p>
        </w:tc>
      </w:tr>
      <w:tr w14:paraId="187F55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33" w:hRule="atLeast"/>
        </w:trPr>
        <w:tc>
          <w:tcPr>
            <w:tcW w:w="550" w:type="dxa"/>
            <w:vAlign w:val="center"/>
          </w:tcPr>
          <w:p w14:paraId="42B0B4A2">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4</w:t>
            </w:r>
          </w:p>
        </w:tc>
        <w:tc>
          <w:tcPr>
            <w:tcW w:w="8528" w:type="dxa"/>
            <w:vAlign w:val="center"/>
          </w:tcPr>
          <w:p w14:paraId="68F5A683">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漏洞扫描系统需具备单独口令猜测扫描任务，支持多种口令猜测方式，包括利用SMB、TE LNET、FTP、SSH、POP3、TOMCAT、SQL SERVER、MYSQL、ORACLE、SYBASE、DB2、SNMP等协议进行口令猜测，允许外挂用户提供的用户名字典、密码字典和用户名密码组合字典。</w:t>
            </w:r>
          </w:p>
        </w:tc>
      </w:tr>
      <w:tr w14:paraId="537DF7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09" w:hRule="atLeast"/>
        </w:trPr>
        <w:tc>
          <w:tcPr>
            <w:tcW w:w="550" w:type="dxa"/>
            <w:vAlign w:val="center"/>
          </w:tcPr>
          <w:p w14:paraId="17146303">
            <w:pPr>
              <w:keepNext w:val="0"/>
              <w:keepLines w:val="0"/>
              <w:pageBreakBefore w:val="0"/>
              <w:widowControl w:val="0"/>
              <w:kinsoku/>
              <w:wordWrap/>
              <w:overflowPunct/>
              <w:topLinePunct w:val="0"/>
              <w:autoSpaceDE/>
              <w:autoSpaceDN/>
              <w:bidi w:val="0"/>
              <w:adjustRightInd/>
              <w:spacing w:before="437" w:beforeLines="100" w:line="360" w:lineRule="auto"/>
              <w:ind w:left="88"/>
              <w:jc w:val="center"/>
              <w:textAlignment w:val="auto"/>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5</w:t>
            </w:r>
          </w:p>
        </w:tc>
        <w:tc>
          <w:tcPr>
            <w:tcW w:w="8528" w:type="dxa"/>
            <w:vAlign w:val="center"/>
          </w:tcPr>
          <w:p w14:paraId="6B457D39">
            <w:pPr>
              <w:keepNext w:val="0"/>
              <w:keepLines w:val="0"/>
              <w:pageBreakBefore w:val="0"/>
              <w:widowControl w:val="0"/>
              <w:kinsoku/>
              <w:wordWrap/>
              <w:overflowPunct/>
              <w:topLinePunct w:val="0"/>
              <w:autoSpaceDE/>
              <w:autoSpaceDN/>
              <w:bidi w:val="0"/>
              <w:adjustRightInd/>
              <w:snapToGrid/>
              <w:spacing w:before="0" w:beforeLines="0" w:line="360" w:lineRule="auto"/>
              <w:jc w:val="both"/>
              <w:textAlignment w:val="auto"/>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漏洞扫描系统需具有通过仪表盘直观展示资产风险值、主机风险等级分布、资产风险趋势、资产风险分布趋势等内容，并可查看详情。同时支持导出相应的检查报表。</w:t>
            </w:r>
          </w:p>
        </w:tc>
      </w:tr>
    </w:tbl>
    <w:p w14:paraId="0DA315E8">
      <w:pPr>
        <w:pStyle w:val="27"/>
        <w:numPr>
          <w:ilvl w:val="0"/>
          <w:numId w:val="79"/>
        </w:numPr>
        <w:ind w:firstLineChars="0"/>
        <w:rPr>
          <w:rFonts w:hint="eastAsia" w:ascii="宋体" w:hAnsi="宋体" w:eastAsia="宋体" w:cs="宋体"/>
          <w:b w:val="0"/>
          <w:bCs w:val="0"/>
          <w:color w:val="auto"/>
          <w:szCs w:val="21"/>
        </w:rPr>
      </w:pPr>
      <w:r>
        <w:rPr>
          <w:rFonts w:hint="eastAsia" w:ascii="宋体" w:hAnsi="宋体" w:eastAsia="宋体" w:cs="宋体"/>
          <w:b w:val="0"/>
          <w:bCs w:val="0"/>
          <w:color w:val="auto"/>
          <w:szCs w:val="21"/>
          <w:lang w:val="en-US" w:eastAsia="zh-CN"/>
        </w:rPr>
        <w:t>乙方</w:t>
      </w:r>
      <w:r>
        <w:rPr>
          <w:rFonts w:hint="eastAsia" w:ascii="宋体" w:hAnsi="宋体" w:eastAsia="宋体" w:cs="宋体"/>
          <w:b w:val="0"/>
          <w:bCs w:val="0"/>
          <w:color w:val="auto"/>
          <w:szCs w:val="21"/>
        </w:rPr>
        <w:t>需提供针对摄像头、视频监控系统的风险评估工具，技术参数要求如下：</w:t>
      </w:r>
    </w:p>
    <w:tbl>
      <w:tblPr>
        <w:tblStyle w:val="15"/>
        <w:tblpPr w:leftFromText="180" w:rightFromText="180" w:vertAnchor="text" w:horzAnchor="page" w:tblpX="1419" w:tblpY="369"/>
        <w:tblOverlap w:val="never"/>
        <w:tblW w:w="9083"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66"/>
        <w:gridCol w:w="8517"/>
      </w:tblGrid>
      <w:tr w14:paraId="3E8BE0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566" w:type="dxa"/>
            <w:vAlign w:val="center"/>
          </w:tcPr>
          <w:p w14:paraId="3BEA2DFD">
            <w:pPr>
              <w:widowControl w:val="0"/>
              <w:spacing w:line="360" w:lineRule="auto"/>
              <w:ind w:left="82"/>
              <w:jc w:val="center"/>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序号</w:t>
            </w:r>
          </w:p>
        </w:tc>
        <w:tc>
          <w:tcPr>
            <w:tcW w:w="8517" w:type="dxa"/>
            <w:vAlign w:val="center"/>
          </w:tcPr>
          <w:p w14:paraId="7DB46F69">
            <w:pPr>
              <w:widowControl w:val="0"/>
              <w:spacing w:line="360" w:lineRule="auto"/>
              <w:ind w:left="82"/>
              <w:jc w:val="center"/>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指标详细内容</w:t>
            </w:r>
          </w:p>
        </w:tc>
      </w:tr>
      <w:tr w14:paraId="1C39C0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66" w:type="dxa"/>
            <w:vAlign w:val="center"/>
          </w:tcPr>
          <w:p w14:paraId="08AE6FDE">
            <w:pPr>
              <w:widowControl w:val="0"/>
              <w:spacing w:line="360" w:lineRule="auto"/>
              <w:ind w:left="88"/>
              <w:jc w:val="center"/>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1</w:t>
            </w:r>
          </w:p>
        </w:tc>
        <w:tc>
          <w:tcPr>
            <w:tcW w:w="8517" w:type="dxa"/>
            <w:vAlign w:val="center"/>
          </w:tcPr>
          <w:p w14:paraId="7CF7909D">
            <w:pPr>
              <w:widowControl w:val="0"/>
              <w:spacing w:line="360" w:lineRule="auto"/>
              <w:ind w:left="82"/>
              <w:jc w:val="both"/>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u w:val="none"/>
                <w:lang w:val="zh-CN" w:eastAsia="zh-CN" w:bidi="zh-CN"/>
              </w:rPr>
              <w:t>有设备指纹库。要求设备指纹库支持海康、大华、宇视、同为、天地伟业、亚安、中星微、雄迈、三星、索尼、晶睿、友讯、安迅士、派尔高、奇偶科技、Lilin、LinkSys、Y-cam和Intellinet</w:t>
            </w:r>
            <w:r>
              <w:rPr>
                <w:rFonts w:hint="eastAsia" w:ascii="宋体" w:hAnsi="宋体" w:eastAsia="宋体" w:cs="宋体"/>
                <w:b w:val="0"/>
                <w:bCs w:val="0"/>
                <w:color w:val="auto"/>
                <w:kern w:val="2"/>
                <w:sz w:val="21"/>
                <w:szCs w:val="21"/>
                <w:u w:val="none"/>
                <w:lang w:val="en-US" w:eastAsia="zh-CN" w:bidi="zh-CN"/>
              </w:rPr>
              <w:t>或更多</w:t>
            </w:r>
            <w:r>
              <w:rPr>
                <w:rFonts w:hint="eastAsia" w:ascii="宋体" w:hAnsi="宋体" w:eastAsia="宋体" w:cs="宋体"/>
                <w:b w:val="0"/>
                <w:bCs w:val="0"/>
                <w:color w:val="auto"/>
                <w:kern w:val="2"/>
                <w:sz w:val="21"/>
                <w:szCs w:val="21"/>
                <w:u w:val="none"/>
                <w:lang w:val="zh-CN" w:eastAsia="zh-CN" w:bidi="zh-CN"/>
              </w:rPr>
              <w:t>主流厂商的网络摄像机、NVR、DVR设备</w:t>
            </w:r>
            <w:r>
              <w:rPr>
                <w:rFonts w:hint="eastAsia" w:ascii="宋体" w:hAnsi="宋体" w:eastAsia="宋体" w:cs="宋体"/>
                <w:b w:val="0"/>
                <w:bCs w:val="0"/>
                <w:color w:val="auto"/>
                <w:kern w:val="2"/>
                <w:sz w:val="21"/>
                <w:szCs w:val="21"/>
                <w:u w:val="none"/>
                <w:lang w:val="en-US" w:eastAsia="zh-CN" w:bidi="ar-SA"/>
              </w:rPr>
              <w:t>。</w:t>
            </w:r>
          </w:p>
        </w:tc>
      </w:tr>
      <w:tr w14:paraId="460A50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9" w:hRule="atLeast"/>
        </w:trPr>
        <w:tc>
          <w:tcPr>
            <w:tcW w:w="566" w:type="dxa"/>
            <w:vAlign w:val="center"/>
          </w:tcPr>
          <w:p w14:paraId="1D585FD6">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w:t>
            </w:r>
          </w:p>
        </w:tc>
        <w:tc>
          <w:tcPr>
            <w:tcW w:w="8517" w:type="dxa"/>
            <w:vAlign w:val="center"/>
          </w:tcPr>
          <w:p w14:paraId="3B65C556">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zh-CN" w:eastAsia="zh-CN" w:bidi="zh-CN"/>
              </w:rPr>
              <w:t>具有</w:t>
            </w:r>
            <w:r>
              <w:rPr>
                <w:rFonts w:hint="eastAsia" w:ascii="宋体" w:hAnsi="宋体" w:eastAsia="宋体" w:cs="宋体"/>
                <w:color w:val="auto"/>
                <w:kern w:val="2"/>
                <w:sz w:val="21"/>
                <w:szCs w:val="21"/>
                <w:lang w:val="en-US" w:eastAsia="zh-CN" w:bidi="zh-CN"/>
              </w:rPr>
              <w:t>RTSP</w:t>
            </w:r>
            <w:r>
              <w:rPr>
                <w:rFonts w:hint="eastAsia" w:ascii="宋体" w:hAnsi="宋体" w:eastAsia="宋体" w:cs="宋体"/>
                <w:color w:val="auto"/>
                <w:kern w:val="2"/>
                <w:sz w:val="21"/>
                <w:szCs w:val="21"/>
                <w:lang w:val="zh-CN" w:eastAsia="zh-CN" w:bidi="zh-CN"/>
              </w:rPr>
              <w:t>、</w:t>
            </w:r>
            <w:r>
              <w:rPr>
                <w:rFonts w:hint="eastAsia" w:ascii="宋体" w:hAnsi="宋体" w:eastAsia="宋体" w:cs="宋体"/>
                <w:color w:val="auto"/>
                <w:kern w:val="2"/>
                <w:sz w:val="21"/>
                <w:szCs w:val="21"/>
                <w:lang w:val="en-US" w:eastAsia="zh-CN" w:bidi="zh-CN"/>
              </w:rPr>
              <w:t>ONVIF</w:t>
            </w:r>
            <w:r>
              <w:rPr>
                <w:rFonts w:hint="eastAsia" w:ascii="宋体" w:hAnsi="宋体" w:eastAsia="宋体" w:cs="宋体"/>
                <w:color w:val="auto"/>
                <w:kern w:val="2"/>
                <w:sz w:val="21"/>
                <w:szCs w:val="21"/>
                <w:lang w:val="zh-CN" w:eastAsia="zh-CN" w:bidi="zh-CN"/>
              </w:rPr>
              <w:t>、</w:t>
            </w:r>
            <w:r>
              <w:rPr>
                <w:rFonts w:hint="eastAsia" w:ascii="宋体" w:hAnsi="宋体" w:eastAsia="宋体" w:cs="宋体"/>
                <w:color w:val="auto"/>
                <w:kern w:val="2"/>
                <w:sz w:val="21"/>
                <w:szCs w:val="21"/>
                <w:lang w:val="en-US" w:eastAsia="zh-CN" w:bidi="zh-CN"/>
              </w:rPr>
              <w:t>PSIA</w:t>
            </w:r>
            <w:r>
              <w:rPr>
                <w:rFonts w:hint="eastAsia" w:ascii="宋体" w:hAnsi="宋体" w:eastAsia="宋体" w:cs="宋体"/>
                <w:color w:val="auto"/>
                <w:kern w:val="2"/>
                <w:sz w:val="21"/>
                <w:szCs w:val="21"/>
                <w:lang w:val="zh-CN" w:eastAsia="zh-CN" w:bidi="zh-CN"/>
              </w:rPr>
              <w:t>、</w:t>
            </w:r>
            <w:r>
              <w:rPr>
                <w:rFonts w:hint="eastAsia" w:ascii="宋体" w:hAnsi="宋体" w:eastAsia="宋体" w:cs="宋体"/>
                <w:color w:val="auto"/>
                <w:kern w:val="2"/>
                <w:sz w:val="21"/>
                <w:szCs w:val="21"/>
                <w:lang w:val="en-US" w:eastAsia="zh-CN" w:bidi="zh-CN"/>
              </w:rPr>
              <w:t>Telnet</w:t>
            </w:r>
            <w:r>
              <w:rPr>
                <w:rFonts w:hint="eastAsia" w:ascii="宋体" w:hAnsi="宋体" w:eastAsia="宋体" w:cs="宋体"/>
                <w:color w:val="auto"/>
                <w:kern w:val="2"/>
                <w:sz w:val="21"/>
                <w:szCs w:val="21"/>
                <w:lang w:val="zh-CN" w:eastAsia="zh-CN" w:bidi="zh-CN"/>
              </w:rPr>
              <w:t>、</w:t>
            </w:r>
            <w:r>
              <w:rPr>
                <w:rFonts w:hint="eastAsia" w:ascii="宋体" w:hAnsi="宋体" w:eastAsia="宋体" w:cs="宋体"/>
                <w:color w:val="auto"/>
                <w:kern w:val="2"/>
                <w:sz w:val="21"/>
                <w:szCs w:val="21"/>
                <w:lang w:val="en-US" w:eastAsia="zh-CN" w:bidi="zh-CN"/>
              </w:rPr>
              <w:t>SSH</w:t>
            </w:r>
            <w:r>
              <w:rPr>
                <w:rFonts w:hint="eastAsia" w:ascii="宋体" w:hAnsi="宋体" w:eastAsia="宋体" w:cs="宋体"/>
                <w:color w:val="auto"/>
                <w:kern w:val="2"/>
                <w:sz w:val="21"/>
                <w:szCs w:val="21"/>
                <w:lang w:val="zh-CN" w:eastAsia="zh-CN" w:bidi="zh-CN"/>
              </w:rPr>
              <w:t>、</w:t>
            </w:r>
            <w:r>
              <w:rPr>
                <w:rFonts w:hint="eastAsia" w:ascii="宋体" w:hAnsi="宋体" w:eastAsia="宋体" w:cs="宋体"/>
                <w:color w:val="auto"/>
                <w:kern w:val="2"/>
                <w:sz w:val="21"/>
                <w:szCs w:val="21"/>
                <w:lang w:val="en-US" w:eastAsia="zh-CN" w:bidi="zh-CN"/>
              </w:rPr>
              <w:t>HTTP</w:t>
            </w:r>
            <w:r>
              <w:rPr>
                <w:rFonts w:hint="eastAsia" w:ascii="宋体" w:hAnsi="宋体" w:eastAsia="宋体" w:cs="宋体"/>
                <w:color w:val="auto"/>
                <w:kern w:val="2"/>
                <w:sz w:val="21"/>
                <w:szCs w:val="21"/>
                <w:lang w:val="zh-CN" w:eastAsia="zh-CN" w:bidi="zh-CN"/>
              </w:rPr>
              <w:t>、</w:t>
            </w:r>
            <w:r>
              <w:rPr>
                <w:rFonts w:hint="eastAsia" w:ascii="宋体" w:hAnsi="宋体" w:eastAsia="宋体" w:cs="宋体"/>
                <w:color w:val="auto"/>
                <w:kern w:val="2"/>
                <w:sz w:val="21"/>
                <w:szCs w:val="21"/>
                <w:lang w:val="en-US" w:eastAsia="zh-CN" w:bidi="zh-CN"/>
              </w:rPr>
              <w:t>SNMP</w:t>
            </w:r>
            <w:r>
              <w:rPr>
                <w:rFonts w:hint="eastAsia" w:ascii="宋体" w:hAnsi="宋体" w:eastAsia="宋体" w:cs="宋体"/>
                <w:color w:val="auto"/>
                <w:kern w:val="2"/>
                <w:sz w:val="21"/>
                <w:szCs w:val="21"/>
                <w:lang w:val="zh-CN" w:eastAsia="zh-CN" w:bidi="zh-CN"/>
              </w:rPr>
              <w:t>、</w:t>
            </w:r>
            <w:r>
              <w:rPr>
                <w:rFonts w:hint="eastAsia" w:ascii="宋体" w:hAnsi="宋体" w:eastAsia="宋体" w:cs="宋体"/>
                <w:color w:val="auto"/>
                <w:kern w:val="2"/>
                <w:sz w:val="21"/>
                <w:szCs w:val="21"/>
                <w:lang w:val="en-US" w:eastAsia="zh-CN" w:bidi="zh-CN"/>
              </w:rPr>
              <w:t>UPNP</w:t>
            </w:r>
            <w:r>
              <w:rPr>
                <w:rFonts w:hint="eastAsia" w:ascii="宋体" w:hAnsi="宋体" w:eastAsia="宋体" w:cs="宋体"/>
                <w:color w:val="auto"/>
                <w:kern w:val="2"/>
                <w:sz w:val="21"/>
                <w:szCs w:val="21"/>
                <w:lang w:val="zh-CN" w:eastAsia="zh-CN" w:bidi="zh-CN"/>
              </w:rPr>
              <w:t>等不少于</w:t>
            </w:r>
            <w:r>
              <w:rPr>
                <w:rFonts w:hint="eastAsia" w:ascii="宋体" w:hAnsi="宋体" w:eastAsia="宋体" w:cs="宋体"/>
                <w:color w:val="auto"/>
                <w:kern w:val="2"/>
                <w:sz w:val="21"/>
                <w:szCs w:val="21"/>
                <w:lang w:val="en-US" w:eastAsia="zh-CN" w:bidi="zh-CN"/>
              </w:rPr>
              <w:t>100</w:t>
            </w:r>
            <w:r>
              <w:rPr>
                <w:rFonts w:hint="eastAsia" w:ascii="宋体" w:hAnsi="宋体" w:eastAsia="宋体" w:cs="宋体"/>
                <w:color w:val="auto"/>
                <w:kern w:val="2"/>
                <w:sz w:val="21"/>
                <w:szCs w:val="21"/>
                <w:lang w:val="zh-CN" w:eastAsia="zh-CN" w:bidi="zh-CN"/>
              </w:rPr>
              <w:t>个协议指纹探测</w:t>
            </w:r>
            <w:r>
              <w:rPr>
                <w:rFonts w:hint="eastAsia" w:ascii="宋体" w:hAnsi="宋体" w:eastAsia="宋体" w:cs="宋体"/>
                <w:color w:val="auto"/>
                <w:kern w:val="2"/>
                <w:sz w:val="21"/>
                <w:szCs w:val="21"/>
                <w:lang w:val="en-US" w:eastAsia="zh-CN" w:bidi="ar-SA"/>
              </w:rPr>
              <w:t>。</w:t>
            </w:r>
          </w:p>
        </w:tc>
      </w:tr>
      <w:tr w14:paraId="110EBF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66" w:type="dxa"/>
            <w:vAlign w:val="center"/>
          </w:tcPr>
          <w:p w14:paraId="52A697AB">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3</w:t>
            </w:r>
          </w:p>
        </w:tc>
        <w:tc>
          <w:tcPr>
            <w:tcW w:w="8517" w:type="dxa"/>
            <w:vAlign w:val="center"/>
          </w:tcPr>
          <w:p w14:paraId="6C906E07">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zh-CN" w:eastAsia="zh-CN" w:bidi="zh-CN"/>
              </w:rPr>
              <w:t>漏洞探测支持缓冲区溢出、SQL注入、XSS、命令注入、目录遍历、CGI认证缺失、ONVIF认证缺失、硬编码和验证绕过的类型，支持不少于150个以上漏洞的探测识别</w:t>
            </w:r>
            <w:r>
              <w:rPr>
                <w:rFonts w:hint="eastAsia" w:ascii="宋体" w:hAnsi="宋体" w:eastAsia="宋体" w:cs="宋体"/>
                <w:color w:val="auto"/>
                <w:kern w:val="2"/>
                <w:sz w:val="21"/>
                <w:szCs w:val="21"/>
                <w:lang w:val="en-US" w:eastAsia="zh-CN" w:bidi="ar-SA"/>
              </w:rPr>
              <w:t>。</w:t>
            </w:r>
          </w:p>
        </w:tc>
      </w:tr>
      <w:tr w14:paraId="2E50E9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566" w:type="dxa"/>
            <w:vAlign w:val="center"/>
          </w:tcPr>
          <w:p w14:paraId="50A5B44A">
            <w:pPr>
              <w:widowControl w:val="0"/>
              <w:spacing w:line="360" w:lineRule="auto"/>
              <w:ind w:left="88"/>
              <w:jc w:val="center"/>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4</w:t>
            </w:r>
          </w:p>
        </w:tc>
        <w:tc>
          <w:tcPr>
            <w:tcW w:w="8517" w:type="dxa"/>
            <w:vAlign w:val="center"/>
          </w:tcPr>
          <w:p w14:paraId="5B0F94CD">
            <w:pPr>
              <w:widowControl w:val="0"/>
              <w:spacing w:line="360" w:lineRule="auto"/>
              <w:ind w:left="82"/>
              <w:jc w:val="both"/>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zh-CN" w:eastAsia="zh-CN" w:bidi="zh-CN"/>
              </w:rPr>
              <w:t>漏洞验证支持选择是否检测破坏型漏洞</w:t>
            </w:r>
            <w:r>
              <w:rPr>
                <w:rFonts w:hint="eastAsia" w:ascii="宋体" w:hAnsi="宋体" w:eastAsia="宋体" w:cs="宋体"/>
                <w:b w:val="0"/>
                <w:bCs w:val="0"/>
                <w:color w:val="auto"/>
                <w:kern w:val="2"/>
                <w:sz w:val="21"/>
                <w:szCs w:val="21"/>
                <w:lang w:val="en-US" w:eastAsia="zh-CN" w:bidi="ar-SA"/>
              </w:rPr>
              <w:t>。</w:t>
            </w:r>
          </w:p>
        </w:tc>
      </w:tr>
      <w:tr w14:paraId="29D64A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66" w:type="dxa"/>
            <w:vAlign w:val="center"/>
          </w:tcPr>
          <w:p w14:paraId="3F570D5A">
            <w:pPr>
              <w:widowControl w:val="0"/>
              <w:spacing w:line="360" w:lineRule="auto"/>
              <w:ind w:left="88"/>
              <w:jc w:val="center"/>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5</w:t>
            </w:r>
          </w:p>
        </w:tc>
        <w:tc>
          <w:tcPr>
            <w:tcW w:w="8517" w:type="dxa"/>
            <w:vAlign w:val="center"/>
          </w:tcPr>
          <w:p w14:paraId="52FF1C37">
            <w:pPr>
              <w:widowControl w:val="0"/>
              <w:spacing w:line="360" w:lineRule="auto"/>
              <w:ind w:left="82"/>
              <w:jc w:val="both"/>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zh-CN" w:eastAsia="zh-CN" w:bidi="zh-CN"/>
              </w:rPr>
              <w:t>任务管理支持查看通过漏洞验证获取的信息，包括视频监控画面泄露等</w:t>
            </w:r>
            <w:r>
              <w:rPr>
                <w:rFonts w:hint="eastAsia" w:ascii="宋体" w:hAnsi="宋体" w:eastAsia="宋体" w:cs="宋体"/>
                <w:b w:val="0"/>
                <w:bCs w:val="0"/>
                <w:color w:val="auto"/>
                <w:kern w:val="2"/>
                <w:sz w:val="21"/>
                <w:szCs w:val="21"/>
                <w:lang w:val="en-US" w:eastAsia="zh-CN" w:bidi="ar-SA"/>
              </w:rPr>
              <w:t>。</w:t>
            </w:r>
          </w:p>
        </w:tc>
      </w:tr>
    </w:tbl>
    <w:p w14:paraId="5AC8EB3D">
      <w:pPr>
        <w:pStyle w:val="27"/>
        <w:numPr>
          <w:ilvl w:val="0"/>
          <w:numId w:val="79"/>
        </w:numPr>
        <w:ind w:firstLineChars="0"/>
        <w:rPr>
          <w:rFonts w:hint="eastAsia" w:ascii="宋体" w:hAnsi="宋体" w:eastAsia="宋体" w:cs="宋体"/>
          <w:b w:val="0"/>
          <w:bCs w:val="0"/>
          <w:color w:val="auto"/>
          <w:szCs w:val="21"/>
        </w:rPr>
      </w:pPr>
      <w:r>
        <w:rPr>
          <w:rFonts w:hint="eastAsia" w:ascii="宋体" w:hAnsi="宋体" w:eastAsia="宋体" w:cs="宋体"/>
          <w:b w:val="0"/>
          <w:bCs w:val="0"/>
          <w:color w:val="auto"/>
          <w:szCs w:val="21"/>
          <w:lang w:val="en-US" w:eastAsia="zh-CN"/>
        </w:rPr>
        <w:t>乙方</w:t>
      </w:r>
      <w:r>
        <w:rPr>
          <w:rFonts w:hint="eastAsia" w:ascii="宋体" w:hAnsi="宋体" w:eastAsia="宋体" w:cs="宋体"/>
          <w:b w:val="0"/>
          <w:bCs w:val="0"/>
          <w:color w:val="auto"/>
          <w:szCs w:val="21"/>
        </w:rPr>
        <w:t>需提供专业代码审计工具，技术参数要求如下：</w:t>
      </w:r>
    </w:p>
    <w:tbl>
      <w:tblPr>
        <w:tblStyle w:val="15"/>
        <w:tblW w:w="9078"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83"/>
        <w:gridCol w:w="8495"/>
      </w:tblGrid>
      <w:tr w14:paraId="575D77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583" w:type="dxa"/>
            <w:vAlign w:val="center"/>
          </w:tcPr>
          <w:p w14:paraId="5C473AC9">
            <w:pPr>
              <w:widowControl w:val="0"/>
              <w:spacing w:line="360" w:lineRule="auto"/>
              <w:ind w:left="82"/>
              <w:jc w:val="center"/>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序号</w:t>
            </w:r>
          </w:p>
        </w:tc>
        <w:tc>
          <w:tcPr>
            <w:tcW w:w="8495" w:type="dxa"/>
            <w:vAlign w:val="center"/>
          </w:tcPr>
          <w:p w14:paraId="44A6434D">
            <w:pPr>
              <w:widowControl w:val="0"/>
              <w:spacing w:line="360" w:lineRule="auto"/>
              <w:ind w:left="82"/>
              <w:jc w:val="center"/>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指标详细内容</w:t>
            </w:r>
          </w:p>
        </w:tc>
      </w:tr>
      <w:tr w14:paraId="00A98A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83" w:type="dxa"/>
            <w:vAlign w:val="center"/>
          </w:tcPr>
          <w:p w14:paraId="3B7C34DB">
            <w:pPr>
              <w:widowControl w:val="0"/>
              <w:spacing w:line="360" w:lineRule="auto"/>
              <w:ind w:left="88"/>
              <w:jc w:val="center"/>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1</w:t>
            </w:r>
          </w:p>
        </w:tc>
        <w:tc>
          <w:tcPr>
            <w:tcW w:w="8495" w:type="dxa"/>
            <w:vAlign w:val="center"/>
          </w:tcPr>
          <w:p w14:paraId="0CA1B3FE">
            <w:pPr>
              <w:widowControl w:val="0"/>
              <w:spacing w:line="360" w:lineRule="auto"/>
              <w:ind w:left="82"/>
              <w:jc w:val="both"/>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支持Java /Python/C/C++/C#/Go/PHP/JavaScript/Swift/Ruby等不少于10种主流编程语言开发的软件源代码检测；支持基于收集流量重放请求与基于代码数据流安装插桩Agent的两种模式，其中插桩模式支持Java、Golang、.NET Framework、.NET Core、Node.js、Python、PHP等七种语言。</w:t>
            </w:r>
          </w:p>
        </w:tc>
      </w:tr>
      <w:tr w14:paraId="5694AD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583" w:type="dxa"/>
            <w:vAlign w:val="center"/>
          </w:tcPr>
          <w:p w14:paraId="4785EEF6">
            <w:pPr>
              <w:widowControl w:val="0"/>
              <w:spacing w:line="360" w:lineRule="auto"/>
              <w:ind w:left="88"/>
              <w:jc w:val="center"/>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2</w:t>
            </w:r>
          </w:p>
        </w:tc>
        <w:tc>
          <w:tcPr>
            <w:tcW w:w="8495" w:type="dxa"/>
            <w:vAlign w:val="center"/>
          </w:tcPr>
          <w:p w14:paraId="3FD6B4F1">
            <w:pPr>
              <w:widowControl w:val="0"/>
              <w:spacing w:line="360" w:lineRule="auto"/>
              <w:jc w:val="both"/>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支持多种检测依赖分析技术，包括但不限于包管理扫描、模拟构建、代码片段扫描、镜像扫描等。</w:t>
            </w:r>
          </w:p>
        </w:tc>
      </w:tr>
      <w:tr w14:paraId="307FC4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9" w:hRule="atLeast"/>
        </w:trPr>
        <w:tc>
          <w:tcPr>
            <w:tcW w:w="583" w:type="dxa"/>
            <w:vAlign w:val="center"/>
          </w:tcPr>
          <w:p w14:paraId="019395AD">
            <w:pPr>
              <w:widowControl w:val="0"/>
              <w:spacing w:line="360" w:lineRule="auto"/>
              <w:ind w:left="88"/>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3</w:t>
            </w:r>
          </w:p>
        </w:tc>
        <w:tc>
          <w:tcPr>
            <w:tcW w:w="8495" w:type="dxa"/>
            <w:vAlign w:val="center"/>
          </w:tcPr>
          <w:p w14:paraId="4D2255F7">
            <w:pPr>
              <w:widowControl w:val="0"/>
              <w:spacing w:line="360" w:lineRule="auto"/>
              <w:ind w:left="82"/>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支持软件成分安全风险管理，支持CVE、CNVD、CNNVD等漏洞库相关展示，内容包括但不限于：漏洞名称、漏洞等级、威胁类型、公布时间、更新时间、CPE2.3、CVSS2.0评分、厂商、漏洞描述、参考链接等。</w:t>
            </w:r>
          </w:p>
        </w:tc>
      </w:tr>
    </w:tbl>
    <w:p w14:paraId="447D742C">
      <w:pPr>
        <w:pStyle w:val="27"/>
        <w:numPr>
          <w:ilvl w:val="0"/>
          <w:numId w:val="79"/>
        </w:numPr>
        <w:ind w:firstLineChars="0"/>
        <w:rPr>
          <w:rFonts w:hint="eastAsia" w:ascii="宋体" w:hAnsi="宋体" w:eastAsia="宋体" w:cs="宋体"/>
          <w:color w:val="auto"/>
          <w:szCs w:val="21"/>
        </w:rPr>
      </w:pPr>
      <w:r>
        <w:rPr>
          <w:rFonts w:hint="eastAsia" w:ascii="宋体" w:hAnsi="宋体" w:eastAsia="宋体" w:cs="宋体"/>
          <w:color w:val="auto"/>
          <w:szCs w:val="21"/>
        </w:rPr>
        <w:t>远程巡检处置服务</w:t>
      </w:r>
    </w:p>
    <w:p w14:paraId="23BC2150">
      <w:pPr>
        <w:pStyle w:val="27"/>
        <w:widowControl/>
        <w:numPr>
          <w:ilvl w:val="0"/>
          <w:numId w:val="85"/>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rPr>
        <w:t>安全专家通过远程方式，为学校提供日常巡检、漏洞修复、事件处置、配置整改等服务。</w:t>
      </w:r>
    </w:p>
    <w:p w14:paraId="03216658">
      <w:pPr>
        <w:pStyle w:val="27"/>
        <w:widowControl/>
        <w:numPr>
          <w:ilvl w:val="0"/>
          <w:numId w:val="85"/>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rPr>
        <w:t>服务内容：对终端电脑、网络设备、安全设备等进行定期巡检，对高危漏洞进行修复，对安全事件进行排查处置，帮助学校关注并按时处理市教育局下发的工单</w:t>
      </w:r>
      <w:r>
        <w:rPr>
          <w:rFonts w:hint="eastAsia" w:ascii="宋体" w:hAnsi="宋体" w:eastAsia="宋体" w:cs="宋体"/>
          <w:color w:val="auto"/>
          <w:szCs w:val="21"/>
          <w:lang w:eastAsia="zh-CN"/>
        </w:rPr>
        <w:t>。</w:t>
      </w:r>
    </w:p>
    <w:p w14:paraId="7EB95A79">
      <w:pPr>
        <w:pStyle w:val="27"/>
        <w:widowControl/>
        <w:numPr>
          <w:ilvl w:val="0"/>
          <w:numId w:val="85"/>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rPr>
        <w:t>服务频次：每周巡检1次，每个月出具一份报告；</w:t>
      </w:r>
    </w:p>
    <w:p w14:paraId="347B5CDB">
      <w:pPr>
        <w:pStyle w:val="27"/>
        <w:widowControl/>
        <w:numPr>
          <w:ilvl w:val="0"/>
          <w:numId w:val="85"/>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lang w:eastAsia="zh-CN"/>
        </w:rPr>
        <w:t>服务交付</w:t>
      </w:r>
      <w:r>
        <w:rPr>
          <w:rFonts w:hint="eastAsia" w:ascii="宋体" w:hAnsi="宋体" w:eastAsia="宋体" w:cs="宋体"/>
          <w:color w:val="auto"/>
          <w:szCs w:val="21"/>
        </w:rPr>
        <w:t>：《</w:t>
      </w:r>
      <w:r>
        <w:rPr>
          <w:rFonts w:hint="eastAsia" w:ascii="宋体" w:hAnsi="宋体" w:eastAsia="宋体" w:cs="宋体"/>
          <w:color w:val="auto"/>
          <w:szCs w:val="21"/>
          <w:lang w:val="en-US" w:eastAsia="zh-CN"/>
        </w:rPr>
        <w:t>远程</w:t>
      </w:r>
      <w:r>
        <w:rPr>
          <w:rFonts w:hint="eastAsia" w:ascii="宋体" w:hAnsi="宋体" w:eastAsia="宋体" w:cs="宋体"/>
          <w:color w:val="auto"/>
          <w:szCs w:val="21"/>
        </w:rPr>
        <w:t>巡检处置报告》。</w:t>
      </w:r>
    </w:p>
    <w:p w14:paraId="6EF347E3">
      <w:pPr>
        <w:pStyle w:val="27"/>
        <w:numPr>
          <w:ilvl w:val="0"/>
          <w:numId w:val="79"/>
        </w:numPr>
        <w:ind w:firstLineChars="0"/>
        <w:rPr>
          <w:rFonts w:hint="eastAsia" w:ascii="宋体" w:hAnsi="宋体" w:eastAsia="宋体" w:cs="宋体"/>
          <w:color w:val="auto"/>
          <w:szCs w:val="21"/>
        </w:rPr>
      </w:pPr>
      <w:r>
        <w:rPr>
          <w:rFonts w:hint="eastAsia" w:ascii="宋体" w:hAnsi="宋体" w:eastAsia="宋体" w:cs="宋体"/>
          <w:color w:val="auto"/>
          <w:szCs w:val="21"/>
          <w:lang w:val="en-US" w:eastAsia="zh-CN"/>
        </w:rPr>
        <w:t>现场</w:t>
      </w:r>
      <w:r>
        <w:rPr>
          <w:rFonts w:hint="eastAsia" w:ascii="宋体" w:hAnsi="宋体" w:eastAsia="宋体" w:cs="宋体"/>
          <w:color w:val="auto"/>
          <w:szCs w:val="21"/>
        </w:rPr>
        <w:t>巡检处置服务</w:t>
      </w:r>
    </w:p>
    <w:p w14:paraId="0DE0506B">
      <w:pPr>
        <w:pStyle w:val="27"/>
        <w:widowControl/>
        <w:numPr>
          <w:ilvl w:val="0"/>
          <w:numId w:val="86"/>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rPr>
        <w:t>安全专家到学校现场，为学校提供日常巡检、漏洞修复、事件处置、配置整改等服务。</w:t>
      </w:r>
    </w:p>
    <w:p w14:paraId="44DE63AB">
      <w:pPr>
        <w:pStyle w:val="27"/>
        <w:widowControl/>
        <w:numPr>
          <w:ilvl w:val="0"/>
          <w:numId w:val="86"/>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rPr>
        <w:t>服务内容：对终端电脑、网络设备、安全设备等进行定期巡检，对高危漏洞进行修复，对安全事件进行排查处置。</w:t>
      </w:r>
    </w:p>
    <w:p w14:paraId="2697A35C">
      <w:pPr>
        <w:pStyle w:val="27"/>
        <w:widowControl/>
        <w:numPr>
          <w:ilvl w:val="0"/>
          <w:numId w:val="86"/>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rPr>
        <w:t>服务频次：每个季度1次，一年共计4次</w:t>
      </w:r>
      <w:r>
        <w:rPr>
          <w:rFonts w:hint="eastAsia" w:ascii="宋体" w:hAnsi="宋体" w:eastAsia="宋体" w:cs="宋体"/>
          <w:color w:val="auto"/>
          <w:szCs w:val="21"/>
          <w:lang w:eastAsia="zh-CN"/>
        </w:rPr>
        <w:t>。</w:t>
      </w:r>
    </w:p>
    <w:p w14:paraId="24A34E74">
      <w:pPr>
        <w:pStyle w:val="27"/>
        <w:widowControl/>
        <w:numPr>
          <w:ilvl w:val="0"/>
          <w:numId w:val="86"/>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lang w:eastAsia="zh-CN"/>
        </w:rPr>
        <w:t>服务交付</w:t>
      </w:r>
      <w:r>
        <w:rPr>
          <w:rFonts w:hint="eastAsia" w:ascii="宋体" w:hAnsi="宋体" w:eastAsia="宋体" w:cs="宋体"/>
          <w:color w:val="auto"/>
          <w:szCs w:val="21"/>
        </w:rPr>
        <w:t>：《现场巡检处置报告》。</w:t>
      </w:r>
    </w:p>
    <w:p w14:paraId="7EF7FC03">
      <w:pPr>
        <w:pStyle w:val="27"/>
        <w:numPr>
          <w:ilvl w:val="0"/>
          <w:numId w:val="79"/>
        </w:numPr>
        <w:ind w:firstLineChars="0"/>
        <w:rPr>
          <w:rFonts w:hint="eastAsia" w:ascii="宋体" w:hAnsi="宋体" w:eastAsia="宋体" w:cs="宋体"/>
          <w:color w:val="auto"/>
          <w:szCs w:val="21"/>
        </w:rPr>
      </w:pPr>
      <w:r>
        <w:rPr>
          <w:rFonts w:hint="eastAsia" w:ascii="宋体" w:hAnsi="宋体" w:eastAsia="宋体" w:cs="宋体"/>
          <w:iCs/>
          <w:color w:val="auto"/>
          <w:szCs w:val="21"/>
          <w:lang w:val="en-US" w:eastAsia="zh-CN"/>
        </w:rPr>
        <w:t>服务人员要求</w:t>
      </w:r>
    </w:p>
    <w:p w14:paraId="42B9DDA0">
      <w:pPr>
        <w:pStyle w:val="27"/>
        <w:widowControl/>
        <w:numPr>
          <w:ilvl w:val="0"/>
          <w:numId w:val="87"/>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lang w:val="en-US" w:eastAsia="zh-CN"/>
        </w:rPr>
        <w:t>本项目需投入不少于2名服务人员。</w:t>
      </w:r>
    </w:p>
    <w:p w14:paraId="5719CE45">
      <w:pPr>
        <w:pStyle w:val="27"/>
        <w:widowControl/>
        <w:numPr>
          <w:ilvl w:val="0"/>
          <w:numId w:val="87"/>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 w:val="21"/>
          <w:szCs w:val="21"/>
        </w:rPr>
        <w:t>具备计算机硬件和软件相关知识</w:t>
      </w:r>
      <w:r>
        <w:rPr>
          <w:rFonts w:hint="eastAsia" w:ascii="宋体" w:hAnsi="宋体" w:eastAsia="宋体" w:cs="宋体"/>
          <w:color w:val="auto"/>
          <w:sz w:val="21"/>
          <w:szCs w:val="21"/>
          <w:lang w:eastAsia="zh-CN"/>
        </w:rPr>
        <w:t>。</w:t>
      </w:r>
    </w:p>
    <w:p w14:paraId="788E342E">
      <w:pPr>
        <w:pStyle w:val="27"/>
        <w:widowControl/>
        <w:numPr>
          <w:ilvl w:val="0"/>
          <w:numId w:val="87"/>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lang w:val="en-US" w:eastAsia="zh-CN"/>
        </w:rPr>
        <w:t>具</w:t>
      </w:r>
      <w:r>
        <w:rPr>
          <w:rFonts w:hint="eastAsia" w:ascii="宋体" w:hAnsi="宋体" w:eastAsia="宋体" w:cs="宋体"/>
          <w:color w:val="auto"/>
          <w:sz w:val="21"/>
          <w:szCs w:val="21"/>
        </w:rPr>
        <w:t>备</w:t>
      </w:r>
      <w:r>
        <w:rPr>
          <w:rFonts w:hint="eastAsia" w:ascii="宋体" w:hAnsi="宋体" w:eastAsia="宋体" w:cs="宋体"/>
          <w:color w:val="auto"/>
          <w:szCs w:val="21"/>
        </w:rPr>
        <w:t>计算机网络系统的规划、设计，网络设备的软硬件安装调试，网络系统的运行、维护和管理的</w:t>
      </w:r>
      <w:r>
        <w:rPr>
          <w:rFonts w:hint="eastAsia" w:ascii="宋体" w:hAnsi="宋体" w:eastAsia="宋体" w:cs="宋体"/>
          <w:color w:val="auto"/>
          <w:szCs w:val="21"/>
          <w:lang w:val="en-US" w:eastAsia="zh-CN"/>
        </w:rPr>
        <w:t>知识</w:t>
      </w:r>
      <w:r>
        <w:rPr>
          <w:rFonts w:hint="eastAsia" w:ascii="宋体" w:hAnsi="宋体" w:eastAsia="宋体" w:cs="宋体"/>
          <w:color w:val="auto"/>
          <w:szCs w:val="21"/>
        </w:rPr>
        <w:t>。</w:t>
      </w:r>
    </w:p>
    <w:p w14:paraId="6BFC6D27">
      <w:pPr>
        <w:pStyle w:val="27"/>
        <w:widowControl/>
        <w:numPr>
          <w:ilvl w:val="0"/>
          <w:numId w:val="87"/>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lang w:val="en-US" w:eastAsia="zh-CN"/>
        </w:rPr>
        <w:t>具备信息系统安全设施的运行维护和配置管理经验，能处理信息系统一般安全风险问题的。</w:t>
      </w:r>
    </w:p>
    <w:p w14:paraId="6FAE8F0D">
      <w:pPr>
        <w:pStyle w:val="27"/>
        <w:numPr>
          <w:ilvl w:val="0"/>
          <w:numId w:val="79"/>
        </w:numPr>
        <w:ind w:firstLineChars="0"/>
        <w:rPr>
          <w:rFonts w:hint="eastAsia" w:ascii="宋体" w:hAnsi="宋体" w:eastAsia="宋体" w:cs="宋体"/>
          <w:color w:val="auto"/>
          <w:szCs w:val="21"/>
        </w:rPr>
      </w:pPr>
      <w:r>
        <w:rPr>
          <w:rFonts w:hint="eastAsia" w:ascii="宋体" w:hAnsi="宋体" w:eastAsia="宋体" w:cs="宋体"/>
          <w:color w:val="auto"/>
          <w:szCs w:val="21"/>
          <w:lang w:val="en-US" w:eastAsia="zh-CN"/>
        </w:rPr>
        <w:t>其他要求</w:t>
      </w:r>
    </w:p>
    <w:p w14:paraId="1648987C">
      <w:pPr>
        <w:pStyle w:val="27"/>
        <w:widowControl/>
        <w:numPr>
          <w:ilvl w:val="0"/>
          <w:numId w:val="88"/>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lang w:val="en-US" w:eastAsia="zh-CN"/>
        </w:rPr>
        <w:t>乙方需提供</w:t>
      </w:r>
      <w:r>
        <w:rPr>
          <w:rFonts w:hint="eastAsia" w:ascii="宋体" w:hAnsi="宋体" w:eastAsia="宋体" w:cs="宋体"/>
          <w:color w:val="auto"/>
          <w:szCs w:val="21"/>
        </w:rPr>
        <w:t>质量保证方案</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能保障项目顺利实施并针对项目提出</w:t>
      </w:r>
      <w:r>
        <w:rPr>
          <w:rFonts w:hint="eastAsia" w:ascii="宋体" w:hAnsi="宋体" w:eastAsia="宋体" w:cs="宋体"/>
          <w:color w:val="auto"/>
          <w:szCs w:val="21"/>
        </w:rPr>
        <w:t>详细具体的</w:t>
      </w:r>
      <w:r>
        <w:rPr>
          <w:rFonts w:hint="eastAsia" w:ascii="宋体" w:hAnsi="宋体" w:eastAsia="宋体" w:cs="宋体"/>
          <w:color w:val="auto"/>
          <w:szCs w:val="21"/>
          <w:lang w:val="en-US" w:eastAsia="zh-CN"/>
        </w:rPr>
        <w:t>合理化建议。</w:t>
      </w:r>
    </w:p>
    <w:p w14:paraId="5A16BCB6">
      <w:pPr>
        <w:pStyle w:val="27"/>
        <w:widowControl/>
        <w:numPr>
          <w:ilvl w:val="0"/>
          <w:numId w:val="88"/>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 w:val="21"/>
          <w:szCs w:val="21"/>
          <w:lang w:val="en-US" w:eastAsia="zh-CN"/>
        </w:rPr>
        <w:t>乙方需做好</w:t>
      </w:r>
      <w:r>
        <w:rPr>
          <w:rFonts w:hint="eastAsia" w:ascii="宋体" w:hAnsi="宋体" w:eastAsia="宋体" w:cs="宋体"/>
          <w:color w:val="auto"/>
          <w:sz w:val="21"/>
          <w:szCs w:val="21"/>
        </w:rPr>
        <w:t>信息安全保密工作</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服务人员应有保密意识，不得泄露</w:t>
      </w:r>
      <w:r>
        <w:rPr>
          <w:rFonts w:hint="eastAsia" w:ascii="宋体" w:hAnsi="宋体" w:eastAsia="宋体" w:cs="宋体"/>
          <w:color w:val="auto"/>
          <w:sz w:val="21"/>
          <w:szCs w:val="21"/>
          <w:lang w:val="en-US" w:eastAsia="zh-CN"/>
        </w:rPr>
        <w:t>学校</w:t>
      </w:r>
      <w:r>
        <w:rPr>
          <w:rFonts w:hint="eastAsia" w:ascii="宋体" w:hAnsi="宋体" w:eastAsia="宋体" w:cs="宋体"/>
          <w:color w:val="auto"/>
          <w:sz w:val="21"/>
          <w:szCs w:val="21"/>
        </w:rPr>
        <w:t>相关任何涉密信息或文件</w:t>
      </w:r>
      <w:r>
        <w:rPr>
          <w:rFonts w:hint="eastAsia" w:ascii="宋体" w:hAnsi="宋体" w:eastAsia="宋体" w:cs="宋体"/>
          <w:color w:val="auto"/>
          <w:sz w:val="21"/>
          <w:szCs w:val="21"/>
          <w:lang w:eastAsia="zh-CN"/>
        </w:rPr>
        <w:t>。</w:t>
      </w:r>
    </w:p>
    <w:p w14:paraId="481954F5">
      <w:pPr>
        <w:pStyle w:val="27"/>
        <w:widowControl/>
        <w:numPr>
          <w:ilvl w:val="0"/>
          <w:numId w:val="88"/>
        </w:numPr>
        <w:snapToGrid w:val="0"/>
        <w:spacing w:line="360" w:lineRule="auto"/>
        <w:ind w:left="420" w:leftChars="0" w:hanging="420" w:firstLineChars="0"/>
        <w:contextualSpacing/>
        <w:rPr>
          <w:rFonts w:hint="eastAsia" w:ascii="宋体" w:hAnsi="宋体" w:eastAsia="宋体" w:cs="宋体"/>
          <w:color w:val="auto"/>
          <w:szCs w:val="21"/>
        </w:rPr>
      </w:pPr>
      <w:r>
        <w:rPr>
          <w:rFonts w:hint="eastAsia" w:ascii="宋体" w:hAnsi="宋体" w:eastAsia="宋体" w:cs="宋体"/>
          <w:color w:val="auto"/>
          <w:sz w:val="21"/>
          <w:szCs w:val="21"/>
          <w:lang w:val="en-US" w:eastAsia="zh-CN"/>
        </w:rPr>
        <w:t>乙方需提供应急保障方案，在特殊节日或发生特殊事件时能提供应急人员支撑学校网络安全。在接到甲方紧急服务通知后能于</w:t>
      </w:r>
      <w:r>
        <w:rPr>
          <w:rFonts w:hint="eastAsia" w:ascii="宋体" w:hAnsi="宋体" w:eastAsia="宋体" w:cs="宋体"/>
          <w:color w:val="auto"/>
          <w:sz w:val="21"/>
          <w:szCs w:val="21"/>
          <w:u w:val="single"/>
          <w:lang w:val="en-US" w:eastAsia="zh-CN"/>
        </w:rPr>
        <w:t xml:space="preserve">    </w:t>
      </w:r>
      <w:r>
        <w:rPr>
          <w:rFonts w:hint="eastAsia" w:ascii="宋体" w:hAnsi="宋体" w:eastAsia="宋体" w:cs="宋体"/>
          <w:color w:val="auto"/>
          <w:sz w:val="21"/>
          <w:szCs w:val="21"/>
          <w:lang w:val="en-US" w:eastAsia="zh-CN"/>
        </w:rPr>
        <w:t>小时内到达现场。如遇到黑客攻击能提供</w:t>
      </w:r>
      <w:r>
        <w:rPr>
          <w:rFonts w:hint="eastAsia" w:ascii="宋体" w:hAnsi="宋体" w:eastAsia="宋体" w:cs="宋体"/>
          <w:color w:val="auto"/>
          <w:szCs w:val="21"/>
        </w:rPr>
        <w:t>应急设备</w:t>
      </w:r>
      <w:r>
        <w:rPr>
          <w:rFonts w:hint="eastAsia" w:ascii="宋体" w:hAnsi="宋体" w:eastAsia="宋体" w:cs="宋体"/>
          <w:color w:val="auto"/>
          <w:szCs w:val="21"/>
          <w:lang w:val="en-US" w:eastAsia="zh-CN"/>
        </w:rPr>
        <w:t>保障学校网络设备。</w:t>
      </w:r>
    </w:p>
    <w:p w14:paraId="376D7E4E">
      <w:pPr>
        <w:pStyle w:val="27"/>
        <w:numPr>
          <w:ilvl w:val="0"/>
          <w:numId w:val="77"/>
        </w:numPr>
        <w:spacing w:before="217" w:beforeLines="50"/>
        <w:ind w:firstLineChars="0"/>
        <w:rPr>
          <w:rFonts w:hint="eastAsia" w:ascii="宋体" w:hAnsi="宋体" w:eastAsia="宋体" w:cs="宋体"/>
          <w:b/>
          <w:color w:val="auto"/>
          <w:spacing w:val="20"/>
          <w:szCs w:val="21"/>
        </w:rPr>
      </w:pPr>
      <w:r>
        <w:rPr>
          <w:rFonts w:hint="eastAsia" w:ascii="宋体" w:hAnsi="宋体" w:eastAsia="宋体" w:cs="宋体"/>
          <w:b/>
          <w:color w:val="auto"/>
          <w:spacing w:val="20"/>
          <w:szCs w:val="21"/>
        </w:rPr>
        <w:t>总体要求</w:t>
      </w:r>
    </w:p>
    <w:p w14:paraId="7E933DD0">
      <w:pPr>
        <w:pStyle w:val="27"/>
        <w:numPr>
          <w:ilvl w:val="0"/>
          <w:numId w:val="89"/>
        </w:numPr>
        <w:autoSpaceDE w:val="0"/>
        <w:autoSpaceDN w:val="0"/>
        <w:adjustRightInd w:val="0"/>
        <w:ind w:firstLineChars="0"/>
        <w:jc w:val="left"/>
        <w:rPr>
          <w:rFonts w:hint="eastAsia" w:ascii="宋体" w:hAnsi="宋体" w:eastAsia="宋体" w:cs="宋体"/>
          <w:color w:val="auto"/>
          <w:szCs w:val="21"/>
        </w:rPr>
      </w:pPr>
      <w:r>
        <w:rPr>
          <w:rFonts w:hint="eastAsia" w:ascii="宋体" w:hAnsi="宋体" w:eastAsia="宋体" w:cs="宋体"/>
          <w:color w:val="auto"/>
          <w:szCs w:val="21"/>
        </w:rPr>
        <w:t>甲方权利和义务</w:t>
      </w:r>
    </w:p>
    <w:p w14:paraId="71B75FB4">
      <w:pPr>
        <w:pStyle w:val="27"/>
        <w:numPr>
          <w:ilvl w:val="0"/>
          <w:numId w:val="90"/>
        </w:numPr>
        <w:tabs>
          <w:tab w:val="left" w:pos="1080"/>
        </w:tabs>
        <w:ind w:firstLineChars="0"/>
        <w:rPr>
          <w:rFonts w:hint="eastAsia" w:ascii="宋体" w:hAnsi="宋体" w:eastAsia="宋体" w:cs="宋体"/>
          <w:color w:val="auto"/>
          <w:szCs w:val="21"/>
        </w:rPr>
      </w:pPr>
      <w:r>
        <w:rPr>
          <w:rFonts w:hint="eastAsia" w:ascii="宋体" w:hAnsi="宋体" w:eastAsia="宋体" w:cs="宋体"/>
          <w:color w:val="auto"/>
          <w:szCs w:val="21"/>
        </w:rPr>
        <w:t>甲方有权随时检查乙方的服务履行情况，并向乙方提出修改。</w:t>
      </w:r>
    </w:p>
    <w:p w14:paraId="22DF6212">
      <w:pPr>
        <w:pStyle w:val="27"/>
        <w:numPr>
          <w:ilvl w:val="0"/>
          <w:numId w:val="90"/>
        </w:numPr>
        <w:tabs>
          <w:tab w:val="left" w:pos="1080"/>
        </w:tabs>
        <w:ind w:firstLineChars="0"/>
        <w:rPr>
          <w:rFonts w:hint="eastAsia" w:ascii="宋体" w:hAnsi="宋体" w:eastAsia="宋体" w:cs="宋体"/>
          <w:color w:val="auto"/>
          <w:szCs w:val="21"/>
        </w:rPr>
      </w:pPr>
      <w:r>
        <w:rPr>
          <w:rFonts w:hint="eastAsia" w:ascii="宋体" w:hAnsi="宋体" w:eastAsia="宋体" w:cs="宋体"/>
          <w:color w:val="auto"/>
          <w:szCs w:val="21"/>
        </w:rPr>
        <w:t>当发生服务违约时，则甲方有权按约定在支付乙方合同款项中进行扣款 。</w:t>
      </w:r>
    </w:p>
    <w:p w14:paraId="6EC212BF">
      <w:pPr>
        <w:pStyle w:val="27"/>
        <w:numPr>
          <w:ilvl w:val="0"/>
          <w:numId w:val="90"/>
        </w:numPr>
        <w:tabs>
          <w:tab w:val="left" w:pos="1080"/>
        </w:tabs>
        <w:ind w:firstLineChars="0"/>
        <w:rPr>
          <w:rFonts w:hint="eastAsia" w:ascii="宋体" w:hAnsi="宋体" w:eastAsia="宋体" w:cs="宋体"/>
          <w:color w:val="auto"/>
          <w:szCs w:val="21"/>
        </w:rPr>
      </w:pPr>
      <w:r>
        <w:rPr>
          <w:rFonts w:hint="eastAsia" w:ascii="宋体" w:hAnsi="宋体" w:eastAsia="宋体" w:cs="宋体"/>
          <w:color w:val="auto"/>
          <w:szCs w:val="21"/>
        </w:rPr>
        <w:t>在乙方提供服务时，如对甲方的设备造成了损坏，甲方有权要求乙方赔偿。</w:t>
      </w:r>
    </w:p>
    <w:p w14:paraId="26560ACC">
      <w:pPr>
        <w:pStyle w:val="27"/>
        <w:numPr>
          <w:ilvl w:val="0"/>
          <w:numId w:val="90"/>
        </w:numPr>
        <w:tabs>
          <w:tab w:val="left" w:pos="1080"/>
        </w:tabs>
        <w:ind w:firstLineChars="0"/>
        <w:rPr>
          <w:rFonts w:hint="eastAsia" w:ascii="宋体" w:hAnsi="宋体" w:eastAsia="宋体" w:cs="宋体"/>
          <w:color w:val="auto"/>
          <w:szCs w:val="21"/>
        </w:rPr>
      </w:pPr>
      <w:r>
        <w:rPr>
          <w:rFonts w:hint="eastAsia" w:ascii="宋体" w:hAnsi="宋体" w:eastAsia="宋体" w:cs="宋体"/>
          <w:color w:val="auto"/>
          <w:szCs w:val="21"/>
        </w:rPr>
        <w:t>甲方应按合同规定向乙方支付服务费用。</w:t>
      </w:r>
    </w:p>
    <w:p w14:paraId="4DE8ECAE">
      <w:pPr>
        <w:pStyle w:val="27"/>
        <w:numPr>
          <w:ilvl w:val="0"/>
          <w:numId w:val="89"/>
        </w:numPr>
        <w:autoSpaceDE w:val="0"/>
        <w:autoSpaceDN w:val="0"/>
        <w:adjustRightInd w:val="0"/>
        <w:ind w:firstLineChars="0"/>
        <w:jc w:val="left"/>
        <w:rPr>
          <w:rFonts w:hint="eastAsia" w:ascii="宋体" w:hAnsi="宋体" w:eastAsia="宋体" w:cs="宋体"/>
          <w:color w:val="auto"/>
          <w:szCs w:val="21"/>
        </w:rPr>
      </w:pPr>
      <w:r>
        <w:rPr>
          <w:rFonts w:hint="eastAsia" w:ascii="宋体" w:hAnsi="宋体" w:eastAsia="宋体" w:cs="宋体"/>
          <w:color w:val="auto"/>
          <w:szCs w:val="21"/>
        </w:rPr>
        <w:t>乙方权利和义务</w:t>
      </w:r>
    </w:p>
    <w:p w14:paraId="7BCCAE5E">
      <w:pPr>
        <w:pStyle w:val="27"/>
        <w:numPr>
          <w:ilvl w:val="0"/>
          <w:numId w:val="91"/>
        </w:numPr>
        <w:tabs>
          <w:tab w:val="left" w:pos="1080"/>
        </w:tabs>
        <w:ind w:firstLineChars="0"/>
        <w:rPr>
          <w:rFonts w:hint="eastAsia" w:ascii="宋体" w:hAnsi="宋体" w:eastAsia="宋体" w:cs="宋体"/>
          <w:color w:val="auto"/>
          <w:szCs w:val="21"/>
        </w:rPr>
      </w:pPr>
      <w:r>
        <w:rPr>
          <w:rFonts w:hint="eastAsia" w:ascii="宋体" w:hAnsi="宋体" w:eastAsia="宋体" w:cs="宋体"/>
          <w:color w:val="auto"/>
          <w:szCs w:val="21"/>
        </w:rPr>
        <w:t>乙方应按招标文件的要求和投标文件的承诺进行服务，发生任何服务的变更均须向甲方提出交书面报审报告。</w:t>
      </w:r>
    </w:p>
    <w:p w14:paraId="764A4036">
      <w:pPr>
        <w:pStyle w:val="27"/>
        <w:numPr>
          <w:ilvl w:val="0"/>
          <w:numId w:val="91"/>
        </w:numPr>
        <w:tabs>
          <w:tab w:val="left" w:pos="1080"/>
        </w:tabs>
        <w:ind w:firstLineChars="0"/>
        <w:rPr>
          <w:rFonts w:hint="eastAsia" w:ascii="宋体" w:hAnsi="宋体" w:eastAsia="宋体" w:cs="宋体"/>
          <w:color w:val="auto"/>
          <w:szCs w:val="21"/>
        </w:rPr>
      </w:pPr>
      <w:r>
        <w:rPr>
          <w:rFonts w:hint="eastAsia" w:ascii="宋体" w:hAnsi="宋体" w:eastAsia="宋体" w:cs="宋体"/>
          <w:color w:val="auto"/>
          <w:szCs w:val="21"/>
        </w:rPr>
        <w:t>乙方有权要求甲方按时支付服务费用。如甲方不按时支付乙方有权要求甲方支付滞纳金。但服务费得支付应以符合东莞市财政局的相关规定为前提。</w:t>
      </w:r>
    </w:p>
    <w:p w14:paraId="198E3F65">
      <w:pPr>
        <w:pStyle w:val="27"/>
        <w:numPr>
          <w:ilvl w:val="0"/>
          <w:numId w:val="77"/>
        </w:numPr>
        <w:spacing w:before="217" w:beforeLines="50"/>
        <w:ind w:firstLineChars="0"/>
        <w:rPr>
          <w:rFonts w:hint="eastAsia" w:ascii="宋体" w:hAnsi="宋体" w:eastAsia="宋体" w:cs="宋体"/>
          <w:b/>
          <w:color w:val="auto"/>
          <w:spacing w:val="20"/>
          <w:szCs w:val="21"/>
        </w:rPr>
      </w:pPr>
      <w:r>
        <w:rPr>
          <w:rFonts w:hint="eastAsia" w:ascii="宋体" w:hAnsi="宋体" w:eastAsia="宋体" w:cs="宋体"/>
          <w:b/>
          <w:color w:val="auto"/>
          <w:spacing w:val="20"/>
          <w:szCs w:val="21"/>
        </w:rPr>
        <w:t>价格</w:t>
      </w:r>
    </w:p>
    <w:p w14:paraId="0122CF33">
      <w:pPr>
        <w:pStyle w:val="27"/>
        <w:numPr>
          <w:ilvl w:val="0"/>
          <w:numId w:val="92"/>
        </w:numPr>
        <w:ind w:firstLineChars="0"/>
        <w:rPr>
          <w:rFonts w:hint="eastAsia" w:ascii="宋体" w:hAnsi="宋体" w:eastAsia="宋体" w:cs="宋体"/>
          <w:color w:val="auto"/>
          <w:szCs w:val="21"/>
        </w:rPr>
      </w:pPr>
      <w:r>
        <w:rPr>
          <w:rFonts w:hint="eastAsia" w:ascii="宋体" w:hAnsi="宋体" w:eastAsia="宋体" w:cs="宋体"/>
          <w:color w:val="auto"/>
          <w:szCs w:val="21"/>
        </w:rPr>
        <w:t>合同总价：大写：人民币</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元整（小写：￥</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元）</w:t>
      </w:r>
    </w:p>
    <w:p w14:paraId="2F739246">
      <w:pPr>
        <w:pStyle w:val="27"/>
        <w:numPr>
          <w:ilvl w:val="0"/>
          <w:numId w:val="92"/>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rPr>
        <w:t>本合同价为固定不变价。</w:t>
      </w:r>
    </w:p>
    <w:p w14:paraId="1E32984B">
      <w:pPr>
        <w:pStyle w:val="27"/>
        <w:numPr>
          <w:ilvl w:val="0"/>
          <w:numId w:val="92"/>
        </w:numPr>
        <w:ind w:firstLineChars="0"/>
        <w:rPr>
          <w:rFonts w:hint="eastAsia" w:ascii="宋体" w:hAnsi="宋体" w:eastAsia="宋体" w:cs="宋体"/>
          <w:color w:val="auto"/>
          <w:szCs w:val="21"/>
          <w:highlight w:val="none"/>
        </w:rPr>
      </w:pPr>
      <w:r>
        <w:rPr>
          <w:rFonts w:hint="eastAsia" w:ascii="宋体" w:hAnsi="宋体" w:eastAsia="宋体" w:cs="宋体"/>
          <w:iCs/>
          <w:color w:val="auto"/>
          <w:szCs w:val="21"/>
          <w:highlight w:val="none"/>
          <w:lang w:val="en-US" w:eastAsia="zh-CN"/>
        </w:rPr>
        <w:t>合同价</w:t>
      </w:r>
      <w:r>
        <w:rPr>
          <w:rFonts w:hint="eastAsia" w:ascii="宋体" w:hAnsi="宋体" w:eastAsia="宋体" w:cs="宋体"/>
          <w:iCs/>
          <w:color w:val="auto"/>
          <w:szCs w:val="21"/>
          <w:highlight w:val="none"/>
        </w:rPr>
        <w:t>应包含完成本次采购所有服务内容的费用，包含各种税务费及合同实施过程中的应预见和不可预见等完成合同规定责任和义务、达</w:t>
      </w:r>
      <w:r>
        <w:rPr>
          <w:rFonts w:hint="eastAsia" w:ascii="宋体" w:hAnsi="宋体" w:eastAsia="宋体" w:cs="宋体"/>
          <w:iCs/>
          <w:color w:val="auto"/>
          <w:szCs w:val="21"/>
        </w:rPr>
        <w:t>到合同目的的一切费用。如软件升级服务、</w:t>
      </w:r>
      <w:r>
        <w:rPr>
          <w:rFonts w:hint="eastAsia" w:ascii="宋体" w:hAnsi="宋体" w:eastAsia="宋体" w:cs="宋体"/>
          <w:iCs/>
          <w:color w:val="auto"/>
          <w:szCs w:val="21"/>
          <w:lang w:val="en-US" w:eastAsia="zh-CN"/>
        </w:rPr>
        <w:t>检测服务</w:t>
      </w:r>
      <w:r>
        <w:rPr>
          <w:rFonts w:hint="eastAsia" w:ascii="宋体" w:hAnsi="宋体" w:eastAsia="宋体" w:cs="宋体"/>
          <w:iCs/>
          <w:color w:val="auto"/>
          <w:szCs w:val="21"/>
        </w:rPr>
        <w:t>、全额含税发票、人工费用等。</w:t>
      </w:r>
    </w:p>
    <w:p w14:paraId="7FBF4A7D">
      <w:pPr>
        <w:pStyle w:val="27"/>
        <w:numPr>
          <w:ilvl w:val="0"/>
          <w:numId w:val="77"/>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付款</w:t>
      </w:r>
    </w:p>
    <w:p w14:paraId="6899988D">
      <w:pPr>
        <w:pStyle w:val="27"/>
        <w:numPr>
          <w:ilvl w:val="0"/>
          <w:numId w:val="93"/>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服务期：</w:t>
      </w:r>
      <w:r>
        <w:rPr>
          <w:rFonts w:hint="eastAsia" w:ascii="宋体" w:hAnsi="宋体" w:eastAsia="宋体" w:cs="宋体"/>
          <w:color w:val="auto"/>
          <w:szCs w:val="21"/>
          <w:highlight w:val="none"/>
          <w:u w:val="single"/>
        </w:rPr>
        <w:t xml:space="preserve">     年   月   日至    年   月    日</w:t>
      </w:r>
      <w:r>
        <w:rPr>
          <w:rFonts w:hint="eastAsia" w:ascii="宋体" w:hAnsi="宋体" w:eastAsia="宋体" w:cs="宋体"/>
          <w:color w:val="auto"/>
          <w:szCs w:val="21"/>
          <w:highlight w:val="none"/>
        </w:rPr>
        <w:t>(共</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年)</w:t>
      </w:r>
    </w:p>
    <w:p w14:paraId="677E5A79">
      <w:pPr>
        <w:pStyle w:val="27"/>
        <w:numPr>
          <w:ilvl w:val="0"/>
          <w:numId w:val="93"/>
        </w:numPr>
        <w:ind w:firstLineChars="0"/>
        <w:rPr>
          <w:rFonts w:hint="eastAsia" w:ascii="宋体" w:hAnsi="宋体" w:eastAsia="宋体" w:cs="宋体"/>
          <w:color w:val="auto"/>
          <w:szCs w:val="21"/>
          <w:highlight w:val="none"/>
        </w:rPr>
      </w:pPr>
      <w:r>
        <w:rPr>
          <w:rFonts w:hint="eastAsia" w:ascii="宋体" w:hAnsi="宋体" w:eastAsia="宋体" w:cs="宋体"/>
          <w:color w:val="auto"/>
          <w:highlight w:val="none"/>
        </w:rPr>
        <w:t>自合同签订后，</w:t>
      </w:r>
      <w:r>
        <w:rPr>
          <w:rFonts w:hint="eastAsia" w:ascii="宋体" w:hAnsi="宋体" w:eastAsia="宋体" w:cs="宋体"/>
          <w:color w:val="auto"/>
          <w:highlight w:val="none"/>
          <w:lang w:val="en-US" w:eastAsia="zh-CN"/>
        </w:rPr>
        <w:t>乙方</w:t>
      </w:r>
      <w:r>
        <w:rPr>
          <w:rFonts w:hint="eastAsia" w:ascii="宋体" w:hAnsi="宋体" w:eastAsia="宋体" w:cs="宋体"/>
          <w:color w:val="auto"/>
          <w:highlight w:val="none"/>
        </w:rPr>
        <w:t>向</w:t>
      </w:r>
      <w:r>
        <w:rPr>
          <w:rFonts w:hint="eastAsia" w:ascii="宋体" w:hAnsi="宋体" w:eastAsia="宋体" w:cs="宋体"/>
          <w:color w:val="auto"/>
          <w:highlight w:val="none"/>
          <w:lang w:val="en-US" w:eastAsia="zh-CN"/>
        </w:rPr>
        <w:t>甲方</w:t>
      </w:r>
      <w:r>
        <w:rPr>
          <w:rFonts w:hint="eastAsia" w:ascii="宋体" w:hAnsi="宋体" w:eastAsia="宋体" w:cs="宋体"/>
          <w:color w:val="auto"/>
          <w:highlight w:val="none"/>
        </w:rPr>
        <w:t>提供的等额有效发票，</w:t>
      </w:r>
      <w:r>
        <w:rPr>
          <w:rFonts w:hint="eastAsia" w:ascii="宋体" w:hAnsi="宋体" w:eastAsia="宋体" w:cs="宋体"/>
          <w:color w:val="auto"/>
          <w:highlight w:val="none"/>
          <w:lang w:val="en-US" w:eastAsia="zh-CN"/>
        </w:rPr>
        <w:t>甲方</w:t>
      </w:r>
      <w:r>
        <w:rPr>
          <w:rFonts w:hint="eastAsia" w:ascii="宋体" w:hAnsi="宋体" w:eastAsia="宋体" w:cs="宋体"/>
          <w:color w:val="auto"/>
          <w:highlight w:val="none"/>
        </w:rPr>
        <w:t>经确认无误于10个工作日内向</w:t>
      </w:r>
      <w:r>
        <w:rPr>
          <w:rFonts w:hint="eastAsia" w:ascii="宋体" w:hAnsi="宋体" w:eastAsia="宋体" w:cs="宋体"/>
          <w:color w:val="auto"/>
          <w:highlight w:val="none"/>
          <w:lang w:val="en-US" w:eastAsia="zh-CN"/>
        </w:rPr>
        <w:t>乙方</w:t>
      </w:r>
      <w:r>
        <w:rPr>
          <w:rFonts w:hint="eastAsia" w:ascii="宋体" w:hAnsi="宋体" w:eastAsia="宋体" w:cs="宋体"/>
          <w:color w:val="auto"/>
          <w:highlight w:val="none"/>
        </w:rPr>
        <w:t>支付合同总额的</w:t>
      </w:r>
      <w:r>
        <w:rPr>
          <w:rFonts w:hint="eastAsia" w:ascii="宋体" w:hAnsi="宋体" w:eastAsia="宋体" w:cs="宋体"/>
          <w:color w:val="auto"/>
          <w:highlight w:val="none"/>
          <w:lang w:val="en-US" w:eastAsia="zh-CN"/>
        </w:rPr>
        <w:t>100</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w:t>
      </w:r>
    </w:p>
    <w:p w14:paraId="7561BA75">
      <w:pPr>
        <w:pStyle w:val="27"/>
        <w:numPr>
          <w:ilvl w:val="0"/>
          <w:numId w:val="93"/>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根据现行税法规定对甲方征收的与本合同有关的一切税费均应由甲方负担；</w:t>
      </w:r>
    </w:p>
    <w:p w14:paraId="413B06ED">
      <w:pPr>
        <w:pStyle w:val="27"/>
        <w:numPr>
          <w:ilvl w:val="0"/>
          <w:numId w:val="93"/>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根据现行税法规定对乙方或其雇员征收的与本合同有关的一切税费均应由乙方负担。</w:t>
      </w:r>
    </w:p>
    <w:p w14:paraId="1AD352AD">
      <w:pPr>
        <w:pStyle w:val="27"/>
        <w:numPr>
          <w:ilvl w:val="0"/>
          <w:numId w:val="77"/>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lang w:val="en-US" w:eastAsia="zh-CN"/>
        </w:rPr>
        <w:t>验收要求</w:t>
      </w:r>
    </w:p>
    <w:p w14:paraId="75C761D7">
      <w:pPr>
        <w:pStyle w:val="27"/>
        <w:numPr>
          <w:ilvl w:val="0"/>
          <w:numId w:val="94"/>
        </w:numPr>
        <w:ind w:firstLineChars="0"/>
        <w:rPr>
          <w:rFonts w:hint="eastAsia" w:ascii="宋体" w:hAnsi="宋体" w:eastAsia="宋体" w:cs="宋体"/>
          <w:b/>
          <w:color w:val="auto"/>
          <w:spacing w:val="20"/>
          <w:szCs w:val="21"/>
          <w:highlight w:val="none"/>
        </w:rPr>
      </w:pPr>
      <w:r>
        <w:rPr>
          <w:rFonts w:hint="eastAsia" w:ascii="宋体" w:hAnsi="宋体" w:eastAsia="宋体" w:cs="宋体"/>
          <w:iCs/>
          <w:color w:val="auto"/>
          <w:szCs w:val="21"/>
          <w:lang w:val="en-US" w:eastAsia="zh-CN"/>
        </w:rPr>
        <w:t>服务期满后，乙方</w:t>
      </w:r>
      <w:r>
        <w:rPr>
          <w:rFonts w:hint="eastAsia" w:ascii="宋体" w:hAnsi="宋体" w:eastAsia="宋体" w:cs="宋体"/>
          <w:iCs/>
          <w:color w:val="auto"/>
          <w:szCs w:val="21"/>
        </w:rPr>
        <w:t>按本项目采购需求要求及合同要求完成所有服务内容并以书面形式向</w:t>
      </w:r>
      <w:r>
        <w:rPr>
          <w:rFonts w:hint="eastAsia" w:ascii="宋体" w:hAnsi="宋体" w:eastAsia="宋体" w:cs="宋体"/>
          <w:iCs/>
          <w:color w:val="auto"/>
          <w:szCs w:val="21"/>
          <w:lang w:val="en-US" w:eastAsia="zh-CN"/>
        </w:rPr>
        <w:t>甲方</w:t>
      </w:r>
      <w:r>
        <w:rPr>
          <w:rFonts w:hint="eastAsia" w:ascii="宋体" w:hAnsi="宋体" w:eastAsia="宋体" w:cs="宋体"/>
          <w:iCs/>
          <w:color w:val="auto"/>
          <w:szCs w:val="21"/>
        </w:rPr>
        <w:t>提出验收申请，</w:t>
      </w:r>
      <w:r>
        <w:rPr>
          <w:rFonts w:hint="eastAsia" w:ascii="宋体" w:hAnsi="宋体" w:eastAsia="宋体" w:cs="宋体"/>
          <w:iCs/>
          <w:color w:val="auto"/>
          <w:szCs w:val="21"/>
          <w:lang w:val="en-US" w:eastAsia="zh-CN"/>
        </w:rPr>
        <w:t>甲方</w:t>
      </w:r>
      <w:r>
        <w:rPr>
          <w:rFonts w:hint="eastAsia" w:ascii="宋体" w:hAnsi="宋体" w:eastAsia="宋体" w:cs="宋体"/>
          <w:iCs/>
          <w:color w:val="auto"/>
          <w:szCs w:val="21"/>
        </w:rPr>
        <w:t>在收到</w:t>
      </w:r>
      <w:r>
        <w:rPr>
          <w:rFonts w:hint="eastAsia" w:ascii="宋体" w:hAnsi="宋体" w:eastAsia="宋体" w:cs="宋体"/>
          <w:iCs/>
          <w:color w:val="auto"/>
          <w:szCs w:val="21"/>
          <w:lang w:val="en-US" w:eastAsia="zh-CN"/>
        </w:rPr>
        <w:t>乙方</w:t>
      </w:r>
      <w:r>
        <w:rPr>
          <w:rFonts w:hint="eastAsia" w:ascii="宋体" w:hAnsi="宋体" w:eastAsia="宋体" w:cs="宋体"/>
          <w:iCs/>
          <w:color w:val="auto"/>
          <w:szCs w:val="21"/>
        </w:rPr>
        <w:t>验收申请后7个工作日内组织履约验收工作，验收应在</w:t>
      </w:r>
      <w:r>
        <w:rPr>
          <w:rFonts w:hint="eastAsia" w:ascii="宋体" w:hAnsi="宋体" w:eastAsia="宋体" w:cs="宋体"/>
          <w:iCs/>
          <w:color w:val="auto"/>
          <w:szCs w:val="21"/>
          <w:lang w:val="en-US" w:eastAsia="zh-CN"/>
        </w:rPr>
        <w:t>甲方</w:t>
      </w:r>
      <w:r>
        <w:rPr>
          <w:rFonts w:hint="eastAsia" w:ascii="宋体" w:hAnsi="宋体" w:eastAsia="宋体" w:cs="宋体"/>
          <w:iCs/>
          <w:color w:val="auto"/>
          <w:szCs w:val="21"/>
        </w:rPr>
        <w:t>和</w:t>
      </w:r>
      <w:r>
        <w:rPr>
          <w:rFonts w:hint="eastAsia" w:ascii="宋体" w:hAnsi="宋体" w:eastAsia="宋体" w:cs="宋体"/>
          <w:iCs/>
          <w:color w:val="auto"/>
          <w:szCs w:val="21"/>
          <w:lang w:val="en-US" w:eastAsia="zh-CN"/>
        </w:rPr>
        <w:t>乙方</w:t>
      </w:r>
      <w:r>
        <w:rPr>
          <w:rFonts w:hint="eastAsia" w:ascii="宋体" w:hAnsi="宋体" w:eastAsia="宋体" w:cs="宋体"/>
          <w:iCs/>
          <w:color w:val="auto"/>
          <w:szCs w:val="21"/>
        </w:rPr>
        <w:t>双方共同参加下进行，依据招标文件及合同的有关规定制定的方案进行验收。</w:t>
      </w:r>
    </w:p>
    <w:p w14:paraId="108585A5">
      <w:pPr>
        <w:pStyle w:val="27"/>
        <w:numPr>
          <w:ilvl w:val="0"/>
          <w:numId w:val="77"/>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 xml:space="preserve">分包与转包 </w:t>
      </w:r>
    </w:p>
    <w:p w14:paraId="6D64D2B8">
      <w:pPr>
        <w:pStyle w:val="27"/>
        <w:numPr>
          <w:ilvl w:val="0"/>
          <w:numId w:val="95"/>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严禁转包，未经甲方书面同意不得分包</w:t>
      </w:r>
    </w:p>
    <w:p w14:paraId="4FF4DD7F">
      <w:pPr>
        <w:pStyle w:val="27"/>
        <w:numPr>
          <w:ilvl w:val="0"/>
          <w:numId w:val="77"/>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违约责任</w:t>
      </w:r>
    </w:p>
    <w:p w14:paraId="7FE22654">
      <w:pPr>
        <w:pStyle w:val="32"/>
        <w:numPr>
          <w:ilvl w:val="0"/>
          <w:numId w:val="96"/>
        </w:numPr>
        <w:tabs>
          <w:tab w:val="left" w:pos="84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乙方违反合同及招标文件约定的有关义务，对甲方造成经济损失的，应给予甲方经济赔偿；如造成重大损失的，甲方有权终止合同。</w:t>
      </w:r>
    </w:p>
    <w:p w14:paraId="21E55283">
      <w:pPr>
        <w:pStyle w:val="32"/>
        <w:numPr>
          <w:ilvl w:val="0"/>
          <w:numId w:val="96"/>
        </w:numPr>
        <w:tabs>
          <w:tab w:val="left" w:pos="84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除合同规定外，如果乙方没有按照合同规定的时间交付或完成，甲方可要求乙方支付违约金。从逾期之日起每日按本合同总价</w:t>
      </w:r>
      <w:r>
        <w:rPr>
          <w:rFonts w:hint="eastAsia" w:ascii="宋体" w:hAnsi="宋体" w:eastAsia="宋体" w:cs="宋体"/>
          <w:color w:val="auto"/>
          <w:szCs w:val="21"/>
          <w:highlight w:val="none"/>
          <w:u w:val="single"/>
        </w:rPr>
        <w:t xml:space="preserve"> 3 </w:t>
      </w:r>
      <w:r>
        <w:rPr>
          <w:rFonts w:hint="eastAsia" w:ascii="宋体" w:hAnsi="宋体" w:eastAsia="宋体" w:cs="宋体"/>
          <w:color w:val="auto"/>
          <w:szCs w:val="21"/>
          <w:highlight w:val="none"/>
        </w:rPr>
        <w:t>‰的数额向甲方支付违约金；逾期15天或以上的，甲方有权终止合同，要求乙方一次性支付合同总金额</w:t>
      </w:r>
      <w:r>
        <w:rPr>
          <w:rFonts w:hint="eastAsia" w:ascii="宋体" w:hAnsi="宋体" w:eastAsia="宋体" w:cs="宋体"/>
          <w:color w:val="auto"/>
          <w:szCs w:val="21"/>
          <w:highlight w:val="none"/>
          <w:u w:val="single"/>
        </w:rPr>
        <w:t xml:space="preserve"> 20 %</w:t>
      </w:r>
      <w:r>
        <w:rPr>
          <w:rFonts w:hint="eastAsia" w:ascii="宋体" w:hAnsi="宋体" w:eastAsia="宋体" w:cs="宋体"/>
          <w:color w:val="auto"/>
          <w:szCs w:val="21"/>
          <w:highlight w:val="none"/>
        </w:rPr>
        <w:t>违约金，并且给甲方造成的经济损失由乙方承担赔偿责任。</w:t>
      </w:r>
    </w:p>
    <w:p w14:paraId="759B37F0">
      <w:pPr>
        <w:pStyle w:val="32"/>
        <w:numPr>
          <w:ilvl w:val="0"/>
          <w:numId w:val="96"/>
        </w:numPr>
        <w:tabs>
          <w:tab w:val="left" w:pos="84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因乙方原因导致本合同解除或是无法履行的，乙方应向甲方支付合同总价</w:t>
      </w:r>
      <w:r>
        <w:rPr>
          <w:rFonts w:hint="eastAsia" w:ascii="宋体" w:hAnsi="宋体" w:eastAsia="宋体" w:cs="宋体"/>
          <w:color w:val="auto"/>
          <w:szCs w:val="21"/>
          <w:highlight w:val="none"/>
          <w:u w:val="single"/>
        </w:rPr>
        <w:t xml:space="preserve"> 20 %</w:t>
      </w:r>
      <w:r>
        <w:rPr>
          <w:rFonts w:hint="eastAsia" w:ascii="宋体" w:hAnsi="宋体" w:eastAsia="宋体" w:cs="宋体"/>
          <w:color w:val="auto"/>
          <w:szCs w:val="21"/>
          <w:highlight w:val="none"/>
        </w:rPr>
        <w:t>的违约金，并且给甲方造成的经济损失由乙方承担赔偿责任。</w:t>
      </w:r>
    </w:p>
    <w:p w14:paraId="5EBDF5E9">
      <w:pPr>
        <w:pStyle w:val="32"/>
        <w:numPr>
          <w:ilvl w:val="0"/>
          <w:numId w:val="96"/>
        </w:numPr>
        <w:tabs>
          <w:tab w:val="left" w:pos="840"/>
        </w:tabs>
        <w:ind w:firstLineChars="0"/>
        <w:rPr>
          <w:rFonts w:hint="eastAsia" w:ascii="宋体" w:hAnsi="宋体" w:eastAsia="宋体" w:cs="宋体"/>
          <w:color w:val="auto"/>
          <w:szCs w:val="21"/>
        </w:rPr>
      </w:pPr>
      <w:r>
        <w:rPr>
          <w:rFonts w:hint="eastAsia" w:ascii="宋体" w:hAnsi="宋体" w:eastAsia="宋体" w:cs="宋体"/>
          <w:color w:val="auto"/>
          <w:szCs w:val="21"/>
          <w:highlight w:val="none"/>
        </w:rPr>
        <w:t>甲方有权从未支付的款项或是履约保证金中直接扣除乙方的违约金，不足的部分由乙</w:t>
      </w:r>
      <w:r>
        <w:rPr>
          <w:rFonts w:hint="eastAsia" w:ascii="宋体" w:hAnsi="宋体" w:eastAsia="宋体" w:cs="宋体"/>
          <w:color w:val="auto"/>
          <w:szCs w:val="21"/>
        </w:rPr>
        <w:t>方另行补足。</w:t>
      </w:r>
    </w:p>
    <w:p w14:paraId="388FD213">
      <w:pPr>
        <w:pStyle w:val="27"/>
        <w:numPr>
          <w:ilvl w:val="0"/>
          <w:numId w:val="77"/>
        </w:numPr>
        <w:spacing w:before="217" w:beforeLines="50"/>
        <w:ind w:firstLineChars="0"/>
        <w:rPr>
          <w:rFonts w:hint="eastAsia" w:ascii="宋体" w:hAnsi="宋体" w:eastAsia="宋体" w:cs="宋体"/>
          <w:b/>
          <w:color w:val="auto"/>
          <w:spacing w:val="20"/>
          <w:szCs w:val="21"/>
        </w:rPr>
      </w:pPr>
      <w:r>
        <w:rPr>
          <w:rFonts w:hint="eastAsia" w:ascii="宋体" w:hAnsi="宋体" w:eastAsia="宋体" w:cs="宋体"/>
          <w:b/>
          <w:color w:val="auto"/>
          <w:spacing w:val="20"/>
          <w:szCs w:val="21"/>
        </w:rPr>
        <w:t>争议的解决办法</w:t>
      </w:r>
    </w:p>
    <w:p w14:paraId="007AE1FF">
      <w:pPr>
        <w:numPr>
          <w:ilvl w:val="0"/>
          <w:numId w:val="97"/>
        </w:numPr>
        <w:rPr>
          <w:rFonts w:hint="eastAsia" w:ascii="宋体" w:hAnsi="宋体" w:eastAsia="宋体" w:cs="宋体"/>
          <w:color w:val="auto"/>
          <w:szCs w:val="21"/>
        </w:rPr>
      </w:pPr>
      <w:r>
        <w:rPr>
          <w:rFonts w:hint="eastAsia" w:ascii="宋体" w:hAnsi="宋体" w:eastAsia="宋体" w:cs="宋体"/>
          <w:color w:val="auto"/>
          <w:szCs w:val="21"/>
        </w:rPr>
        <w:t>凡与本合同有关而引起的一切争议，甲乙双方应首先通过友好协商解决，如经协商后仍不能达成协议时，任何一方可以向法院提出诉讼。</w:t>
      </w:r>
    </w:p>
    <w:p w14:paraId="053CA4DE">
      <w:pPr>
        <w:numPr>
          <w:ilvl w:val="0"/>
          <w:numId w:val="97"/>
        </w:numPr>
        <w:rPr>
          <w:rFonts w:hint="eastAsia" w:ascii="宋体" w:hAnsi="宋体" w:eastAsia="宋体" w:cs="宋体"/>
          <w:color w:val="auto"/>
          <w:szCs w:val="21"/>
        </w:rPr>
      </w:pPr>
      <w:r>
        <w:rPr>
          <w:rFonts w:hint="eastAsia" w:ascii="宋体" w:hAnsi="宋体" w:eastAsia="宋体" w:cs="宋体"/>
          <w:color w:val="auto"/>
          <w:szCs w:val="21"/>
        </w:rPr>
        <w:t>本合同发生的诉讼管辖地为东莞市有管辖权的法院。</w:t>
      </w:r>
    </w:p>
    <w:p w14:paraId="028D9918">
      <w:pPr>
        <w:numPr>
          <w:ilvl w:val="0"/>
          <w:numId w:val="97"/>
        </w:numPr>
        <w:rPr>
          <w:rFonts w:hint="eastAsia" w:ascii="宋体" w:hAnsi="宋体" w:eastAsia="宋体" w:cs="宋体"/>
          <w:color w:val="auto"/>
          <w:szCs w:val="21"/>
        </w:rPr>
      </w:pPr>
      <w:r>
        <w:rPr>
          <w:rFonts w:hint="eastAsia" w:ascii="宋体" w:hAnsi="宋体" w:eastAsia="宋体" w:cs="宋体"/>
          <w:color w:val="auto"/>
          <w:szCs w:val="21"/>
        </w:rPr>
        <w:t>在进行法院审理期间，除提交法院审理的事项外，合同其他部分仍继续履行。</w:t>
      </w:r>
    </w:p>
    <w:p w14:paraId="0D36CE6C">
      <w:pPr>
        <w:numPr>
          <w:ilvl w:val="0"/>
          <w:numId w:val="97"/>
        </w:numPr>
        <w:rPr>
          <w:rFonts w:hint="eastAsia" w:ascii="宋体" w:hAnsi="宋体" w:eastAsia="宋体" w:cs="宋体"/>
          <w:color w:val="auto"/>
          <w:szCs w:val="21"/>
        </w:rPr>
      </w:pPr>
      <w:r>
        <w:rPr>
          <w:rFonts w:hint="eastAsia" w:ascii="宋体" w:hAnsi="宋体" w:eastAsia="宋体" w:cs="宋体"/>
          <w:color w:val="auto"/>
          <w:szCs w:val="21"/>
        </w:rPr>
        <w:t>本合同按照中华人民共和国的法律进行解释。</w:t>
      </w:r>
    </w:p>
    <w:p w14:paraId="0A99CF3F">
      <w:pPr>
        <w:pStyle w:val="27"/>
        <w:numPr>
          <w:ilvl w:val="0"/>
          <w:numId w:val="77"/>
        </w:numPr>
        <w:spacing w:before="217" w:beforeLines="50"/>
        <w:ind w:firstLineChars="0"/>
        <w:rPr>
          <w:rFonts w:hint="eastAsia" w:ascii="宋体" w:hAnsi="宋体" w:eastAsia="宋体" w:cs="宋体"/>
          <w:b/>
          <w:color w:val="auto"/>
          <w:spacing w:val="20"/>
          <w:szCs w:val="21"/>
        </w:rPr>
      </w:pPr>
      <w:r>
        <w:rPr>
          <w:rFonts w:hint="eastAsia" w:ascii="宋体" w:hAnsi="宋体" w:eastAsia="宋体" w:cs="宋体"/>
          <w:b/>
          <w:color w:val="auto"/>
          <w:spacing w:val="20"/>
          <w:szCs w:val="21"/>
        </w:rPr>
        <w:t>不可抗力</w:t>
      </w:r>
    </w:p>
    <w:p w14:paraId="49B059E6">
      <w:pPr>
        <w:numPr>
          <w:ilvl w:val="0"/>
          <w:numId w:val="98"/>
        </w:numPr>
        <w:rPr>
          <w:rFonts w:hint="eastAsia" w:ascii="宋体" w:hAnsi="宋体" w:eastAsia="宋体" w:cs="宋体"/>
          <w:color w:val="auto"/>
          <w:szCs w:val="21"/>
        </w:rPr>
      </w:pPr>
      <w:r>
        <w:rPr>
          <w:rFonts w:hint="eastAsia" w:ascii="宋体" w:hAnsi="宋体" w:eastAsia="宋体" w:cs="宋体"/>
          <w:color w:val="auto"/>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D75BC14">
      <w:pPr>
        <w:numPr>
          <w:ilvl w:val="0"/>
          <w:numId w:val="98"/>
        </w:numPr>
        <w:rPr>
          <w:rFonts w:hint="eastAsia" w:ascii="宋体" w:hAnsi="宋体" w:eastAsia="宋体" w:cs="宋体"/>
          <w:color w:val="auto"/>
          <w:szCs w:val="21"/>
        </w:rPr>
      </w:pPr>
      <w:r>
        <w:rPr>
          <w:rFonts w:hint="eastAsia" w:ascii="宋体" w:hAnsi="宋体" w:eastAsia="宋体" w:cs="宋体"/>
          <w:color w:val="auto"/>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8BD10F2">
      <w:pPr>
        <w:pStyle w:val="27"/>
        <w:numPr>
          <w:ilvl w:val="0"/>
          <w:numId w:val="77"/>
        </w:numPr>
        <w:tabs>
          <w:tab w:val="left" w:pos="567"/>
        </w:tabs>
        <w:spacing w:before="217" w:beforeLines="50"/>
        <w:ind w:firstLineChars="0"/>
        <w:rPr>
          <w:rFonts w:hint="eastAsia" w:ascii="宋体" w:hAnsi="宋体" w:eastAsia="宋体" w:cs="宋体"/>
          <w:b/>
          <w:color w:val="auto"/>
          <w:spacing w:val="20"/>
          <w:szCs w:val="21"/>
        </w:rPr>
      </w:pPr>
      <w:r>
        <w:rPr>
          <w:rFonts w:hint="eastAsia" w:ascii="宋体" w:hAnsi="宋体" w:eastAsia="宋体" w:cs="宋体"/>
          <w:b/>
          <w:color w:val="auto"/>
          <w:spacing w:val="20"/>
          <w:szCs w:val="21"/>
        </w:rPr>
        <w:t>合同生效</w:t>
      </w:r>
    </w:p>
    <w:p w14:paraId="08401146">
      <w:pPr>
        <w:pStyle w:val="27"/>
        <w:numPr>
          <w:ilvl w:val="0"/>
          <w:numId w:val="99"/>
        </w:numPr>
        <w:ind w:firstLineChars="0"/>
        <w:rPr>
          <w:rFonts w:hint="eastAsia" w:ascii="宋体" w:hAnsi="宋体" w:eastAsia="宋体" w:cs="宋体"/>
          <w:color w:val="auto"/>
          <w:szCs w:val="21"/>
        </w:rPr>
      </w:pPr>
      <w:r>
        <w:rPr>
          <w:rFonts w:hint="eastAsia" w:ascii="宋体" w:hAnsi="宋体" w:eastAsia="宋体" w:cs="宋体"/>
          <w:color w:val="auto"/>
          <w:szCs w:val="21"/>
        </w:rPr>
        <w:t>本合同由双方法定代表人或委托代理人签字盖章后立即生效，具有同等法律效力，服务期为合同签订日至</w:t>
      </w:r>
      <w:r>
        <w:rPr>
          <w:rFonts w:hint="eastAsia" w:ascii="宋体" w:hAnsi="宋体" w:eastAsia="宋体" w:cs="宋体"/>
          <w:color w:val="auto"/>
          <w:szCs w:val="21"/>
          <w:u w:val="single"/>
        </w:rPr>
        <w:t xml:space="preserve">      年    月    日</w:t>
      </w:r>
      <w:r>
        <w:rPr>
          <w:rFonts w:hint="eastAsia" w:ascii="宋体" w:hAnsi="宋体" w:eastAsia="宋体" w:cs="宋体"/>
          <w:color w:val="auto"/>
          <w:szCs w:val="21"/>
        </w:rPr>
        <w:t>，合同有效期随服务期结束而自然终止；</w:t>
      </w:r>
    </w:p>
    <w:p w14:paraId="1CE35990">
      <w:pPr>
        <w:pStyle w:val="27"/>
        <w:numPr>
          <w:ilvl w:val="0"/>
          <w:numId w:val="99"/>
        </w:numPr>
        <w:ind w:firstLineChars="0"/>
        <w:rPr>
          <w:rFonts w:hint="eastAsia" w:ascii="宋体" w:hAnsi="宋体" w:eastAsia="宋体" w:cs="宋体"/>
          <w:color w:val="auto"/>
          <w:szCs w:val="21"/>
        </w:rPr>
      </w:pPr>
      <w:r>
        <w:rPr>
          <w:rFonts w:hint="eastAsia" w:ascii="宋体" w:hAnsi="宋体" w:eastAsia="宋体" w:cs="宋体"/>
          <w:color w:val="auto"/>
          <w:szCs w:val="21"/>
        </w:rPr>
        <w:t>本合同一式</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份，其中甲方</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份、乙方</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份，采购代理机构</w:t>
      </w:r>
      <w:r>
        <w:rPr>
          <w:rFonts w:hint="eastAsia" w:ascii="宋体" w:hAnsi="宋体" w:eastAsia="宋体" w:cs="宋体"/>
          <w:color w:val="auto"/>
          <w:szCs w:val="21"/>
          <w:u w:val="single"/>
        </w:rPr>
        <w:t xml:space="preserve">  壹  </w:t>
      </w:r>
      <w:r>
        <w:rPr>
          <w:rFonts w:hint="eastAsia" w:ascii="宋体" w:hAnsi="宋体" w:eastAsia="宋体" w:cs="宋体"/>
          <w:color w:val="auto"/>
          <w:szCs w:val="21"/>
        </w:rPr>
        <w:t>份（须在合同签订之日起5个工作日内递交）</w:t>
      </w:r>
    </w:p>
    <w:p w14:paraId="58EFA674">
      <w:pPr>
        <w:pStyle w:val="27"/>
        <w:numPr>
          <w:ilvl w:val="0"/>
          <w:numId w:val="77"/>
        </w:numPr>
        <w:tabs>
          <w:tab w:val="left" w:pos="567"/>
        </w:tabs>
        <w:spacing w:before="217" w:beforeLines="50"/>
        <w:ind w:firstLineChars="0"/>
        <w:rPr>
          <w:rFonts w:hint="eastAsia" w:ascii="宋体" w:hAnsi="宋体" w:eastAsia="宋体" w:cs="宋体"/>
          <w:b/>
          <w:color w:val="auto"/>
          <w:spacing w:val="20"/>
          <w:szCs w:val="21"/>
        </w:rPr>
      </w:pPr>
      <w:r>
        <w:rPr>
          <w:rFonts w:hint="eastAsia" w:ascii="宋体" w:hAnsi="宋体" w:eastAsia="宋体" w:cs="宋体"/>
          <w:b/>
          <w:color w:val="auto"/>
          <w:spacing w:val="20"/>
          <w:szCs w:val="21"/>
        </w:rPr>
        <w:t>其它</w:t>
      </w:r>
    </w:p>
    <w:p w14:paraId="7CD1925E">
      <w:pPr>
        <w:pStyle w:val="27"/>
        <w:numPr>
          <w:ilvl w:val="0"/>
          <w:numId w:val="100"/>
        </w:numPr>
        <w:ind w:firstLineChars="0"/>
        <w:rPr>
          <w:rFonts w:hint="eastAsia" w:ascii="宋体" w:hAnsi="宋体" w:eastAsia="宋体" w:cs="宋体"/>
          <w:color w:val="auto"/>
          <w:szCs w:val="21"/>
        </w:rPr>
      </w:pPr>
      <w:r>
        <w:rPr>
          <w:rFonts w:hint="eastAsia" w:ascii="宋体" w:hAnsi="宋体" w:eastAsia="宋体" w:cs="宋体"/>
          <w:color w:val="auto"/>
          <w:szCs w:val="21"/>
        </w:rPr>
        <w:t>本合同未尽事宜，双方可签订补充合同，补充合同与所有附件均为合同的有效组成部分，与本合同具有同等法律效力；</w:t>
      </w:r>
    </w:p>
    <w:p w14:paraId="0EE92560">
      <w:pPr>
        <w:pStyle w:val="27"/>
        <w:numPr>
          <w:ilvl w:val="0"/>
          <w:numId w:val="100"/>
        </w:numPr>
        <w:ind w:firstLineChars="0"/>
        <w:rPr>
          <w:rFonts w:hint="eastAsia" w:ascii="宋体" w:hAnsi="宋体" w:eastAsia="宋体" w:cs="宋体"/>
          <w:color w:val="auto"/>
          <w:szCs w:val="21"/>
        </w:rPr>
      </w:pPr>
      <w:r>
        <w:rPr>
          <w:rFonts w:hint="eastAsia" w:ascii="宋体" w:hAnsi="宋体" w:eastAsia="宋体" w:cs="宋体"/>
          <w:color w:val="auto"/>
          <w:szCs w:val="21"/>
        </w:rPr>
        <w:t>在执行本合同的过程中，所有经甲乙双方签署确认的文件（包括会议纪要、补充协议、往来信函、合同附件等）即成为本合同的有效组成部分，其生效日期为双方签字盖章或确认之日期；</w:t>
      </w:r>
    </w:p>
    <w:p w14:paraId="214B85DB">
      <w:pPr>
        <w:pStyle w:val="27"/>
        <w:numPr>
          <w:ilvl w:val="0"/>
          <w:numId w:val="100"/>
        </w:numPr>
        <w:ind w:firstLineChars="0"/>
        <w:rPr>
          <w:rFonts w:hint="eastAsia" w:ascii="宋体" w:hAnsi="宋体" w:eastAsia="宋体" w:cs="宋体"/>
          <w:color w:val="auto"/>
          <w:szCs w:val="21"/>
        </w:rPr>
      </w:pPr>
      <w:r>
        <w:rPr>
          <w:rFonts w:hint="eastAsia" w:ascii="宋体" w:hAnsi="宋体" w:eastAsia="宋体" w:cs="宋体"/>
          <w:color w:val="auto"/>
          <w:szCs w:val="21"/>
        </w:rPr>
        <w:t>本合同合计</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页A4纸张，缺页之合同为无效合同。</w:t>
      </w:r>
    </w:p>
    <w:p w14:paraId="695ADBF4">
      <w:pPr>
        <w:rPr>
          <w:rFonts w:hint="eastAsia" w:ascii="宋体" w:hAnsi="宋体" w:eastAsia="宋体" w:cs="宋体"/>
          <w:color w:val="auto"/>
          <w:szCs w:val="21"/>
        </w:rPr>
      </w:pPr>
    </w:p>
    <w:p w14:paraId="5DB4FEB9">
      <w:pPr>
        <w:rPr>
          <w:rFonts w:hint="eastAsia" w:ascii="宋体" w:hAnsi="宋体" w:eastAsia="宋体" w:cs="宋体"/>
          <w:color w:val="auto"/>
          <w:szCs w:val="21"/>
        </w:rPr>
      </w:pPr>
    </w:p>
    <w:p w14:paraId="039CEC4E">
      <w:pPr>
        <w:rPr>
          <w:rFonts w:hint="eastAsia" w:ascii="宋体" w:hAnsi="宋体" w:eastAsia="宋体" w:cs="宋体"/>
          <w:color w:val="auto"/>
          <w:szCs w:val="21"/>
        </w:rPr>
      </w:pPr>
    </w:p>
    <w:tbl>
      <w:tblPr>
        <w:tblStyle w:val="1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364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2231CC">
            <w:pPr>
              <w:rPr>
                <w:rFonts w:hint="eastAsia" w:ascii="宋体" w:hAnsi="宋体" w:eastAsia="宋体" w:cs="宋体"/>
                <w:color w:val="auto"/>
                <w:szCs w:val="21"/>
              </w:rPr>
            </w:pPr>
            <w:r>
              <w:rPr>
                <w:rFonts w:hint="eastAsia" w:ascii="宋体" w:hAnsi="宋体" w:eastAsia="宋体" w:cs="宋体"/>
                <w:color w:val="auto"/>
                <w:szCs w:val="21"/>
              </w:rPr>
              <w:t>甲方（盖章）：</w:t>
            </w:r>
          </w:p>
        </w:tc>
        <w:tc>
          <w:tcPr>
            <w:tcW w:w="2500" w:type="pct"/>
          </w:tcPr>
          <w:p w14:paraId="58DD2132">
            <w:pPr>
              <w:rPr>
                <w:rFonts w:hint="eastAsia" w:ascii="宋体" w:hAnsi="宋体" w:eastAsia="宋体" w:cs="宋体"/>
                <w:color w:val="auto"/>
                <w:szCs w:val="21"/>
              </w:rPr>
            </w:pPr>
            <w:r>
              <w:rPr>
                <w:rFonts w:hint="eastAsia" w:ascii="宋体" w:hAnsi="宋体" w:eastAsia="宋体" w:cs="宋体"/>
                <w:color w:val="auto"/>
                <w:szCs w:val="21"/>
              </w:rPr>
              <w:t>乙方(盖章)：</w:t>
            </w:r>
          </w:p>
        </w:tc>
      </w:tr>
      <w:tr w14:paraId="598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AD8B54">
            <w:pPr>
              <w:rPr>
                <w:rFonts w:hint="eastAsia" w:ascii="宋体" w:hAnsi="宋体" w:eastAsia="宋体" w:cs="宋体"/>
                <w:color w:val="auto"/>
                <w:szCs w:val="21"/>
              </w:rPr>
            </w:pPr>
            <w:r>
              <w:rPr>
                <w:rFonts w:hint="eastAsia" w:ascii="宋体" w:hAnsi="宋体" w:eastAsia="宋体" w:cs="宋体"/>
                <w:color w:val="auto"/>
                <w:szCs w:val="21"/>
              </w:rPr>
              <w:t>甲方代表人(签字)：</w:t>
            </w:r>
          </w:p>
        </w:tc>
        <w:tc>
          <w:tcPr>
            <w:tcW w:w="2500" w:type="pct"/>
          </w:tcPr>
          <w:p w14:paraId="25C6E012">
            <w:pPr>
              <w:rPr>
                <w:rFonts w:hint="eastAsia" w:ascii="宋体" w:hAnsi="宋体" w:eastAsia="宋体" w:cs="宋体"/>
                <w:color w:val="auto"/>
                <w:szCs w:val="21"/>
              </w:rPr>
            </w:pPr>
            <w:r>
              <w:rPr>
                <w:rFonts w:hint="eastAsia" w:ascii="宋体" w:hAnsi="宋体" w:eastAsia="宋体" w:cs="宋体"/>
                <w:color w:val="auto"/>
                <w:szCs w:val="21"/>
              </w:rPr>
              <w:t>乙方代表人(签字)：</w:t>
            </w:r>
          </w:p>
        </w:tc>
      </w:tr>
      <w:tr w14:paraId="5ABFB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98548A0">
            <w:pPr>
              <w:rPr>
                <w:rFonts w:hint="eastAsia" w:ascii="宋体" w:hAnsi="宋体" w:eastAsia="宋体" w:cs="宋体"/>
                <w:color w:val="auto"/>
                <w:szCs w:val="21"/>
              </w:rPr>
            </w:pPr>
            <w:r>
              <w:rPr>
                <w:rFonts w:hint="eastAsia" w:ascii="宋体" w:hAnsi="宋体" w:eastAsia="宋体" w:cs="宋体"/>
                <w:color w:val="auto"/>
                <w:szCs w:val="21"/>
              </w:rPr>
              <w:t>签字日期：</w:t>
            </w:r>
          </w:p>
        </w:tc>
        <w:tc>
          <w:tcPr>
            <w:tcW w:w="2500" w:type="pct"/>
          </w:tcPr>
          <w:p w14:paraId="69401703">
            <w:pPr>
              <w:rPr>
                <w:rFonts w:hint="eastAsia" w:ascii="宋体" w:hAnsi="宋体" w:eastAsia="宋体" w:cs="宋体"/>
                <w:color w:val="auto"/>
                <w:szCs w:val="21"/>
              </w:rPr>
            </w:pPr>
            <w:r>
              <w:rPr>
                <w:rFonts w:hint="eastAsia" w:ascii="宋体" w:hAnsi="宋体" w:eastAsia="宋体" w:cs="宋体"/>
                <w:color w:val="auto"/>
                <w:szCs w:val="21"/>
              </w:rPr>
              <w:t>签字日期：</w:t>
            </w:r>
          </w:p>
        </w:tc>
      </w:tr>
      <w:tr w14:paraId="47211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7AB0F57">
            <w:pPr>
              <w:rPr>
                <w:rFonts w:hint="eastAsia" w:ascii="宋体" w:hAnsi="宋体" w:eastAsia="宋体" w:cs="宋体"/>
                <w:color w:val="auto"/>
                <w:szCs w:val="21"/>
              </w:rPr>
            </w:pPr>
            <w:r>
              <w:rPr>
                <w:rFonts w:hint="eastAsia" w:ascii="宋体" w:hAnsi="宋体" w:eastAsia="宋体" w:cs="宋体"/>
                <w:color w:val="auto"/>
                <w:szCs w:val="21"/>
              </w:rPr>
              <w:t>地址：</w:t>
            </w:r>
          </w:p>
        </w:tc>
        <w:tc>
          <w:tcPr>
            <w:tcW w:w="2500" w:type="pct"/>
          </w:tcPr>
          <w:p w14:paraId="4878389F">
            <w:pPr>
              <w:rPr>
                <w:rFonts w:hint="eastAsia" w:ascii="宋体" w:hAnsi="宋体" w:eastAsia="宋体" w:cs="宋体"/>
                <w:color w:val="auto"/>
                <w:szCs w:val="21"/>
              </w:rPr>
            </w:pPr>
            <w:r>
              <w:rPr>
                <w:rFonts w:hint="eastAsia" w:ascii="宋体" w:hAnsi="宋体" w:eastAsia="宋体" w:cs="宋体"/>
                <w:color w:val="auto"/>
                <w:szCs w:val="21"/>
              </w:rPr>
              <w:t>地址：</w:t>
            </w:r>
          </w:p>
        </w:tc>
      </w:tr>
      <w:tr w14:paraId="1E8BE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B7F5E5">
            <w:pPr>
              <w:rPr>
                <w:rFonts w:hint="eastAsia" w:ascii="宋体" w:hAnsi="宋体" w:eastAsia="宋体" w:cs="宋体"/>
                <w:color w:val="auto"/>
                <w:szCs w:val="21"/>
              </w:rPr>
            </w:pPr>
            <w:r>
              <w:rPr>
                <w:rFonts w:hint="eastAsia" w:ascii="宋体" w:hAnsi="宋体" w:eastAsia="宋体" w:cs="宋体"/>
                <w:color w:val="auto"/>
                <w:szCs w:val="21"/>
              </w:rPr>
              <w:t>电话：</w:t>
            </w:r>
          </w:p>
        </w:tc>
        <w:tc>
          <w:tcPr>
            <w:tcW w:w="2500" w:type="pct"/>
          </w:tcPr>
          <w:p w14:paraId="3B614B20">
            <w:pPr>
              <w:rPr>
                <w:rFonts w:hint="eastAsia" w:ascii="宋体" w:hAnsi="宋体" w:eastAsia="宋体" w:cs="宋体"/>
                <w:color w:val="auto"/>
                <w:szCs w:val="21"/>
              </w:rPr>
            </w:pPr>
            <w:r>
              <w:rPr>
                <w:rFonts w:hint="eastAsia" w:ascii="宋体" w:hAnsi="宋体" w:eastAsia="宋体" w:cs="宋体"/>
                <w:color w:val="auto"/>
                <w:szCs w:val="21"/>
              </w:rPr>
              <w:t>电话：</w:t>
            </w:r>
          </w:p>
        </w:tc>
      </w:tr>
      <w:tr w14:paraId="371D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8BFAFC7">
            <w:pPr>
              <w:rPr>
                <w:rFonts w:hint="eastAsia" w:ascii="宋体" w:hAnsi="宋体" w:eastAsia="宋体" w:cs="宋体"/>
                <w:color w:val="auto"/>
                <w:szCs w:val="21"/>
              </w:rPr>
            </w:pPr>
            <w:r>
              <w:rPr>
                <w:rFonts w:hint="eastAsia" w:ascii="宋体" w:hAnsi="宋体" w:eastAsia="宋体" w:cs="宋体"/>
                <w:color w:val="auto"/>
                <w:szCs w:val="21"/>
              </w:rPr>
              <w:t>传真：</w:t>
            </w:r>
          </w:p>
        </w:tc>
        <w:tc>
          <w:tcPr>
            <w:tcW w:w="2500" w:type="pct"/>
          </w:tcPr>
          <w:p w14:paraId="6CC75BE7">
            <w:pPr>
              <w:rPr>
                <w:rFonts w:hint="eastAsia" w:ascii="宋体" w:hAnsi="宋体" w:eastAsia="宋体" w:cs="宋体"/>
                <w:color w:val="auto"/>
                <w:szCs w:val="21"/>
              </w:rPr>
            </w:pPr>
            <w:r>
              <w:rPr>
                <w:rFonts w:hint="eastAsia" w:ascii="宋体" w:hAnsi="宋体" w:eastAsia="宋体" w:cs="宋体"/>
                <w:color w:val="auto"/>
                <w:szCs w:val="21"/>
              </w:rPr>
              <w:t>传真：</w:t>
            </w:r>
          </w:p>
        </w:tc>
      </w:tr>
      <w:tr w14:paraId="217B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5E0EE89">
            <w:pPr>
              <w:rPr>
                <w:rFonts w:hint="eastAsia" w:ascii="宋体" w:hAnsi="宋体" w:eastAsia="宋体" w:cs="宋体"/>
                <w:color w:val="auto"/>
                <w:szCs w:val="21"/>
              </w:rPr>
            </w:pPr>
            <w:r>
              <w:rPr>
                <w:rFonts w:hint="eastAsia" w:ascii="宋体" w:hAnsi="宋体" w:eastAsia="宋体" w:cs="宋体"/>
                <w:color w:val="auto"/>
                <w:szCs w:val="21"/>
              </w:rPr>
              <w:t>开户银行：</w:t>
            </w:r>
          </w:p>
        </w:tc>
        <w:tc>
          <w:tcPr>
            <w:tcW w:w="2500" w:type="pct"/>
          </w:tcPr>
          <w:p w14:paraId="212B9EE4">
            <w:pPr>
              <w:rPr>
                <w:rFonts w:hint="eastAsia" w:ascii="宋体" w:hAnsi="宋体" w:eastAsia="宋体" w:cs="宋体"/>
                <w:color w:val="auto"/>
                <w:szCs w:val="21"/>
              </w:rPr>
            </w:pPr>
            <w:r>
              <w:rPr>
                <w:rFonts w:hint="eastAsia" w:ascii="宋体" w:hAnsi="宋体" w:eastAsia="宋体" w:cs="宋体"/>
                <w:color w:val="auto"/>
                <w:szCs w:val="21"/>
              </w:rPr>
              <w:t>开户银行：</w:t>
            </w:r>
          </w:p>
        </w:tc>
      </w:tr>
      <w:tr w14:paraId="20C2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9BE321">
            <w:pPr>
              <w:rPr>
                <w:rFonts w:hint="eastAsia" w:ascii="宋体" w:hAnsi="宋体" w:eastAsia="宋体" w:cs="宋体"/>
                <w:color w:val="auto"/>
                <w:szCs w:val="21"/>
              </w:rPr>
            </w:pPr>
            <w:r>
              <w:rPr>
                <w:rFonts w:hint="eastAsia" w:ascii="宋体" w:hAnsi="宋体" w:eastAsia="宋体" w:cs="宋体"/>
                <w:color w:val="auto"/>
                <w:szCs w:val="21"/>
              </w:rPr>
              <w:t>银行账户：</w:t>
            </w:r>
          </w:p>
        </w:tc>
        <w:tc>
          <w:tcPr>
            <w:tcW w:w="2500" w:type="pct"/>
          </w:tcPr>
          <w:p w14:paraId="01652828">
            <w:pPr>
              <w:rPr>
                <w:rFonts w:hint="eastAsia" w:ascii="宋体" w:hAnsi="宋体" w:eastAsia="宋体" w:cs="宋体"/>
                <w:color w:val="auto"/>
                <w:szCs w:val="21"/>
              </w:rPr>
            </w:pPr>
            <w:r>
              <w:rPr>
                <w:rFonts w:hint="eastAsia" w:ascii="宋体" w:hAnsi="宋体" w:eastAsia="宋体" w:cs="宋体"/>
                <w:color w:val="auto"/>
                <w:szCs w:val="21"/>
              </w:rPr>
              <w:t>银行账户：</w:t>
            </w:r>
          </w:p>
        </w:tc>
      </w:tr>
    </w:tbl>
    <w:p w14:paraId="4F12B076">
      <w:pPr>
        <w:rPr>
          <w:rFonts w:hint="eastAsia" w:ascii="宋体" w:hAnsi="宋体" w:eastAsia="宋体" w:cs="宋体"/>
          <w:color w:val="auto"/>
          <w:szCs w:val="21"/>
        </w:rPr>
      </w:pPr>
    </w:p>
    <w:p w14:paraId="25A164C6">
      <w:pPr>
        <w:pageBreakBefore/>
        <w:widowControl/>
        <w:jc w:val="center"/>
        <w:outlineLvl w:val="1"/>
        <w:rPr>
          <w:rFonts w:hint="eastAsia" w:ascii="宋体" w:hAnsi="宋体" w:eastAsia="宋体" w:cs="宋体"/>
          <w:color w:val="auto"/>
          <w:kern w:val="0"/>
          <w:sz w:val="20"/>
          <w:szCs w:val="20"/>
          <w:lang w:eastAsia="zh-Hans"/>
        </w:rPr>
      </w:pPr>
      <w:bookmarkStart w:id="31" w:name="_Toc169807545"/>
      <w:bookmarkStart w:id="32" w:name="_Toc169799784"/>
      <w:r>
        <w:rPr>
          <w:rFonts w:hint="eastAsia" w:ascii="宋体" w:hAnsi="宋体" w:eastAsia="宋体" w:cs="宋体"/>
          <w:b/>
          <w:color w:val="auto"/>
          <w:kern w:val="0"/>
          <w:sz w:val="36"/>
          <w:szCs w:val="20"/>
          <w:lang w:eastAsia="zh-Hans"/>
        </w:rPr>
        <w:t>第六章 投标文件格式</w:t>
      </w:r>
      <w:bookmarkEnd w:id="31"/>
      <w:bookmarkEnd w:id="32"/>
    </w:p>
    <w:p w14:paraId="1CE5421E">
      <w:pPr>
        <w:widowControl/>
        <w:jc w:val="left"/>
        <w:rPr>
          <w:rFonts w:hint="eastAsia" w:ascii="宋体" w:hAnsi="宋体" w:eastAsia="宋体" w:cs="宋体"/>
          <w:color w:val="auto"/>
          <w:kern w:val="0"/>
          <w:sz w:val="20"/>
          <w:szCs w:val="20"/>
          <w:lang w:eastAsia="zh-Hans"/>
        </w:rPr>
      </w:pPr>
    </w:p>
    <w:p w14:paraId="3A556CA0">
      <w:pPr>
        <w:spacing w:before="652" w:beforeLines="150"/>
        <w:jc w:val="center"/>
        <w:rPr>
          <w:rFonts w:hint="eastAsia" w:ascii="宋体" w:hAnsi="宋体" w:eastAsia="宋体" w:cs="宋体"/>
          <w:b/>
          <w:bCs/>
          <w:color w:val="auto"/>
          <w:sz w:val="80"/>
          <w:szCs w:val="80"/>
        </w:rPr>
      </w:pPr>
      <w:bookmarkStart w:id="33" w:name="_Toc169799785"/>
      <w:r>
        <w:rPr>
          <w:rFonts w:hint="eastAsia" w:ascii="宋体" w:hAnsi="宋体" w:eastAsia="宋体" w:cs="宋体"/>
          <w:b/>
          <w:bCs/>
          <w:color w:val="auto"/>
          <w:sz w:val="80"/>
          <w:szCs w:val="80"/>
        </w:rPr>
        <w:t>东莞市汽车技术学校2025年网络安全运维项目</w:t>
      </w:r>
    </w:p>
    <w:p w14:paraId="22263F55">
      <w:pPr>
        <w:spacing w:before="652" w:beforeLines="150"/>
        <w:jc w:val="center"/>
        <w:rPr>
          <w:rFonts w:hint="eastAsia" w:ascii="宋体" w:hAnsi="宋体" w:eastAsia="宋体" w:cs="宋体"/>
          <w:b/>
          <w:bCs/>
          <w:color w:val="auto"/>
          <w:spacing w:val="20"/>
          <w:sz w:val="80"/>
          <w:szCs w:val="80"/>
        </w:rPr>
      </w:pPr>
      <w:r>
        <w:rPr>
          <w:rFonts w:hint="eastAsia" w:ascii="宋体" w:hAnsi="宋体" w:eastAsia="宋体" w:cs="宋体"/>
          <w:b/>
          <w:bCs/>
          <w:color w:val="auto"/>
          <w:spacing w:val="20"/>
          <w:sz w:val="80"/>
          <w:szCs w:val="80"/>
        </w:rPr>
        <w:t>投标文件</w:t>
      </w:r>
      <w:bookmarkEnd w:id="33"/>
    </w:p>
    <w:p w14:paraId="4BC6EA96">
      <w:pPr>
        <w:jc w:val="center"/>
        <w:rPr>
          <w:rFonts w:hint="eastAsia" w:ascii="宋体" w:hAnsi="宋体" w:eastAsia="宋体" w:cs="宋体"/>
          <w:b/>
          <w:bCs/>
          <w:color w:val="auto"/>
        </w:rPr>
      </w:pPr>
      <w:bookmarkStart w:id="34" w:name="_Toc169799786"/>
      <w:r>
        <w:rPr>
          <w:rFonts w:hint="eastAsia" w:ascii="宋体" w:hAnsi="宋体" w:eastAsia="宋体" w:cs="宋体"/>
          <w:b/>
          <w:bCs/>
          <w:color w:val="auto"/>
          <w:sz w:val="44"/>
          <w:szCs w:val="48"/>
        </w:rPr>
        <w:t>（正本/副本）</w:t>
      </w:r>
      <w:bookmarkEnd w:id="34"/>
      <w:r>
        <w:rPr>
          <w:rFonts w:hint="eastAsia" w:ascii="宋体" w:hAnsi="宋体" w:eastAsia="宋体" w:cs="宋体"/>
          <w:b/>
          <w:bCs/>
          <w:color w:val="auto"/>
        </w:rPr>
        <w:br w:type="textWrapping"/>
      </w:r>
    </w:p>
    <w:p w14:paraId="29225CC7">
      <w:pPr>
        <w:keepNext w:val="0"/>
        <w:keepLines w:val="0"/>
        <w:pageBreakBefore w:val="0"/>
        <w:widowControl/>
        <w:kinsoku/>
        <w:wordWrap/>
        <w:overflowPunct/>
        <w:topLinePunct w:val="0"/>
        <w:autoSpaceDE/>
        <w:autoSpaceDN/>
        <w:bidi w:val="0"/>
        <w:adjustRightInd/>
        <w:snapToGrid/>
        <w:spacing w:before="2612" w:beforeLines="600" w:line="360" w:lineRule="auto"/>
        <w:ind w:firstLine="1558" w:firstLineChars="485"/>
        <w:jc w:val="left"/>
        <w:textAlignment w:val="auto"/>
        <w:outlineLvl w:val="3"/>
        <w:rPr>
          <w:rFonts w:hint="eastAsia" w:ascii="宋体" w:hAnsi="宋体" w:eastAsia="宋体" w:cs="宋体"/>
          <w:color w:val="auto"/>
          <w:kern w:val="0"/>
          <w:sz w:val="32"/>
          <w:szCs w:val="32"/>
        </w:rPr>
      </w:pPr>
      <w:r>
        <w:rPr>
          <w:rFonts w:hint="eastAsia" w:ascii="宋体" w:hAnsi="宋体" w:eastAsia="宋体" w:cs="宋体"/>
          <w:b/>
          <w:color w:val="auto"/>
          <w:kern w:val="0"/>
          <w:sz w:val="32"/>
          <w:szCs w:val="32"/>
          <w:lang w:eastAsia="zh-Hans"/>
        </w:rPr>
        <w:t>项目编号：</w:t>
      </w:r>
    </w:p>
    <w:p w14:paraId="1999A936">
      <w:pPr>
        <w:widowControl/>
        <w:spacing w:line="360" w:lineRule="auto"/>
        <w:ind w:firstLine="1558" w:firstLineChars="485"/>
        <w:jc w:val="left"/>
        <w:outlineLvl w:val="3"/>
        <w:rPr>
          <w:rFonts w:hint="eastAsia" w:ascii="宋体" w:hAnsi="宋体" w:eastAsia="宋体" w:cs="宋体"/>
          <w:color w:val="auto"/>
          <w:kern w:val="0"/>
          <w:sz w:val="24"/>
          <w:szCs w:val="24"/>
        </w:rPr>
      </w:pPr>
      <w:r>
        <w:rPr>
          <w:rFonts w:hint="eastAsia" w:ascii="宋体" w:hAnsi="宋体" w:eastAsia="宋体" w:cs="宋体"/>
          <w:b/>
          <w:color w:val="auto"/>
          <w:kern w:val="0"/>
          <w:sz w:val="32"/>
          <w:szCs w:val="32"/>
          <w:lang w:eastAsia="zh-Hans"/>
        </w:rPr>
        <w:t>投标人名称：</w:t>
      </w:r>
    </w:p>
    <w:p w14:paraId="36FD44B3">
      <w:pPr>
        <w:widowControl/>
        <w:spacing w:before="1305" w:beforeLines="300"/>
        <w:jc w:val="center"/>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32"/>
          <w:szCs w:val="32"/>
          <w:lang w:eastAsia="zh-Hans"/>
        </w:rPr>
        <w:t xml:space="preserve"> 年 月 日</w:t>
      </w:r>
    </w:p>
    <w:p w14:paraId="2D4156D4">
      <w:pPr>
        <w:widowControl/>
        <w:jc w:val="left"/>
        <w:rPr>
          <w:rFonts w:hint="eastAsia" w:ascii="宋体" w:hAnsi="宋体" w:eastAsia="宋体" w:cs="宋体"/>
          <w:color w:val="auto"/>
          <w:kern w:val="0"/>
          <w:sz w:val="20"/>
          <w:szCs w:val="20"/>
        </w:rPr>
      </w:pPr>
    </w:p>
    <w:p w14:paraId="3EACC7A6">
      <w:pPr>
        <w:pageBreakBefore/>
        <w:spacing w:after="217" w:afterLines="50"/>
        <w:jc w:val="center"/>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投标文件目录</w:t>
      </w:r>
    </w:p>
    <w:p w14:paraId="057413D5">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一、投标函</w:t>
      </w:r>
    </w:p>
    <w:p w14:paraId="512994C4">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二、开标一览表</w:t>
      </w:r>
    </w:p>
    <w:p w14:paraId="433CFA7F">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三、分项报价表</w:t>
      </w:r>
    </w:p>
    <w:p w14:paraId="6BBA1CBF">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四、中小企业声明函</w:t>
      </w:r>
    </w:p>
    <w:p w14:paraId="0F963B8C">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rPr>
        <w:t>五、</w:t>
      </w:r>
      <w:r>
        <w:rPr>
          <w:rFonts w:hint="eastAsia" w:ascii="宋体" w:hAnsi="宋体" w:eastAsia="宋体" w:cs="宋体"/>
          <w:color w:val="auto"/>
          <w:kern w:val="0"/>
          <w:szCs w:val="21"/>
          <w:lang w:eastAsia="zh-Hans"/>
        </w:rPr>
        <w:t>监狱企业</w:t>
      </w:r>
    </w:p>
    <w:p w14:paraId="5FE1DDF1">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rPr>
        <w:t>六、</w:t>
      </w:r>
      <w:r>
        <w:rPr>
          <w:rFonts w:hint="eastAsia" w:ascii="宋体" w:hAnsi="宋体" w:eastAsia="宋体" w:cs="宋体"/>
          <w:color w:val="auto"/>
          <w:kern w:val="0"/>
          <w:szCs w:val="21"/>
          <w:lang w:eastAsia="zh-Hans"/>
        </w:rPr>
        <w:t>残疾人福利性单位声明函</w:t>
      </w:r>
    </w:p>
    <w:p w14:paraId="06801FB1">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rPr>
        <w:t>七、</w:t>
      </w:r>
      <w:r>
        <w:rPr>
          <w:rFonts w:hint="eastAsia" w:ascii="宋体" w:hAnsi="宋体" w:eastAsia="宋体" w:cs="宋体"/>
          <w:color w:val="auto"/>
          <w:kern w:val="0"/>
          <w:szCs w:val="21"/>
          <w:lang w:eastAsia="zh-Hans"/>
        </w:rPr>
        <w:t>政策适用性说明</w:t>
      </w:r>
    </w:p>
    <w:p w14:paraId="520346D6">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rPr>
        <w:t>八、联合体共同投标协议书</w:t>
      </w:r>
    </w:p>
    <w:p w14:paraId="0463493B">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九、法定代表人证明书</w:t>
      </w:r>
    </w:p>
    <w:p w14:paraId="6FFD1DEB">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十、法定代表人授权委托书</w:t>
      </w:r>
    </w:p>
    <w:p w14:paraId="31661940">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rPr>
        <w:t>十</w:t>
      </w:r>
      <w:r>
        <w:rPr>
          <w:rFonts w:hint="eastAsia" w:ascii="宋体" w:hAnsi="宋体" w:eastAsia="宋体" w:cs="宋体"/>
          <w:color w:val="auto"/>
          <w:kern w:val="0"/>
          <w:szCs w:val="21"/>
          <w:lang w:val="en-US" w:eastAsia="zh-CN"/>
        </w:rPr>
        <w:t>一</w:t>
      </w:r>
      <w:r>
        <w:rPr>
          <w:rFonts w:hint="eastAsia" w:ascii="宋体" w:hAnsi="宋体" w:eastAsia="宋体" w:cs="宋体"/>
          <w:color w:val="auto"/>
          <w:kern w:val="0"/>
          <w:szCs w:val="21"/>
        </w:rPr>
        <w:t>、资格条件承诺函</w:t>
      </w:r>
    </w:p>
    <w:p w14:paraId="118B6973">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十</w:t>
      </w:r>
      <w:r>
        <w:rPr>
          <w:rFonts w:hint="eastAsia" w:ascii="宋体" w:hAnsi="宋体" w:eastAsia="宋体" w:cs="宋体"/>
          <w:color w:val="auto"/>
          <w:kern w:val="0"/>
          <w:szCs w:val="21"/>
          <w:lang w:val="en-US" w:eastAsia="zh-CN"/>
        </w:rPr>
        <w:t>二</w:t>
      </w:r>
      <w:r>
        <w:rPr>
          <w:rFonts w:hint="eastAsia" w:ascii="宋体" w:hAnsi="宋体" w:eastAsia="宋体" w:cs="宋体"/>
          <w:color w:val="auto"/>
          <w:kern w:val="0"/>
          <w:szCs w:val="21"/>
          <w:lang w:eastAsia="zh-Hans"/>
        </w:rPr>
        <w:t>、提供具有独立承担民事责任的能力的证明材料</w:t>
      </w:r>
    </w:p>
    <w:p w14:paraId="2C5908F1">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十</w:t>
      </w:r>
      <w:r>
        <w:rPr>
          <w:rFonts w:hint="eastAsia" w:ascii="宋体" w:hAnsi="宋体" w:eastAsia="宋体" w:cs="宋体"/>
          <w:color w:val="auto"/>
          <w:kern w:val="0"/>
          <w:szCs w:val="21"/>
          <w:lang w:val="en-US" w:eastAsia="zh-CN"/>
        </w:rPr>
        <w:t>三</w:t>
      </w:r>
      <w:r>
        <w:rPr>
          <w:rFonts w:hint="eastAsia" w:ascii="宋体" w:hAnsi="宋体" w:eastAsia="宋体" w:cs="宋体"/>
          <w:color w:val="auto"/>
          <w:kern w:val="0"/>
          <w:szCs w:val="21"/>
          <w:lang w:eastAsia="zh-Hans"/>
        </w:rPr>
        <w:t>、拟投入本项目设备情况表</w:t>
      </w:r>
    </w:p>
    <w:p w14:paraId="65C8EF60">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十</w:t>
      </w:r>
      <w:r>
        <w:rPr>
          <w:rFonts w:hint="eastAsia" w:ascii="宋体" w:hAnsi="宋体" w:eastAsia="宋体" w:cs="宋体"/>
          <w:color w:val="auto"/>
          <w:kern w:val="0"/>
          <w:szCs w:val="21"/>
          <w:lang w:val="en-US" w:eastAsia="zh-CN"/>
        </w:rPr>
        <w:t>四</w:t>
      </w:r>
      <w:r>
        <w:rPr>
          <w:rFonts w:hint="eastAsia" w:ascii="宋体" w:hAnsi="宋体" w:eastAsia="宋体" w:cs="宋体"/>
          <w:color w:val="auto"/>
          <w:kern w:val="0"/>
          <w:szCs w:val="21"/>
          <w:lang w:eastAsia="zh-Hans"/>
        </w:rPr>
        <w:t>、项目技术服务人员情况表</w:t>
      </w:r>
    </w:p>
    <w:p w14:paraId="41AFFB6B">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十</w:t>
      </w:r>
      <w:r>
        <w:rPr>
          <w:rFonts w:hint="eastAsia" w:ascii="宋体" w:hAnsi="宋体" w:eastAsia="宋体" w:cs="宋体"/>
          <w:color w:val="auto"/>
          <w:kern w:val="0"/>
          <w:szCs w:val="21"/>
          <w:lang w:val="en-US" w:eastAsia="zh-CN"/>
        </w:rPr>
        <w:t>五</w:t>
      </w:r>
      <w:r>
        <w:rPr>
          <w:rFonts w:hint="eastAsia" w:ascii="宋体" w:hAnsi="宋体" w:eastAsia="宋体" w:cs="宋体"/>
          <w:color w:val="auto"/>
          <w:kern w:val="0"/>
          <w:szCs w:val="21"/>
          <w:lang w:eastAsia="zh-Hans"/>
        </w:rPr>
        <w:t>、项目负责人简历表</w:t>
      </w:r>
    </w:p>
    <w:p w14:paraId="174D1A68">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十</w:t>
      </w:r>
      <w:r>
        <w:rPr>
          <w:rFonts w:hint="eastAsia" w:ascii="宋体" w:hAnsi="宋体" w:eastAsia="宋体" w:cs="宋体"/>
          <w:color w:val="auto"/>
          <w:kern w:val="0"/>
          <w:szCs w:val="21"/>
          <w:lang w:val="en-US" w:eastAsia="zh-CN"/>
        </w:rPr>
        <w:t>六</w:t>
      </w:r>
      <w:r>
        <w:rPr>
          <w:rFonts w:hint="eastAsia" w:ascii="宋体" w:hAnsi="宋体" w:eastAsia="宋体" w:cs="宋体"/>
          <w:color w:val="auto"/>
          <w:kern w:val="0"/>
          <w:szCs w:val="21"/>
          <w:lang w:eastAsia="zh-Hans"/>
        </w:rPr>
        <w:t>、投标人业绩情况表</w:t>
      </w:r>
    </w:p>
    <w:p w14:paraId="03FAB5CB">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十</w:t>
      </w:r>
      <w:r>
        <w:rPr>
          <w:rFonts w:hint="eastAsia" w:ascii="宋体" w:hAnsi="宋体" w:eastAsia="宋体" w:cs="宋体"/>
          <w:color w:val="auto"/>
          <w:kern w:val="0"/>
          <w:szCs w:val="21"/>
          <w:lang w:val="en-US" w:eastAsia="zh-CN"/>
        </w:rPr>
        <w:t>七</w:t>
      </w:r>
      <w:r>
        <w:rPr>
          <w:rFonts w:hint="eastAsia" w:ascii="宋体" w:hAnsi="宋体" w:eastAsia="宋体" w:cs="宋体"/>
          <w:color w:val="auto"/>
          <w:kern w:val="0"/>
          <w:szCs w:val="21"/>
          <w:lang w:eastAsia="zh-Hans"/>
        </w:rPr>
        <w:t>、技术和服务要求响应表</w:t>
      </w:r>
    </w:p>
    <w:p w14:paraId="441CCE17">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十</w:t>
      </w:r>
      <w:r>
        <w:rPr>
          <w:rFonts w:hint="eastAsia" w:ascii="宋体" w:hAnsi="宋体" w:eastAsia="宋体" w:cs="宋体"/>
          <w:color w:val="auto"/>
          <w:kern w:val="0"/>
          <w:szCs w:val="21"/>
          <w:lang w:val="en-US" w:eastAsia="zh-CN"/>
        </w:rPr>
        <w:t>八</w:t>
      </w:r>
      <w:r>
        <w:rPr>
          <w:rFonts w:hint="eastAsia" w:ascii="宋体" w:hAnsi="宋体" w:eastAsia="宋体" w:cs="宋体"/>
          <w:color w:val="auto"/>
          <w:kern w:val="0"/>
          <w:szCs w:val="21"/>
          <w:lang w:eastAsia="zh-Hans"/>
        </w:rPr>
        <w:t>、商务条件响应表</w:t>
      </w:r>
    </w:p>
    <w:p w14:paraId="201B1BAE">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val="en-US" w:eastAsia="zh-CN"/>
        </w:rPr>
        <w:t>十九</w:t>
      </w:r>
      <w:r>
        <w:rPr>
          <w:rFonts w:hint="eastAsia" w:ascii="宋体" w:hAnsi="宋体" w:eastAsia="宋体" w:cs="宋体"/>
          <w:color w:val="auto"/>
          <w:kern w:val="0"/>
          <w:szCs w:val="21"/>
          <w:lang w:eastAsia="zh-Hans"/>
        </w:rPr>
        <w:t>、各类证明材料</w:t>
      </w:r>
    </w:p>
    <w:p w14:paraId="4048C294">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二十、采购代理服务费支付承诺书</w:t>
      </w:r>
    </w:p>
    <w:p w14:paraId="16C153A6">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二十</w:t>
      </w:r>
      <w:r>
        <w:rPr>
          <w:rFonts w:hint="eastAsia" w:ascii="宋体" w:hAnsi="宋体" w:eastAsia="宋体" w:cs="宋体"/>
          <w:color w:val="auto"/>
          <w:kern w:val="0"/>
          <w:szCs w:val="21"/>
          <w:lang w:val="en-US" w:eastAsia="zh-CN"/>
        </w:rPr>
        <w:t>一</w:t>
      </w:r>
      <w:r>
        <w:rPr>
          <w:rFonts w:hint="eastAsia" w:ascii="宋体" w:hAnsi="宋体" w:eastAsia="宋体" w:cs="宋体"/>
          <w:color w:val="auto"/>
          <w:kern w:val="0"/>
          <w:szCs w:val="21"/>
          <w:lang w:eastAsia="zh-Hans"/>
        </w:rPr>
        <w:t>、询问函、质疑函、投诉书格式</w:t>
      </w:r>
    </w:p>
    <w:p w14:paraId="2DC55D76">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二十</w:t>
      </w:r>
      <w:r>
        <w:rPr>
          <w:rFonts w:hint="eastAsia" w:ascii="宋体" w:hAnsi="宋体" w:eastAsia="宋体" w:cs="宋体"/>
          <w:color w:val="auto"/>
          <w:kern w:val="0"/>
          <w:szCs w:val="21"/>
          <w:lang w:val="en-US" w:eastAsia="zh-CN"/>
        </w:rPr>
        <w:t>二</w:t>
      </w:r>
      <w:r>
        <w:rPr>
          <w:rFonts w:hint="eastAsia" w:ascii="宋体" w:hAnsi="宋体" w:eastAsia="宋体" w:cs="宋体"/>
          <w:color w:val="auto"/>
          <w:kern w:val="0"/>
          <w:szCs w:val="21"/>
          <w:lang w:eastAsia="zh-Hans"/>
        </w:rPr>
        <w:t>、项目实施方案、质量保证及售后服务承诺等</w:t>
      </w:r>
    </w:p>
    <w:p w14:paraId="027687D0">
      <w:pPr>
        <w:widowControl/>
        <w:jc w:val="left"/>
        <w:rPr>
          <w:rFonts w:hint="eastAsia" w:ascii="宋体" w:hAnsi="宋体" w:eastAsia="宋体" w:cs="宋体"/>
          <w:color w:val="auto"/>
          <w:kern w:val="0"/>
          <w:sz w:val="20"/>
          <w:szCs w:val="20"/>
        </w:rPr>
      </w:pPr>
    </w:p>
    <w:p w14:paraId="1844F7FA">
      <w:pPr>
        <w:widowControl/>
        <w:jc w:val="left"/>
        <w:rPr>
          <w:rFonts w:hint="eastAsia" w:ascii="宋体" w:hAnsi="宋体" w:eastAsia="宋体" w:cs="宋体"/>
          <w:color w:val="auto"/>
          <w:kern w:val="0"/>
          <w:sz w:val="20"/>
          <w:szCs w:val="20"/>
          <w:lang w:eastAsia="zh-Hans"/>
        </w:rPr>
      </w:pPr>
    </w:p>
    <w:p w14:paraId="768B12D4">
      <w:pPr>
        <w:pageBreakBefore/>
        <w:rPr>
          <w:rFonts w:hint="eastAsia" w:ascii="宋体" w:hAnsi="宋体" w:eastAsia="宋体" w:cs="宋体"/>
          <w:b/>
          <w:bCs/>
          <w:color w:val="auto"/>
        </w:rPr>
      </w:pPr>
      <w:r>
        <w:rPr>
          <w:rFonts w:hint="eastAsia" w:ascii="宋体" w:hAnsi="宋体" w:eastAsia="宋体" w:cs="宋体"/>
          <w:b/>
          <w:bCs/>
          <w:color w:val="auto"/>
          <w:sz w:val="24"/>
          <w:szCs w:val="28"/>
        </w:rPr>
        <w:t>资格、符合性审查索引表格式</w:t>
      </w:r>
    </w:p>
    <w:p w14:paraId="311DF899">
      <w:pPr>
        <w:keepLines/>
        <w:tabs>
          <w:tab w:val="left" w:pos="284"/>
          <w:tab w:val="left" w:pos="426"/>
          <w:tab w:val="left" w:pos="709"/>
        </w:tabs>
        <w:spacing w:before="217" w:beforeLines="50" w:after="217" w:afterLines="50"/>
        <w:jc w:val="center"/>
        <w:rPr>
          <w:rFonts w:hint="eastAsia" w:ascii="宋体" w:hAnsi="宋体" w:eastAsia="宋体" w:cs="宋体"/>
          <w:b/>
          <w:bCs/>
          <w:color w:val="auto"/>
          <w:szCs w:val="21"/>
        </w:rPr>
      </w:pPr>
      <w:r>
        <w:rPr>
          <w:rFonts w:hint="eastAsia" w:ascii="宋体" w:hAnsi="宋体" w:eastAsia="宋体" w:cs="宋体"/>
          <w:b/>
          <w:bCs/>
          <w:color w:val="auto"/>
          <w:sz w:val="28"/>
          <w:szCs w:val="28"/>
        </w:rPr>
        <w:t>资格、符合性审查索引表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hint="eastAsia" w:ascii="宋体" w:hAnsi="宋体" w:eastAsia="宋体" w:cs="宋体"/>
                <w:b/>
                <w:bCs/>
                <w:color w:val="auto"/>
                <w:spacing w:val="-10"/>
                <w:szCs w:val="21"/>
              </w:rPr>
            </w:pPr>
            <w:r>
              <w:rPr>
                <w:rFonts w:hint="eastAsia" w:ascii="宋体" w:hAnsi="宋体" w:eastAsia="宋体" w:cs="宋体"/>
                <w:b/>
                <w:color w:val="auto"/>
                <w:spacing w:val="20"/>
                <w:sz w:val="24"/>
                <w:szCs w:val="24"/>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hint="eastAsia" w:ascii="宋体" w:hAnsi="宋体" w:eastAsia="宋体" w:cs="宋体"/>
                <w:b/>
                <w:bCs/>
                <w:color w:val="auto"/>
                <w:szCs w:val="21"/>
              </w:rPr>
            </w:pPr>
            <w:r>
              <w:rPr>
                <w:rFonts w:hint="eastAsia" w:ascii="宋体" w:hAnsi="宋体" w:eastAsia="宋体" w:cs="宋体"/>
                <w:b/>
                <w:bCs/>
                <w:color w:val="auto"/>
                <w:szCs w:val="21"/>
              </w:rPr>
              <w:t>审查内容</w:t>
            </w:r>
          </w:p>
        </w:tc>
        <w:tc>
          <w:tcPr>
            <w:tcW w:w="1470" w:type="pct"/>
            <w:vAlign w:val="center"/>
          </w:tcPr>
          <w:p w14:paraId="0549D6A3">
            <w:pPr>
              <w:spacing w:line="360" w:lineRule="auto"/>
              <w:jc w:val="center"/>
              <w:rPr>
                <w:rFonts w:hint="eastAsia" w:ascii="宋体" w:hAnsi="宋体" w:eastAsia="宋体" w:cs="宋体"/>
                <w:b/>
                <w:bCs/>
                <w:color w:val="auto"/>
                <w:spacing w:val="-10"/>
                <w:szCs w:val="21"/>
              </w:rPr>
            </w:pPr>
            <w:r>
              <w:rPr>
                <w:rFonts w:hint="eastAsia" w:ascii="宋体" w:hAnsi="宋体" w:eastAsia="宋体" w:cs="宋体"/>
                <w:b/>
                <w:bCs/>
                <w:color w:val="auto"/>
                <w:spacing w:val="-10"/>
                <w:szCs w:val="21"/>
              </w:rPr>
              <w:t>投标文件</w:t>
            </w:r>
            <w:r>
              <w:rPr>
                <w:rFonts w:hint="eastAsia" w:ascii="宋体" w:hAnsi="宋体" w:eastAsia="宋体" w:cs="宋体"/>
                <w:b/>
                <w:bCs/>
                <w:color w:val="auto"/>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hint="eastAsia" w:ascii="宋体" w:hAnsi="宋体" w:eastAsia="宋体" w:cs="宋体"/>
                <w:bCs/>
                <w:color w:val="auto"/>
                <w:szCs w:val="21"/>
              </w:rPr>
            </w:pPr>
            <w:r>
              <w:rPr>
                <w:rFonts w:hint="eastAsia" w:ascii="宋体" w:hAnsi="宋体" w:eastAsia="宋体" w:cs="宋体"/>
                <w:bCs/>
                <w:color w:val="auto"/>
                <w:szCs w:val="21"/>
              </w:rPr>
              <w:t>1</w:t>
            </w:r>
          </w:p>
        </w:tc>
        <w:tc>
          <w:tcPr>
            <w:tcW w:w="3124" w:type="pct"/>
            <w:tcBorders>
              <w:tl2br w:val="nil"/>
            </w:tcBorders>
            <w:vAlign w:val="center"/>
          </w:tcPr>
          <w:p w14:paraId="64A56D54">
            <w:pPr>
              <w:spacing w:line="360" w:lineRule="auto"/>
              <w:jc w:val="center"/>
              <w:rPr>
                <w:rFonts w:hint="eastAsia" w:ascii="宋体" w:hAnsi="宋体" w:eastAsia="宋体" w:cs="宋体"/>
                <w:b/>
                <w:bCs/>
                <w:color w:val="auto"/>
                <w:szCs w:val="21"/>
              </w:rPr>
            </w:pPr>
          </w:p>
        </w:tc>
        <w:tc>
          <w:tcPr>
            <w:tcW w:w="1470" w:type="pct"/>
            <w:vAlign w:val="center"/>
          </w:tcPr>
          <w:p w14:paraId="39601E8F">
            <w:pPr>
              <w:spacing w:line="360" w:lineRule="auto"/>
              <w:jc w:val="center"/>
              <w:rPr>
                <w:rFonts w:hint="eastAsia" w:ascii="宋体" w:hAnsi="宋体" w:eastAsia="宋体" w:cs="宋体"/>
                <w:b/>
                <w:bCs/>
                <w:color w:val="auto"/>
                <w:szCs w:val="21"/>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hint="eastAsia" w:ascii="宋体" w:hAnsi="宋体" w:eastAsia="宋体" w:cs="宋体"/>
                <w:bCs/>
                <w:color w:val="auto"/>
                <w:szCs w:val="21"/>
              </w:rPr>
            </w:pPr>
            <w:r>
              <w:rPr>
                <w:rFonts w:hint="eastAsia" w:ascii="宋体" w:hAnsi="宋体" w:eastAsia="宋体" w:cs="宋体"/>
                <w:bCs/>
                <w:color w:val="auto"/>
                <w:szCs w:val="21"/>
              </w:rPr>
              <w:t>2</w:t>
            </w:r>
          </w:p>
        </w:tc>
        <w:tc>
          <w:tcPr>
            <w:tcW w:w="3124" w:type="pct"/>
            <w:vAlign w:val="center"/>
          </w:tcPr>
          <w:p w14:paraId="502DA47E">
            <w:pPr>
              <w:spacing w:line="360" w:lineRule="auto"/>
              <w:jc w:val="center"/>
              <w:rPr>
                <w:rFonts w:hint="eastAsia" w:ascii="宋体" w:hAnsi="宋体" w:eastAsia="宋体" w:cs="宋体"/>
                <w:b/>
                <w:bCs/>
                <w:color w:val="auto"/>
                <w:szCs w:val="21"/>
              </w:rPr>
            </w:pPr>
          </w:p>
        </w:tc>
        <w:tc>
          <w:tcPr>
            <w:tcW w:w="1470" w:type="pct"/>
            <w:vAlign w:val="center"/>
          </w:tcPr>
          <w:p w14:paraId="020C48A6">
            <w:pPr>
              <w:spacing w:line="360" w:lineRule="auto"/>
              <w:jc w:val="center"/>
              <w:rPr>
                <w:rFonts w:hint="eastAsia" w:ascii="宋体" w:hAnsi="宋体" w:eastAsia="宋体" w:cs="宋体"/>
                <w:b/>
                <w:bCs/>
                <w:color w:val="auto"/>
                <w:szCs w:val="21"/>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hint="eastAsia" w:ascii="宋体" w:hAnsi="宋体" w:eastAsia="宋体" w:cs="宋体"/>
                <w:bCs/>
                <w:color w:val="auto"/>
                <w:szCs w:val="21"/>
              </w:rPr>
            </w:pPr>
            <w:r>
              <w:rPr>
                <w:rFonts w:hint="eastAsia" w:ascii="宋体" w:hAnsi="宋体" w:eastAsia="宋体" w:cs="宋体"/>
                <w:bCs/>
                <w:color w:val="auto"/>
                <w:szCs w:val="21"/>
              </w:rPr>
              <w:t>3</w:t>
            </w:r>
          </w:p>
        </w:tc>
        <w:tc>
          <w:tcPr>
            <w:tcW w:w="3124" w:type="pct"/>
            <w:vAlign w:val="center"/>
          </w:tcPr>
          <w:p w14:paraId="558DB401">
            <w:pPr>
              <w:spacing w:line="360" w:lineRule="auto"/>
              <w:jc w:val="center"/>
              <w:rPr>
                <w:rFonts w:hint="eastAsia" w:ascii="宋体" w:hAnsi="宋体" w:eastAsia="宋体" w:cs="宋体"/>
                <w:b/>
                <w:bCs/>
                <w:color w:val="auto"/>
                <w:szCs w:val="21"/>
              </w:rPr>
            </w:pPr>
          </w:p>
        </w:tc>
        <w:tc>
          <w:tcPr>
            <w:tcW w:w="1470" w:type="pct"/>
            <w:vAlign w:val="center"/>
          </w:tcPr>
          <w:p w14:paraId="383F633B">
            <w:pPr>
              <w:spacing w:line="360" w:lineRule="auto"/>
              <w:jc w:val="center"/>
              <w:rPr>
                <w:rFonts w:hint="eastAsia" w:ascii="宋体" w:hAnsi="宋体" w:eastAsia="宋体" w:cs="宋体"/>
                <w:b/>
                <w:bCs/>
                <w:color w:val="auto"/>
                <w:szCs w:val="21"/>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hint="eastAsia" w:ascii="宋体" w:hAnsi="宋体" w:eastAsia="宋体" w:cs="宋体"/>
                <w:bCs/>
                <w:color w:val="auto"/>
                <w:szCs w:val="21"/>
              </w:rPr>
            </w:pPr>
            <w:r>
              <w:rPr>
                <w:rFonts w:hint="eastAsia" w:ascii="宋体" w:hAnsi="宋体" w:eastAsia="宋体" w:cs="宋体"/>
                <w:bCs/>
                <w:color w:val="auto"/>
                <w:szCs w:val="21"/>
              </w:rPr>
              <w:t>…</w:t>
            </w:r>
          </w:p>
        </w:tc>
        <w:tc>
          <w:tcPr>
            <w:tcW w:w="3124" w:type="pct"/>
            <w:vAlign w:val="center"/>
          </w:tcPr>
          <w:p w14:paraId="516647F7">
            <w:pPr>
              <w:spacing w:line="360" w:lineRule="auto"/>
              <w:jc w:val="center"/>
              <w:rPr>
                <w:rFonts w:hint="eastAsia" w:ascii="宋体" w:hAnsi="宋体" w:eastAsia="宋体" w:cs="宋体"/>
                <w:b/>
                <w:bCs/>
                <w:color w:val="auto"/>
                <w:szCs w:val="21"/>
              </w:rPr>
            </w:pPr>
          </w:p>
        </w:tc>
        <w:tc>
          <w:tcPr>
            <w:tcW w:w="1470" w:type="pct"/>
            <w:vAlign w:val="center"/>
          </w:tcPr>
          <w:p w14:paraId="5BE3A57F">
            <w:pPr>
              <w:spacing w:line="360" w:lineRule="auto"/>
              <w:jc w:val="center"/>
              <w:rPr>
                <w:rFonts w:hint="eastAsia" w:ascii="宋体" w:hAnsi="宋体" w:eastAsia="宋体" w:cs="宋体"/>
                <w:b/>
                <w:bCs/>
                <w:color w:val="auto"/>
                <w:szCs w:val="21"/>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hint="eastAsia" w:ascii="宋体" w:hAnsi="宋体" w:eastAsia="宋体" w:cs="宋体"/>
                <w:b/>
                <w:bCs/>
                <w:color w:val="auto"/>
                <w:szCs w:val="21"/>
              </w:rPr>
            </w:pPr>
            <w:r>
              <w:rPr>
                <w:rFonts w:hint="eastAsia" w:ascii="宋体" w:hAnsi="宋体" w:eastAsia="宋体" w:cs="宋体"/>
                <w:b/>
                <w:bCs/>
                <w:color w:val="auto"/>
                <w:sz w:val="24"/>
                <w:szCs w:val="24"/>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hint="eastAsia" w:ascii="宋体" w:hAnsi="宋体" w:eastAsia="宋体" w:cs="宋体"/>
                <w:bCs/>
                <w:color w:val="auto"/>
                <w:szCs w:val="21"/>
              </w:rPr>
            </w:pPr>
            <w:r>
              <w:rPr>
                <w:rFonts w:hint="eastAsia" w:ascii="宋体" w:hAnsi="宋体" w:eastAsia="宋体" w:cs="宋体"/>
                <w:b/>
                <w:bCs/>
                <w:color w:val="auto"/>
                <w:szCs w:val="21"/>
              </w:rPr>
              <w:t>序号</w:t>
            </w:r>
          </w:p>
        </w:tc>
        <w:tc>
          <w:tcPr>
            <w:tcW w:w="3124" w:type="pct"/>
            <w:vAlign w:val="center"/>
          </w:tcPr>
          <w:p w14:paraId="5FF3A9F3">
            <w:pPr>
              <w:spacing w:line="36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审查内容</w:t>
            </w:r>
          </w:p>
        </w:tc>
        <w:tc>
          <w:tcPr>
            <w:tcW w:w="1470" w:type="pct"/>
            <w:vAlign w:val="center"/>
          </w:tcPr>
          <w:p w14:paraId="21CBB5EE">
            <w:pPr>
              <w:spacing w:line="360" w:lineRule="auto"/>
              <w:jc w:val="center"/>
              <w:rPr>
                <w:rFonts w:hint="eastAsia" w:ascii="宋体" w:hAnsi="宋体" w:eastAsia="宋体" w:cs="宋体"/>
                <w:b/>
                <w:bCs/>
                <w:color w:val="auto"/>
                <w:szCs w:val="21"/>
              </w:rPr>
            </w:pPr>
            <w:r>
              <w:rPr>
                <w:rFonts w:hint="eastAsia" w:ascii="宋体" w:hAnsi="宋体" w:eastAsia="宋体" w:cs="宋体"/>
                <w:b/>
                <w:bCs/>
                <w:color w:val="auto"/>
                <w:spacing w:val="-10"/>
                <w:szCs w:val="21"/>
              </w:rPr>
              <w:t>投标文件</w:t>
            </w:r>
            <w:r>
              <w:rPr>
                <w:rFonts w:hint="eastAsia" w:ascii="宋体" w:hAnsi="宋体" w:eastAsia="宋体" w:cs="宋体"/>
                <w:b/>
                <w:bCs/>
                <w:color w:val="auto"/>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3124" w:type="pct"/>
            <w:vAlign w:val="center"/>
          </w:tcPr>
          <w:p w14:paraId="011C0CD4">
            <w:pPr>
              <w:spacing w:line="360" w:lineRule="auto"/>
              <w:jc w:val="center"/>
              <w:rPr>
                <w:rFonts w:hint="eastAsia" w:ascii="宋体" w:hAnsi="宋体" w:eastAsia="宋体" w:cs="宋体"/>
                <w:b/>
                <w:bCs/>
                <w:color w:val="auto"/>
                <w:szCs w:val="21"/>
              </w:rPr>
            </w:pPr>
          </w:p>
        </w:tc>
        <w:tc>
          <w:tcPr>
            <w:tcW w:w="1470" w:type="pct"/>
            <w:vAlign w:val="center"/>
          </w:tcPr>
          <w:p w14:paraId="2C24E3B4">
            <w:pPr>
              <w:spacing w:line="360" w:lineRule="auto"/>
              <w:jc w:val="center"/>
              <w:rPr>
                <w:rFonts w:hint="eastAsia" w:ascii="宋体" w:hAnsi="宋体" w:eastAsia="宋体" w:cs="宋体"/>
                <w:b/>
                <w:bCs/>
                <w:color w:val="auto"/>
                <w:spacing w:val="-10"/>
                <w:szCs w:val="21"/>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3124" w:type="pct"/>
            <w:vAlign w:val="center"/>
          </w:tcPr>
          <w:p w14:paraId="2A51C72C">
            <w:pPr>
              <w:spacing w:line="360" w:lineRule="auto"/>
              <w:jc w:val="center"/>
              <w:rPr>
                <w:rFonts w:hint="eastAsia" w:ascii="宋体" w:hAnsi="宋体" w:eastAsia="宋体" w:cs="宋体"/>
                <w:b/>
                <w:bCs/>
                <w:color w:val="auto"/>
                <w:szCs w:val="21"/>
              </w:rPr>
            </w:pPr>
          </w:p>
        </w:tc>
        <w:tc>
          <w:tcPr>
            <w:tcW w:w="1470" w:type="pct"/>
            <w:vAlign w:val="center"/>
          </w:tcPr>
          <w:p w14:paraId="1E52B2B6">
            <w:pPr>
              <w:spacing w:line="360" w:lineRule="auto"/>
              <w:jc w:val="center"/>
              <w:rPr>
                <w:rFonts w:hint="eastAsia" w:ascii="宋体" w:hAnsi="宋体" w:eastAsia="宋体" w:cs="宋体"/>
                <w:b/>
                <w:bCs/>
                <w:color w:val="auto"/>
                <w:spacing w:val="-10"/>
                <w:szCs w:val="21"/>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3</w:t>
            </w:r>
          </w:p>
        </w:tc>
        <w:tc>
          <w:tcPr>
            <w:tcW w:w="3124" w:type="pct"/>
            <w:vAlign w:val="center"/>
          </w:tcPr>
          <w:p w14:paraId="170CA82E">
            <w:pPr>
              <w:spacing w:line="360" w:lineRule="auto"/>
              <w:jc w:val="center"/>
              <w:rPr>
                <w:rFonts w:hint="eastAsia" w:ascii="宋体" w:hAnsi="宋体" w:eastAsia="宋体" w:cs="宋体"/>
                <w:b/>
                <w:bCs/>
                <w:color w:val="auto"/>
                <w:szCs w:val="21"/>
              </w:rPr>
            </w:pPr>
          </w:p>
        </w:tc>
        <w:tc>
          <w:tcPr>
            <w:tcW w:w="1470" w:type="pct"/>
            <w:vAlign w:val="center"/>
          </w:tcPr>
          <w:p w14:paraId="5B9CB5C4">
            <w:pPr>
              <w:spacing w:line="360" w:lineRule="auto"/>
              <w:jc w:val="center"/>
              <w:rPr>
                <w:rFonts w:hint="eastAsia" w:ascii="宋体" w:hAnsi="宋体" w:eastAsia="宋体" w:cs="宋体"/>
                <w:b/>
                <w:bCs/>
                <w:color w:val="auto"/>
                <w:spacing w:val="-10"/>
                <w:szCs w:val="21"/>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c>
          <w:tcPr>
            <w:tcW w:w="3124" w:type="pct"/>
            <w:vAlign w:val="center"/>
          </w:tcPr>
          <w:p w14:paraId="44A8BEEC">
            <w:pPr>
              <w:spacing w:line="360" w:lineRule="auto"/>
              <w:jc w:val="center"/>
              <w:rPr>
                <w:rFonts w:hint="eastAsia" w:ascii="宋体" w:hAnsi="宋体" w:eastAsia="宋体" w:cs="宋体"/>
                <w:b/>
                <w:bCs/>
                <w:color w:val="auto"/>
                <w:szCs w:val="21"/>
              </w:rPr>
            </w:pPr>
          </w:p>
        </w:tc>
        <w:tc>
          <w:tcPr>
            <w:tcW w:w="1470" w:type="pct"/>
            <w:vAlign w:val="center"/>
          </w:tcPr>
          <w:p w14:paraId="18B141FF">
            <w:pPr>
              <w:spacing w:line="360" w:lineRule="auto"/>
              <w:jc w:val="center"/>
              <w:rPr>
                <w:rFonts w:hint="eastAsia" w:ascii="宋体" w:hAnsi="宋体" w:eastAsia="宋体" w:cs="宋体"/>
                <w:b/>
                <w:bCs/>
                <w:color w:val="auto"/>
                <w:spacing w:val="-10"/>
                <w:szCs w:val="21"/>
              </w:rPr>
            </w:pPr>
          </w:p>
        </w:tc>
      </w:tr>
    </w:tbl>
    <w:p w14:paraId="4319FB3D">
      <w:pPr>
        <w:spacing w:before="217" w:beforeLines="50" w:line="360" w:lineRule="auto"/>
        <w:rPr>
          <w:rFonts w:hint="eastAsia" w:ascii="宋体" w:hAnsi="宋体" w:eastAsia="宋体" w:cs="宋体"/>
          <w:color w:val="auto"/>
          <w:spacing w:val="-6"/>
          <w:szCs w:val="21"/>
        </w:rPr>
      </w:pPr>
      <w:r>
        <w:rPr>
          <w:rFonts w:hint="eastAsia" w:ascii="宋体" w:hAnsi="宋体" w:eastAsia="宋体" w:cs="宋体"/>
          <w:color w:val="auto"/>
          <w:spacing w:val="-6"/>
          <w:szCs w:val="21"/>
        </w:rPr>
        <w:t>注：</w:t>
      </w:r>
      <w:r>
        <w:rPr>
          <w:rFonts w:hint="eastAsia" w:ascii="宋体" w:hAnsi="宋体" w:eastAsia="宋体" w:cs="宋体"/>
          <w:color w:val="auto"/>
          <w:spacing w:val="-6"/>
          <w:kern w:val="0"/>
          <w:szCs w:val="21"/>
          <w:lang w:eastAsia="zh-Hans"/>
        </w:rPr>
        <w:t>“</w:t>
      </w:r>
      <w:r>
        <w:rPr>
          <w:rFonts w:hint="eastAsia" w:ascii="宋体" w:hAnsi="宋体" w:eastAsia="宋体" w:cs="宋体"/>
          <w:color w:val="auto"/>
          <w:spacing w:val="-6"/>
          <w:szCs w:val="21"/>
        </w:rPr>
        <w:t>审查内容</w:t>
      </w:r>
      <w:r>
        <w:rPr>
          <w:rFonts w:hint="eastAsia" w:ascii="宋体" w:hAnsi="宋体" w:eastAsia="宋体" w:cs="宋体"/>
          <w:color w:val="auto"/>
          <w:spacing w:val="-6"/>
          <w:kern w:val="0"/>
          <w:szCs w:val="21"/>
          <w:lang w:eastAsia="zh-Hans"/>
        </w:rPr>
        <w:t>”</w:t>
      </w:r>
      <w:r>
        <w:rPr>
          <w:rFonts w:hint="eastAsia" w:ascii="宋体" w:hAnsi="宋体" w:eastAsia="宋体" w:cs="宋体"/>
          <w:color w:val="auto"/>
          <w:spacing w:val="-6"/>
          <w:szCs w:val="21"/>
        </w:rPr>
        <w:t>按招标文件《第四章 评标》之</w:t>
      </w:r>
      <w:r>
        <w:rPr>
          <w:rFonts w:hint="eastAsia" w:ascii="宋体" w:hAnsi="宋体" w:eastAsia="宋体" w:cs="宋体"/>
          <w:b/>
          <w:bCs/>
          <w:color w:val="auto"/>
          <w:spacing w:val="-6"/>
          <w:kern w:val="0"/>
          <w:szCs w:val="21"/>
          <w:u w:val="single"/>
          <w:lang w:eastAsia="zh-Hans"/>
        </w:rPr>
        <w:t>表一资格性审查表、</w:t>
      </w:r>
      <w:r>
        <w:rPr>
          <w:rFonts w:hint="eastAsia" w:ascii="宋体" w:hAnsi="宋体" w:eastAsia="宋体" w:cs="宋体"/>
          <w:b/>
          <w:bCs/>
          <w:color w:val="auto"/>
          <w:spacing w:val="-6"/>
          <w:szCs w:val="21"/>
          <w:u w:val="single"/>
        </w:rPr>
        <w:t>表二符合性审查表</w:t>
      </w:r>
      <w:r>
        <w:rPr>
          <w:rFonts w:hint="eastAsia" w:ascii="宋体" w:hAnsi="宋体" w:eastAsia="宋体" w:cs="宋体"/>
          <w:color w:val="auto"/>
          <w:spacing w:val="-6"/>
          <w:szCs w:val="21"/>
        </w:rPr>
        <w:t>相对应条款填写。</w:t>
      </w:r>
    </w:p>
    <w:p w14:paraId="52A2C841">
      <w:pPr>
        <w:pageBreakBefore/>
        <w:tabs>
          <w:tab w:val="left" w:pos="284"/>
          <w:tab w:val="left" w:pos="426"/>
          <w:tab w:val="left" w:pos="709"/>
        </w:tabs>
        <w:jc w:val="left"/>
        <w:rPr>
          <w:rFonts w:hint="eastAsia" w:ascii="宋体" w:hAnsi="宋体" w:eastAsia="宋体" w:cs="宋体"/>
          <w:b/>
          <w:bCs/>
          <w:color w:val="auto"/>
          <w:szCs w:val="21"/>
        </w:rPr>
      </w:pPr>
      <w:bookmarkStart w:id="35" w:name="_Hlk169787866"/>
      <w:r>
        <w:rPr>
          <w:rFonts w:hint="eastAsia" w:ascii="宋体" w:hAnsi="宋体" w:eastAsia="宋体" w:cs="宋体"/>
          <w:b/>
          <w:bCs/>
          <w:color w:val="auto"/>
          <w:sz w:val="24"/>
          <w:szCs w:val="24"/>
        </w:rPr>
        <w:t>详细评审索引表</w:t>
      </w:r>
      <w:bookmarkEnd w:id="35"/>
      <w:r>
        <w:rPr>
          <w:rFonts w:hint="eastAsia" w:ascii="宋体" w:hAnsi="宋体" w:eastAsia="宋体" w:cs="宋体"/>
          <w:b/>
          <w:bCs/>
          <w:color w:val="auto"/>
          <w:sz w:val="24"/>
          <w:szCs w:val="24"/>
        </w:rPr>
        <w:t>格式</w:t>
      </w:r>
    </w:p>
    <w:p w14:paraId="49E95316">
      <w:pPr>
        <w:spacing w:before="435" w:beforeLines="100" w:after="435" w:afterLines="100"/>
        <w:jc w:val="center"/>
        <w:rPr>
          <w:rFonts w:hint="eastAsia" w:ascii="宋体" w:hAnsi="宋体" w:eastAsia="宋体" w:cs="宋体"/>
          <w:b/>
          <w:color w:val="auto"/>
          <w:spacing w:val="20"/>
          <w:szCs w:val="21"/>
        </w:rPr>
      </w:pPr>
      <w:r>
        <w:rPr>
          <w:rFonts w:hint="eastAsia" w:ascii="宋体" w:hAnsi="宋体" w:eastAsia="宋体" w:cs="宋体"/>
          <w:b/>
          <w:color w:val="auto"/>
          <w:spacing w:val="20"/>
          <w:sz w:val="28"/>
          <w:szCs w:val="28"/>
        </w:rPr>
        <w:t>详细评审索引表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hint="eastAsia" w:ascii="宋体" w:hAnsi="宋体" w:eastAsia="宋体" w:cs="宋体"/>
                <w:b/>
                <w:color w:val="auto"/>
                <w:sz w:val="24"/>
                <w:szCs w:val="24"/>
              </w:rPr>
            </w:pPr>
            <w:r>
              <w:rPr>
                <w:rFonts w:hint="eastAsia" w:ascii="宋体" w:hAnsi="宋体" w:eastAsia="宋体" w:cs="宋体"/>
                <w:b/>
                <w:color w:val="auto"/>
                <w:szCs w:val="21"/>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914" w:type="pct"/>
            <w:vAlign w:val="center"/>
          </w:tcPr>
          <w:p w14:paraId="1AA15A03">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评分内容</w:t>
            </w:r>
          </w:p>
        </w:tc>
        <w:tc>
          <w:tcPr>
            <w:tcW w:w="1994" w:type="pct"/>
            <w:vAlign w:val="center"/>
          </w:tcPr>
          <w:p w14:paraId="3B06E3BB">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评分标准</w:t>
            </w:r>
          </w:p>
        </w:tc>
        <w:tc>
          <w:tcPr>
            <w:tcW w:w="1445" w:type="pct"/>
            <w:vAlign w:val="center"/>
          </w:tcPr>
          <w:p w14:paraId="125B5115">
            <w:pPr>
              <w:spacing w:line="360" w:lineRule="auto"/>
              <w:jc w:val="center"/>
              <w:rPr>
                <w:rFonts w:hint="eastAsia" w:ascii="宋体" w:hAnsi="宋体" w:eastAsia="宋体" w:cs="宋体"/>
                <w:b/>
                <w:color w:val="auto"/>
                <w:szCs w:val="21"/>
              </w:rPr>
            </w:pPr>
            <w:r>
              <w:rPr>
                <w:rFonts w:hint="eastAsia" w:ascii="宋体" w:hAnsi="宋体" w:eastAsia="宋体" w:cs="宋体"/>
                <w:b/>
                <w:bCs/>
                <w:color w:val="auto"/>
                <w:spacing w:val="-10"/>
                <w:szCs w:val="21"/>
              </w:rPr>
              <w:t>投标文件</w:t>
            </w:r>
            <w:r>
              <w:rPr>
                <w:rFonts w:hint="eastAsia" w:ascii="宋体" w:hAnsi="宋体" w:eastAsia="宋体" w:cs="宋体"/>
                <w:b/>
                <w:bCs/>
                <w:color w:val="auto"/>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hint="eastAsia" w:ascii="宋体" w:hAnsi="宋体" w:eastAsia="宋体" w:cs="宋体"/>
                <w:b/>
                <w:color w:val="auto"/>
                <w:szCs w:val="21"/>
              </w:rPr>
            </w:pPr>
          </w:p>
        </w:tc>
        <w:tc>
          <w:tcPr>
            <w:tcW w:w="914" w:type="pct"/>
            <w:vAlign w:val="center"/>
          </w:tcPr>
          <w:p w14:paraId="604ACE0E">
            <w:pPr>
              <w:spacing w:line="360" w:lineRule="auto"/>
              <w:jc w:val="center"/>
              <w:rPr>
                <w:rFonts w:hint="eastAsia" w:ascii="宋体" w:hAnsi="宋体" w:eastAsia="宋体" w:cs="宋体"/>
                <w:b/>
                <w:color w:val="auto"/>
                <w:szCs w:val="21"/>
              </w:rPr>
            </w:pPr>
          </w:p>
        </w:tc>
        <w:tc>
          <w:tcPr>
            <w:tcW w:w="1994" w:type="pct"/>
            <w:vAlign w:val="center"/>
          </w:tcPr>
          <w:p w14:paraId="30CFE04E">
            <w:pPr>
              <w:spacing w:line="360" w:lineRule="auto"/>
              <w:jc w:val="center"/>
              <w:rPr>
                <w:rFonts w:hint="eastAsia" w:ascii="宋体" w:hAnsi="宋体" w:eastAsia="宋体" w:cs="宋体"/>
                <w:b/>
                <w:color w:val="auto"/>
                <w:szCs w:val="21"/>
              </w:rPr>
            </w:pPr>
          </w:p>
        </w:tc>
        <w:tc>
          <w:tcPr>
            <w:tcW w:w="1445" w:type="pct"/>
            <w:vAlign w:val="center"/>
          </w:tcPr>
          <w:p w14:paraId="31DCD56C">
            <w:pPr>
              <w:spacing w:line="360" w:lineRule="auto"/>
              <w:jc w:val="center"/>
              <w:rPr>
                <w:rFonts w:hint="eastAsia" w:ascii="宋体" w:hAnsi="宋体" w:eastAsia="宋体" w:cs="宋体"/>
                <w:b/>
                <w:color w:val="auto"/>
                <w:szCs w:val="21"/>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hint="eastAsia" w:ascii="宋体" w:hAnsi="宋体" w:eastAsia="宋体" w:cs="宋体"/>
                <w:b/>
                <w:color w:val="auto"/>
                <w:szCs w:val="21"/>
              </w:rPr>
            </w:pPr>
          </w:p>
        </w:tc>
        <w:tc>
          <w:tcPr>
            <w:tcW w:w="914" w:type="pct"/>
            <w:vAlign w:val="center"/>
          </w:tcPr>
          <w:p w14:paraId="73F52E4F">
            <w:pPr>
              <w:spacing w:line="360" w:lineRule="auto"/>
              <w:jc w:val="center"/>
              <w:rPr>
                <w:rFonts w:hint="eastAsia" w:ascii="宋体" w:hAnsi="宋体" w:eastAsia="宋体" w:cs="宋体"/>
                <w:b/>
                <w:color w:val="auto"/>
                <w:szCs w:val="21"/>
              </w:rPr>
            </w:pPr>
          </w:p>
        </w:tc>
        <w:tc>
          <w:tcPr>
            <w:tcW w:w="1994" w:type="pct"/>
            <w:vAlign w:val="center"/>
          </w:tcPr>
          <w:p w14:paraId="1FFE8F3A">
            <w:pPr>
              <w:spacing w:line="360" w:lineRule="auto"/>
              <w:jc w:val="center"/>
              <w:rPr>
                <w:rFonts w:hint="eastAsia" w:ascii="宋体" w:hAnsi="宋体" w:eastAsia="宋体" w:cs="宋体"/>
                <w:b/>
                <w:color w:val="auto"/>
                <w:szCs w:val="21"/>
              </w:rPr>
            </w:pPr>
          </w:p>
        </w:tc>
        <w:tc>
          <w:tcPr>
            <w:tcW w:w="1445" w:type="pct"/>
            <w:vAlign w:val="center"/>
          </w:tcPr>
          <w:p w14:paraId="03C967BC">
            <w:pPr>
              <w:spacing w:line="360" w:lineRule="auto"/>
              <w:jc w:val="center"/>
              <w:rPr>
                <w:rFonts w:hint="eastAsia" w:ascii="宋体" w:hAnsi="宋体" w:eastAsia="宋体" w:cs="宋体"/>
                <w:b/>
                <w:color w:val="auto"/>
                <w:szCs w:val="21"/>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hint="eastAsia" w:ascii="宋体" w:hAnsi="宋体" w:eastAsia="宋体" w:cs="宋体"/>
                <w:b/>
                <w:color w:val="auto"/>
                <w:szCs w:val="21"/>
              </w:rPr>
            </w:pPr>
          </w:p>
        </w:tc>
        <w:tc>
          <w:tcPr>
            <w:tcW w:w="914" w:type="pct"/>
            <w:vAlign w:val="center"/>
          </w:tcPr>
          <w:p w14:paraId="3648FD22">
            <w:pPr>
              <w:spacing w:line="360" w:lineRule="auto"/>
              <w:jc w:val="center"/>
              <w:rPr>
                <w:rFonts w:hint="eastAsia" w:ascii="宋体" w:hAnsi="宋体" w:eastAsia="宋体" w:cs="宋体"/>
                <w:b/>
                <w:color w:val="auto"/>
                <w:szCs w:val="21"/>
              </w:rPr>
            </w:pPr>
          </w:p>
        </w:tc>
        <w:tc>
          <w:tcPr>
            <w:tcW w:w="1994" w:type="pct"/>
            <w:vAlign w:val="center"/>
          </w:tcPr>
          <w:p w14:paraId="2923D3B3">
            <w:pPr>
              <w:spacing w:line="360" w:lineRule="auto"/>
              <w:jc w:val="center"/>
              <w:rPr>
                <w:rFonts w:hint="eastAsia" w:ascii="宋体" w:hAnsi="宋体" w:eastAsia="宋体" w:cs="宋体"/>
                <w:b/>
                <w:color w:val="auto"/>
                <w:szCs w:val="21"/>
              </w:rPr>
            </w:pPr>
          </w:p>
        </w:tc>
        <w:tc>
          <w:tcPr>
            <w:tcW w:w="1445" w:type="pct"/>
            <w:vAlign w:val="center"/>
          </w:tcPr>
          <w:p w14:paraId="5E7D4567">
            <w:pPr>
              <w:spacing w:line="360" w:lineRule="auto"/>
              <w:jc w:val="center"/>
              <w:rPr>
                <w:rFonts w:hint="eastAsia" w:ascii="宋体" w:hAnsi="宋体" w:eastAsia="宋体" w:cs="宋体"/>
                <w:b/>
                <w:color w:val="auto"/>
                <w:szCs w:val="21"/>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hint="eastAsia" w:ascii="宋体" w:hAnsi="宋体" w:eastAsia="宋体" w:cs="宋体"/>
                <w:b/>
                <w:color w:val="auto"/>
                <w:szCs w:val="21"/>
              </w:rPr>
            </w:pPr>
          </w:p>
        </w:tc>
        <w:tc>
          <w:tcPr>
            <w:tcW w:w="914" w:type="pct"/>
            <w:vAlign w:val="center"/>
          </w:tcPr>
          <w:p w14:paraId="2396D7CE">
            <w:pPr>
              <w:spacing w:line="360" w:lineRule="auto"/>
              <w:jc w:val="center"/>
              <w:rPr>
                <w:rFonts w:hint="eastAsia" w:ascii="宋体" w:hAnsi="宋体" w:eastAsia="宋体" w:cs="宋体"/>
                <w:b/>
                <w:color w:val="auto"/>
                <w:szCs w:val="21"/>
              </w:rPr>
            </w:pPr>
          </w:p>
        </w:tc>
        <w:tc>
          <w:tcPr>
            <w:tcW w:w="1994" w:type="pct"/>
            <w:vAlign w:val="center"/>
          </w:tcPr>
          <w:p w14:paraId="6CE1BAB9">
            <w:pPr>
              <w:spacing w:line="360" w:lineRule="auto"/>
              <w:jc w:val="center"/>
              <w:rPr>
                <w:rFonts w:hint="eastAsia" w:ascii="宋体" w:hAnsi="宋体" w:eastAsia="宋体" w:cs="宋体"/>
                <w:b/>
                <w:color w:val="auto"/>
                <w:szCs w:val="21"/>
              </w:rPr>
            </w:pPr>
          </w:p>
        </w:tc>
        <w:tc>
          <w:tcPr>
            <w:tcW w:w="1445" w:type="pct"/>
            <w:vAlign w:val="center"/>
          </w:tcPr>
          <w:p w14:paraId="2AC53096">
            <w:pPr>
              <w:spacing w:line="360" w:lineRule="auto"/>
              <w:jc w:val="center"/>
              <w:rPr>
                <w:rFonts w:hint="eastAsia" w:ascii="宋体" w:hAnsi="宋体" w:eastAsia="宋体" w:cs="宋体"/>
                <w:b/>
                <w:color w:val="auto"/>
                <w:szCs w:val="21"/>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hint="eastAsia" w:ascii="宋体" w:hAnsi="宋体" w:eastAsia="宋体" w:cs="宋体"/>
                <w:b/>
                <w:color w:val="auto"/>
                <w:sz w:val="24"/>
                <w:szCs w:val="24"/>
              </w:rPr>
            </w:pPr>
            <w:r>
              <w:rPr>
                <w:rFonts w:hint="eastAsia" w:ascii="宋体" w:hAnsi="宋体" w:eastAsia="宋体" w:cs="宋体"/>
                <w:b/>
                <w:color w:val="auto"/>
                <w:szCs w:val="21"/>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914" w:type="pct"/>
            <w:vAlign w:val="center"/>
          </w:tcPr>
          <w:p w14:paraId="0B612814">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评分内容</w:t>
            </w:r>
          </w:p>
        </w:tc>
        <w:tc>
          <w:tcPr>
            <w:tcW w:w="1994" w:type="pct"/>
            <w:vAlign w:val="center"/>
          </w:tcPr>
          <w:p w14:paraId="294B411D">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评分标准</w:t>
            </w:r>
          </w:p>
        </w:tc>
        <w:tc>
          <w:tcPr>
            <w:tcW w:w="1445" w:type="pct"/>
            <w:vAlign w:val="center"/>
          </w:tcPr>
          <w:p w14:paraId="470DB1B4">
            <w:pPr>
              <w:spacing w:line="360" w:lineRule="auto"/>
              <w:jc w:val="center"/>
              <w:rPr>
                <w:rFonts w:hint="eastAsia" w:ascii="宋体" w:hAnsi="宋体" w:eastAsia="宋体" w:cs="宋体"/>
                <w:b/>
                <w:color w:val="auto"/>
                <w:szCs w:val="21"/>
              </w:rPr>
            </w:pPr>
            <w:r>
              <w:rPr>
                <w:rFonts w:hint="eastAsia" w:ascii="宋体" w:hAnsi="宋体" w:eastAsia="宋体" w:cs="宋体"/>
                <w:b/>
                <w:bCs/>
                <w:color w:val="auto"/>
                <w:spacing w:val="-10"/>
                <w:szCs w:val="21"/>
              </w:rPr>
              <w:t>投标文件</w:t>
            </w:r>
            <w:r>
              <w:rPr>
                <w:rFonts w:hint="eastAsia" w:ascii="宋体" w:hAnsi="宋体" w:eastAsia="宋体" w:cs="宋体"/>
                <w:b/>
                <w:bCs/>
                <w:color w:val="auto"/>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hint="eastAsia" w:ascii="宋体" w:hAnsi="宋体" w:eastAsia="宋体" w:cs="宋体"/>
                <w:b/>
                <w:color w:val="auto"/>
                <w:szCs w:val="21"/>
              </w:rPr>
            </w:pPr>
          </w:p>
        </w:tc>
        <w:tc>
          <w:tcPr>
            <w:tcW w:w="914" w:type="pct"/>
            <w:vAlign w:val="center"/>
          </w:tcPr>
          <w:p w14:paraId="55893841">
            <w:pPr>
              <w:spacing w:line="360" w:lineRule="auto"/>
              <w:jc w:val="center"/>
              <w:rPr>
                <w:rFonts w:hint="eastAsia" w:ascii="宋体" w:hAnsi="宋体" w:eastAsia="宋体" w:cs="宋体"/>
                <w:b/>
                <w:color w:val="auto"/>
                <w:szCs w:val="21"/>
              </w:rPr>
            </w:pPr>
          </w:p>
        </w:tc>
        <w:tc>
          <w:tcPr>
            <w:tcW w:w="1994" w:type="pct"/>
            <w:vAlign w:val="center"/>
          </w:tcPr>
          <w:p w14:paraId="0C3FF5D3">
            <w:pPr>
              <w:spacing w:line="360" w:lineRule="auto"/>
              <w:jc w:val="center"/>
              <w:rPr>
                <w:rFonts w:hint="eastAsia" w:ascii="宋体" w:hAnsi="宋体" w:eastAsia="宋体" w:cs="宋体"/>
                <w:b/>
                <w:color w:val="auto"/>
                <w:szCs w:val="21"/>
              </w:rPr>
            </w:pPr>
          </w:p>
        </w:tc>
        <w:tc>
          <w:tcPr>
            <w:tcW w:w="1445" w:type="pct"/>
            <w:vAlign w:val="center"/>
          </w:tcPr>
          <w:p w14:paraId="0CC65BD3">
            <w:pPr>
              <w:spacing w:line="360" w:lineRule="auto"/>
              <w:jc w:val="center"/>
              <w:rPr>
                <w:rFonts w:hint="eastAsia" w:ascii="宋体" w:hAnsi="宋体" w:eastAsia="宋体" w:cs="宋体"/>
                <w:b/>
                <w:color w:val="auto"/>
                <w:szCs w:val="21"/>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hint="eastAsia" w:ascii="宋体" w:hAnsi="宋体" w:eastAsia="宋体" w:cs="宋体"/>
                <w:b/>
                <w:color w:val="auto"/>
                <w:szCs w:val="21"/>
              </w:rPr>
            </w:pPr>
          </w:p>
        </w:tc>
        <w:tc>
          <w:tcPr>
            <w:tcW w:w="914" w:type="pct"/>
            <w:vAlign w:val="center"/>
          </w:tcPr>
          <w:p w14:paraId="15C5FAC5">
            <w:pPr>
              <w:spacing w:line="360" w:lineRule="auto"/>
              <w:jc w:val="center"/>
              <w:rPr>
                <w:rFonts w:hint="eastAsia" w:ascii="宋体" w:hAnsi="宋体" w:eastAsia="宋体" w:cs="宋体"/>
                <w:b/>
                <w:color w:val="auto"/>
                <w:szCs w:val="21"/>
              </w:rPr>
            </w:pPr>
          </w:p>
        </w:tc>
        <w:tc>
          <w:tcPr>
            <w:tcW w:w="1994" w:type="pct"/>
            <w:vAlign w:val="center"/>
          </w:tcPr>
          <w:p w14:paraId="67320A71">
            <w:pPr>
              <w:spacing w:line="360" w:lineRule="auto"/>
              <w:jc w:val="center"/>
              <w:rPr>
                <w:rFonts w:hint="eastAsia" w:ascii="宋体" w:hAnsi="宋体" w:eastAsia="宋体" w:cs="宋体"/>
                <w:b/>
                <w:color w:val="auto"/>
                <w:szCs w:val="21"/>
              </w:rPr>
            </w:pPr>
          </w:p>
        </w:tc>
        <w:tc>
          <w:tcPr>
            <w:tcW w:w="1445" w:type="pct"/>
            <w:vAlign w:val="center"/>
          </w:tcPr>
          <w:p w14:paraId="05C777B5">
            <w:pPr>
              <w:spacing w:line="360" w:lineRule="auto"/>
              <w:jc w:val="center"/>
              <w:rPr>
                <w:rFonts w:hint="eastAsia" w:ascii="宋体" w:hAnsi="宋体" w:eastAsia="宋体" w:cs="宋体"/>
                <w:b/>
                <w:color w:val="auto"/>
                <w:szCs w:val="21"/>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hint="eastAsia" w:ascii="宋体" w:hAnsi="宋体" w:eastAsia="宋体" w:cs="宋体"/>
                <w:b/>
                <w:color w:val="auto"/>
                <w:szCs w:val="21"/>
              </w:rPr>
            </w:pPr>
          </w:p>
        </w:tc>
        <w:tc>
          <w:tcPr>
            <w:tcW w:w="914" w:type="pct"/>
            <w:vAlign w:val="center"/>
          </w:tcPr>
          <w:p w14:paraId="3C7A04BA">
            <w:pPr>
              <w:spacing w:line="360" w:lineRule="auto"/>
              <w:jc w:val="center"/>
              <w:rPr>
                <w:rFonts w:hint="eastAsia" w:ascii="宋体" w:hAnsi="宋体" w:eastAsia="宋体" w:cs="宋体"/>
                <w:b/>
                <w:color w:val="auto"/>
                <w:szCs w:val="21"/>
              </w:rPr>
            </w:pPr>
          </w:p>
        </w:tc>
        <w:tc>
          <w:tcPr>
            <w:tcW w:w="1994" w:type="pct"/>
            <w:vAlign w:val="center"/>
          </w:tcPr>
          <w:p w14:paraId="30142B03">
            <w:pPr>
              <w:spacing w:line="360" w:lineRule="auto"/>
              <w:jc w:val="center"/>
              <w:rPr>
                <w:rFonts w:hint="eastAsia" w:ascii="宋体" w:hAnsi="宋体" w:eastAsia="宋体" w:cs="宋体"/>
                <w:b/>
                <w:color w:val="auto"/>
                <w:szCs w:val="21"/>
              </w:rPr>
            </w:pPr>
          </w:p>
        </w:tc>
        <w:tc>
          <w:tcPr>
            <w:tcW w:w="1445" w:type="pct"/>
            <w:vAlign w:val="center"/>
          </w:tcPr>
          <w:p w14:paraId="10C2EAF5">
            <w:pPr>
              <w:spacing w:line="360" w:lineRule="auto"/>
              <w:jc w:val="center"/>
              <w:rPr>
                <w:rFonts w:hint="eastAsia" w:ascii="宋体" w:hAnsi="宋体" w:eastAsia="宋体" w:cs="宋体"/>
                <w:b/>
                <w:color w:val="auto"/>
                <w:szCs w:val="21"/>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hint="eastAsia" w:ascii="宋体" w:hAnsi="宋体" w:eastAsia="宋体" w:cs="宋体"/>
                <w:b/>
                <w:color w:val="auto"/>
                <w:szCs w:val="21"/>
              </w:rPr>
            </w:pPr>
          </w:p>
        </w:tc>
        <w:tc>
          <w:tcPr>
            <w:tcW w:w="914" w:type="pct"/>
            <w:vAlign w:val="center"/>
          </w:tcPr>
          <w:p w14:paraId="6497B49C">
            <w:pPr>
              <w:spacing w:line="360" w:lineRule="auto"/>
              <w:jc w:val="center"/>
              <w:rPr>
                <w:rFonts w:hint="eastAsia" w:ascii="宋体" w:hAnsi="宋体" w:eastAsia="宋体" w:cs="宋体"/>
                <w:b/>
                <w:color w:val="auto"/>
                <w:szCs w:val="21"/>
              </w:rPr>
            </w:pPr>
          </w:p>
        </w:tc>
        <w:tc>
          <w:tcPr>
            <w:tcW w:w="1994" w:type="pct"/>
            <w:vAlign w:val="center"/>
          </w:tcPr>
          <w:p w14:paraId="2AF8BE48">
            <w:pPr>
              <w:spacing w:line="360" w:lineRule="auto"/>
              <w:jc w:val="center"/>
              <w:rPr>
                <w:rFonts w:hint="eastAsia" w:ascii="宋体" w:hAnsi="宋体" w:eastAsia="宋体" w:cs="宋体"/>
                <w:b/>
                <w:color w:val="auto"/>
                <w:szCs w:val="21"/>
              </w:rPr>
            </w:pPr>
          </w:p>
        </w:tc>
        <w:tc>
          <w:tcPr>
            <w:tcW w:w="1445" w:type="pct"/>
            <w:vAlign w:val="center"/>
          </w:tcPr>
          <w:p w14:paraId="23A8A26E">
            <w:pPr>
              <w:spacing w:line="360" w:lineRule="auto"/>
              <w:jc w:val="center"/>
              <w:rPr>
                <w:rFonts w:hint="eastAsia" w:ascii="宋体" w:hAnsi="宋体" w:eastAsia="宋体" w:cs="宋体"/>
                <w:b/>
                <w:color w:val="auto"/>
                <w:szCs w:val="21"/>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hint="eastAsia" w:ascii="宋体" w:hAnsi="宋体" w:eastAsia="宋体" w:cs="宋体"/>
                <w:b/>
                <w:color w:val="auto"/>
                <w:szCs w:val="21"/>
              </w:rPr>
            </w:pPr>
          </w:p>
        </w:tc>
        <w:tc>
          <w:tcPr>
            <w:tcW w:w="914" w:type="pct"/>
            <w:vAlign w:val="center"/>
          </w:tcPr>
          <w:p w14:paraId="1159211B">
            <w:pPr>
              <w:spacing w:line="360" w:lineRule="auto"/>
              <w:jc w:val="center"/>
              <w:rPr>
                <w:rFonts w:hint="eastAsia" w:ascii="宋体" w:hAnsi="宋体" w:eastAsia="宋体" w:cs="宋体"/>
                <w:b/>
                <w:color w:val="auto"/>
                <w:szCs w:val="21"/>
              </w:rPr>
            </w:pPr>
          </w:p>
        </w:tc>
        <w:tc>
          <w:tcPr>
            <w:tcW w:w="1994" w:type="pct"/>
            <w:vAlign w:val="center"/>
          </w:tcPr>
          <w:p w14:paraId="2357B89D">
            <w:pPr>
              <w:spacing w:line="360" w:lineRule="auto"/>
              <w:jc w:val="center"/>
              <w:rPr>
                <w:rFonts w:hint="eastAsia" w:ascii="宋体" w:hAnsi="宋体" w:eastAsia="宋体" w:cs="宋体"/>
                <w:b/>
                <w:color w:val="auto"/>
                <w:szCs w:val="21"/>
              </w:rPr>
            </w:pPr>
          </w:p>
        </w:tc>
        <w:tc>
          <w:tcPr>
            <w:tcW w:w="1445" w:type="pct"/>
            <w:vAlign w:val="center"/>
          </w:tcPr>
          <w:p w14:paraId="77523486">
            <w:pPr>
              <w:spacing w:line="360" w:lineRule="auto"/>
              <w:jc w:val="center"/>
              <w:rPr>
                <w:rFonts w:hint="eastAsia" w:ascii="宋体" w:hAnsi="宋体" w:eastAsia="宋体" w:cs="宋体"/>
                <w:b/>
                <w:color w:val="auto"/>
                <w:szCs w:val="21"/>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hint="eastAsia" w:ascii="宋体" w:hAnsi="宋体" w:eastAsia="宋体" w:cs="宋体"/>
                <w:b/>
                <w:color w:val="auto"/>
                <w:szCs w:val="21"/>
              </w:rPr>
            </w:pPr>
          </w:p>
        </w:tc>
        <w:tc>
          <w:tcPr>
            <w:tcW w:w="914" w:type="pct"/>
            <w:vAlign w:val="center"/>
          </w:tcPr>
          <w:p w14:paraId="088D2C38">
            <w:pPr>
              <w:spacing w:line="360" w:lineRule="auto"/>
              <w:jc w:val="center"/>
              <w:rPr>
                <w:rFonts w:hint="eastAsia" w:ascii="宋体" w:hAnsi="宋体" w:eastAsia="宋体" w:cs="宋体"/>
                <w:b/>
                <w:color w:val="auto"/>
                <w:szCs w:val="21"/>
              </w:rPr>
            </w:pPr>
          </w:p>
        </w:tc>
        <w:tc>
          <w:tcPr>
            <w:tcW w:w="1994" w:type="pct"/>
            <w:vAlign w:val="center"/>
          </w:tcPr>
          <w:p w14:paraId="2AE6122C">
            <w:pPr>
              <w:spacing w:line="360" w:lineRule="auto"/>
              <w:jc w:val="center"/>
              <w:rPr>
                <w:rFonts w:hint="eastAsia" w:ascii="宋体" w:hAnsi="宋体" w:eastAsia="宋体" w:cs="宋体"/>
                <w:b/>
                <w:color w:val="auto"/>
                <w:szCs w:val="21"/>
              </w:rPr>
            </w:pPr>
          </w:p>
        </w:tc>
        <w:tc>
          <w:tcPr>
            <w:tcW w:w="1445" w:type="pct"/>
            <w:vAlign w:val="center"/>
          </w:tcPr>
          <w:p w14:paraId="5753F3CE">
            <w:pPr>
              <w:spacing w:line="360" w:lineRule="auto"/>
              <w:jc w:val="center"/>
              <w:rPr>
                <w:rFonts w:hint="eastAsia" w:ascii="宋体" w:hAnsi="宋体" w:eastAsia="宋体" w:cs="宋体"/>
                <w:b/>
                <w:color w:val="auto"/>
                <w:szCs w:val="21"/>
              </w:rPr>
            </w:pPr>
          </w:p>
        </w:tc>
      </w:tr>
    </w:tbl>
    <w:p w14:paraId="51AECA3D">
      <w:pPr>
        <w:spacing w:before="217" w:beforeLines="50" w:line="360" w:lineRule="auto"/>
        <w:rPr>
          <w:rFonts w:hint="eastAsia" w:ascii="宋体" w:hAnsi="宋体" w:eastAsia="宋体" w:cs="宋体"/>
          <w:color w:val="auto"/>
          <w:szCs w:val="21"/>
        </w:rPr>
      </w:pPr>
      <w:r>
        <w:rPr>
          <w:rFonts w:hint="eastAsia" w:ascii="宋体" w:hAnsi="宋体" w:eastAsia="宋体" w:cs="宋体"/>
          <w:color w:val="auto"/>
          <w:szCs w:val="21"/>
        </w:rPr>
        <w:t>注：按招标文件《第四章 评标》之</w:t>
      </w:r>
      <w:r>
        <w:rPr>
          <w:rFonts w:hint="eastAsia" w:ascii="宋体" w:hAnsi="宋体" w:eastAsia="宋体" w:cs="宋体"/>
          <w:b/>
          <w:bCs/>
          <w:color w:val="auto"/>
          <w:szCs w:val="21"/>
          <w:u w:val="single"/>
        </w:rPr>
        <w:t>详细评审表</w:t>
      </w:r>
      <w:r>
        <w:rPr>
          <w:rFonts w:hint="eastAsia" w:ascii="宋体" w:hAnsi="宋体" w:eastAsia="宋体" w:cs="宋体"/>
          <w:color w:val="auto"/>
          <w:szCs w:val="21"/>
        </w:rPr>
        <w:t>相对应条款填写。</w:t>
      </w:r>
    </w:p>
    <w:p w14:paraId="28E9FB41">
      <w:pPr>
        <w:pageBreakBefore/>
        <w:rPr>
          <w:rFonts w:hint="eastAsia" w:ascii="宋体" w:hAnsi="宋体" w:eastAsia="宋体" w:cs="宋体"/>
          <w:b/>
          <w:bCs/>
          <w:color w:val="auto"/>
        </w:rPr>
      </w:pPr>
      <w:bookmarkStart w:id="36" w:name="_Toc169799787"/>
      <w:r>
        <w:rPr>
          <w:rFonts w:hint="eastAsia" w:ascii="宋体" w:hAnsi="宋体" w:eastAsia="宋体" w:cs="宋体"/>
          <w:b/>
          <w:bCs/>
          <w:color w:val="auto"/>
          <w:sz w:val="24"/>
          <w:szCs w:val="28"/>
        </w:rPr>
        <w:t>格式一：</w:t>
      </w:r>
      <w:bookmarkEnd w:id="36"/>
    </w:p>
    <w:p w14:paraId="3358B765">
      <w:pPr>
        <w:widowControl/>
        <w:spacing w:after="435" w:afterLines="100"/>
        <w:jc w:val="center"/>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投标函</w:t>
      </w:r>
    </w:p>
    <w:p w14:paraId="6D805BCE">
      <w:pPr>
        <w:widowControl/>
        <w:spacing w:after="217" w:afterLines="50"/>
        <w:jc w:val="left"/>
        <w:rPr>
          <w:rFonts w:hint="eastAsia" w:ascii="宋体" w:hAnsi="宋体" w:eastAsia="宋体" w:cs="宋体"/>
          <w:b/>
          <w:bCs/>
          <w:color w:val="auto"/>
          <w:kern w:val="0"/>
          <w:sz w:val="20"/>
          <w:szCs w:val="20"/>
          <w:lang w:eastAsia="zh-Hans"/>
        </w:rPr>
      </w:pPr>
      <w:r>
        <w:rPr>
          <w:rFonts w:hint="eastAsia" w:ascii="宋体" w:hAnsi="宋体" w:eastAsia="宋体" w:cs="宋体"/>
          <w:b/>
          <w:bCs/>
          <w:color w:val="auto"/>
          <w:kern w:val="0"/>
          <w:sz w:val="20"/>
          <w:szCs w:val="20"/>
          <w:lang w:eastAsia="zh-Hans"/>
        </w:rPr>
        <w:t>致：广东智汇城市招标采购有限公司</w:t>
      </w:r>
    </w:p>
    <w:p w14:paraId="704EDDED">
      <w:pPr>
        <w:widowControl/>
        <w:ind w:firstLine="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你方组织的</w:t>
      </w:r>
      <w:r>
        <w:rPr>
          <w:rFonts w:hint="eastAsia" w:ascii="宋体" w:hAnsi="宋体" w:eastAsia="宋体" w:cs="宋体"/>
          <w:color w:val="auto"/>
          <w:kern w:val="0"/>
          <w:szCs w:val="21"/>
          <w:u w:val="single"/>
        </w:rPr>
        <w:t xml:space="preserve">    （项目名称）          </w:t>
      </w:r>
      <w:r>
        <w:rPr>
          <w:rFonts w:hint="eastAsia" w:ascii="宋体" w:hAnsi="宋体" w:eastAsia="宋体" w:cs="宋体"/>
          <w:color w:val="auto"/>
          <w:kern w:val="0"/>
          <w:szCs w:val="21"/>
          <w:lang w:eastAsia="zh-Hans"/>
        </w:rPr>
        <w:t>项目的招标（项目编号为：</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w:t>
      </w:r>
      <w:r>
        <w:rPr>
          <w:rFonts w:hint="eastAsia" w:ascii="宋体" w:hAnsi="宋体" w:eastAsia="宋体" w:cs="宋体"/>
          <w:color w:val="auto"/>
          <w:kern w:val="0"/>
          <w:szCs w:val="21"/>
          <w:lang w:eastAsia="zh-Hans"/>
        </w:rPr>
        <w:t>，我方愿参与投标。</w:t>
      </w:r>
    </w:p>
    <w:p w14:paraId="1CA4C31D">
      <w:pPr>
        <w:widowControl/>
        <w:ind w:firstLine="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我方确认收到贵方提供的</w:t>
      </w:r>
      <w:r>
        <w:rPr>
          <w:rFonts w:hint="eastAsia" w:ascii="宋体" w:hAnsi="宋体" w:eastAsia="宋体" w:cs="宋体"/>
          <w:color w:val="auto"/>
          <w:kern w:val="0"/>
          <w:szCs w:val="21"/>
          <w:u w:val="single"/>
        </w:rPr>
        <w:t xml:space="preserve">      （项目名称）        </w:t>
      </w:r>
      <w:r>
        <w:rPr>
          <w:rFonts w:hint="eastAsia" w:ascii="宋体" w:hAnsi="宋体" w:eastAsia="宋体" w:cs="宋体"/>
          <w:color w:val="auto"/>
          <w:kern w:val="0"/>
          <w:szCs w:val="21"/>
          <w:lang w:eastAsia="zh-Hans"/>
        </w:rPr>
        <w:t>项目的招标文件的全部内容。</w:t>
      </w:r>
    </w:p>
    <w:p w14:paraId="77DDE64E">
      <w:pPr>
        <w:widowControl/>
        <w:ind w:firstLine="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u w:val="single"/>
          <w:lang w:eastAsia="zh-Hans"/>
        </w:rPr>
        <w:t>(投标人名称)</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作为投标人正式授权</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u w:val="single"/>
          <w:lang w:eastAsia="zh-Hans"/>
        </w:rPr>
        <w:t>(授权代表全名,职务)</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代表我方全权处理有关本投标的一切事宜。</w:t>
      </w:r>
    </w:p>
    <w:p w14:paraId="25FC3492">
      <w:pPr>
        <w:widowControl/>
        <w:ind w:firstLine="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我方已完全明白招标文件的所有条款要求，并申明如下：</w:t>
      </w:r>
    </w:p>
    <w:p w14:paraId="57798B52">
      <w:pPr>
        <w:widowControl/>
        <w:ind w:firstLine="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（一）按招标文件提供的全部货物与相关服务的投标总价详见《开标一览表》。</w:t>
      </w:r>
    </w:p>
    <w:p w14:paraId="6CE2B129">
      <w:pPr>
        <w:widowControl/>
        <w:ind w:firstLine="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（五）我方理解贵方不一定接受最低投标价或任何贵方可能收到的投标。</w:t>
      </w:r>
    </w:p>
    <w:p w14:paraId="774D10B9">
      <w:pPr>
        <w:widowControl/>
        <w:ind w:firstLine="200"/>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（六）我方如果中标，将严格履行合同规定的责任和义务，保证于合同签字生效后按照约定时间完成项目，并交付采购人验收。</w:t>
      </w:r>
    </w:p>
    <w:p w14:paraId="628773E7">
      <w:pPr>
        <w:widowControl/>
        <w:ind w:firstLine="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（九）我方对在本函及投标文件中所作的所有承诺承担法律责任。</w:t>
      </w:r>
    </w:p>
    <w:p w14:paraId="55FBA7B6">
      <w:pPr>
        <w:widowControl/>
        <w:ind w:firstLine="200"/>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（十）我方如果中标，同意按招标文件规定向采购代理机构缴纳招标代理服务费。</w:t>
      </w:r>
    </w:p>
    <w:p w14:paraId="36215652">
      <w:pPr>
        <w:widowControl/>
        <w:spacing w:after="870" w:afterLines="200"/>
        <w:ind w:firstLine="198"/>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（十一）所有与本招标有关的函件请发往下列地址：</w:t>
      </w:r>
    </w:p>
    <w:p w14:paraId="37F94635">
      <w:pPr>
        <w:widowControl/>
        <w:jc w:val="left"/>
        <w:rPr>
          <w:rFonts w:hint="eastAsia" w:ascii="宋体" w:hAnsi="宋体" w:eastAsia="宋体" w:cs="宋体"/>
          <w:color w:val="auto"/>
          <w:kern w:val="0"/>
          <w:szCs w:val="21"/>
          <w:u w:val="single"/>
        </w:rPr>
      </w:pPr>
      <w:r>
        <w:rPr>
          <w:rFonts w:hint="eastAsia" w:ascii="宋体" w:hAnsi="宋体" w:eastAsia="宋体" w:cs="宋体"/>
          <w:color w:val="auto"/>
          <w:kern w:val="0"/>
          <w:szCs w:val="21"/>
          <w:lang w:eastAsia="zh-Hans"/>
        </w:rPr>
        <w:t>地 址：</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邮政编码：</w:t>
      </w:r>
      <w:r>
        <w:rPr>
          <w:rFonts w:hint="eastAsia" w:ascii="宋体" w:hAnsi="宋体" w:eastAsia="宋体" w:cs="宋体"/>
          <w:color w:val="auto"/>
          <w:kern w:val="0"/>
          <w:szCs w:val="21"/>
          <w:u w:val="single"/>
        </w:rPr>
        <w:t xml:space="preserve">                               </w:t>
      </w:r>
    </w:p>
    <w:p w14:paraId="71071E7E">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电 话：</w:t>
      </w:r>
      <w:r>
        <w:rPr>
          <w:rFonts w:hint="eastAsia" w:ascii="宋体" w:hAnsi="宋体" w:eastAsia="宋体" w:cs="宋体"/>
          <w:color w:val="auto"/>
          <w:kern w:val="0"/>
          <w:szCs w:val="21"/>
          <w:u w:val="single"/>
        </w:rPr>
        <w:t xml:space="preserve">                                </w:t>
      </w:r>
    </w:p>
    <w:p w14:paraId="3929AD4D">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传 真：</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电子邮箱：</w:t>
      </w:r>
      <w:r>
        <w:rPr>
          <w:rFonts w:hint="eastAsia" w:ascii="宋体" w:hAnsi="宋体" w:eastAsia="宋体" w:cs="宋体"/>
          <w:color w:val="auto"/>
          <w:kern w:val="0"/>
          <w:szCs w:val="21"/>
          <w:u w:val="single"/>
        </w:rPr>
        <w:t xml:space="preserve">                               </w:t>
      </w:r>
    </w:p>
    <w:p w14:paraId="0EEA419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代表姓名：</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职 务：</w:t>
      </w:r>
      <w:r>
        <w:rPr>
          <w:rFonts w:hint="eastAsia" w:ascii="宋体" w:hAnsi="宋体" w:eastAsia="宋体" w:cs="宋体"/>
          <w:color w:val="auto"/>
          <w:kern w:val="0"/>
          <w:szCs w:val="21"/>
          <w:u w:val="single"/>
        </w:rPr>
        <w:t xml:space="preserve">                                  </w:t>
      </w:r>
    </w:p>
    <w:p w14:paraId="6B230246">
      <w:pPr>
        <w:widowControl/>
        <w:jc w:val="left"/>
        <w:rPr>
          <w:rFonts w:hint="eastAsia" w:ascii="宋体" w:hAnsi="宋体" w:eastAsia="宋体" w:cs="宋体"/>
          <w:color w:val="auto"/>
          <w:kern w:val="0"/>
          <w:szCs w:val="21"/>
          <w:u w:val="single"/>
        </w:rPr>
      </w:pPr>
      <w:r>
        <w:rPr>
          <w:rFonts w:hint="eastAsia" w:ascii="宋体" w:hAnsi="宋体" w:eastAsia="宋体" w:cs="宋体"/>
          <w:color w:val="auto"/>
          <w:kern w:val="0"/>
          <w:szCs w:val="21"/>
          <w:lang w:eastAsia="zh-Hans"/>
        </w:rPr>
        <w:t>投标人法定代表人（或法定代表人授权代表）签字或盖私章：</w:t>
      </w:r>
      <w:r>
        <w:rPr>
          <w:rFonts w:hint="eastAsia" w:ascii="宋体" w:hAnsi="宋体" w:eastAsia="宋体" w:cs="宋体"/>
          <w:color w:val="auto"/>
          <w:kern w:val="0"/>
          <w:szCs w:val="21"/>
          <w:u w:val="single"/>
        </w:rPr>
        <w:t xml:space="preserve">                              </w:t>
      </w:r>
    </w:p>
    <w:p w14:paraId="49FDFCA6">
      <w:pPr>
        <w:widowControl/>
        <w:jc w:val="left"/>
        <w:rPr>
          <w:rFonts w:hint="eastAsia" w:ascii="宋体" w:hAnsi="宋体" w:eastAsia="宋体" w:cs="宋体"/>
          <w:color w:val="auto"/>
          <w:kern w:val="0"/>
          <w:szCs w:val="21"/>
          <w:u w:val="single"/>
        </w:rPr>
      </w:pPr>
      <w:r>
        <w:rPr>
          <w:rFonts w:hint="eastAsia" w:ascii="宋体" w:hAnsi="宋体" w:eastAsia="宋体" w:cs="宋体"/>
          <w:color w:val="auto"/>
          <w:kern w:val="0"/>
          <w:szCs w:val="21"/>
          <w:lang w:eastAsia="zh-Hans"/>
        </w:rPr>
        <w:t>投标人名称（盖章）：</w:t>
      </w:r>
      <w:r>
        <w:rPr>
          <w:rFonts w:hint="eastAsia" w:ascii="宋体" w:hAnsi="宋体" w:eastAsia="宋体" w:cs="宋体"/>
          <w:color w:val="auto"/>
          <w:kern w:val="0"/>
          <w:szCs w:val="21"/>
          <w:u w:val="single"/>
        </w:rPr>
        <w:t xml:space="preserve">                                  </w:t>
      </w:r>
    </w:p>
    <w:p w14:paraId="52C6F8A4">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日期：</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年</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月</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363D7C21">
      <w:pPr>
        <w:widowControl/>
        <w:jc w:val="left"/>
        <w:rPr>
          <w:rFonts w:hint="eastAsia" w:ascii="宋体" w:hAnsi="宋体" w:eastAsia="宋体" w:cs="宋体"/>
          <w:color w:val="auto"/>
          <w:kern w:val="0"/>
          <w:sz w:val="20"/>
          <w:szCs w:val="20"/>
          <w:lang w:eastAsia="zh-Hans"/>
        </w:rPr>
      </w:pPr>
    </w:p>
    <w:p w14:paraId="6FCFBB94">
      <w:pPr>
        <w:pageBreakBefore/>
        <w:rPr>
          <w:rFonts w:hint="eastAsia" w:ascii="宋体" w:hAnsi="宋体" w:eastAsia="宋体" w:cs="宋体"/>
          <w:color w:val="auto"/>
          <w:kern w:val="0"/>
          <w:sz w:val="20"/>
          <w:szCs w:val="20"/>
          <w:lang w:eastAsia="zh-Hans"/>
        </w:rPr>
      </w:pPr>
      <w:bookmarkStart w:id="37" w:name="_Toc169799788"/>
      <w:r>
        <w:rPr>
          <w:rFonts w:hint="eastAsia" w:ascii="宋体" w:hAnsi="宋体" w:eastAsia="宋体" w:cs="宋体"/>
          <w:b/>
          <w:bCs/>
          <w:color w:val="auto"/>
          <w:sz w:val="24"/>
          <w:szCs w:val="28"/>
        </w:rPr>
        <w:t>格式二：</w:t>
      </w:r>
      <w:bookmarkEnd w:id="37"/>
    </w:p>
    <w:p w14:paraId="57D6959F">
      <w:pPr>
        <w:widowControl/>
        <w:jc w:val="center"/>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开标一览表</w:t>
      </w:r>
      <w:r>
        <w:rPr>
          <w:rFonts w:hint="eastAsia" w:ascii="宋体" w:hAnsi="宋体" w:eastAsia="宋体" w:cs="宋体"/>
          <w:color w:val="auto"/>
          <w:kern w:val="0"/>
          <w:sz w:val="20"/>
          <w:szCs w:val="20"/>
          <w:lang w:eastAsia="zh-Hans"/>
        </w:rPr>
        <w:br w:type="textWrapping"/>
      </w:r>
    </w:p>
    <w:p w14:paraId="5E36D62B">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项目编号：</w:t>
      </w:r>
    </w:p>
    <w:p w14:paraId="78C30E8D">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项目名称：</w:t>
      </w:r>
    </w:p>
    <w:p w14:paraId="6E123CBE">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投标人名称：</w:t>
      </w:r>
    </w:p>
    <w:p w14:paraId="64856E37">
      <w:pPr>
        <w:widowControl/>
        <w:jc w:val="left"/>
        <w:rPr>
          <w:rFonts w:hint="eastAsia" w:ascii="宋体" w:hAnsi="宋体" w:eastAsia="宋体" w:cs="宋体"/>
          <w:color w:val="auto"/>
          <w:kern w:val="0"/>
          <w:szCs w:val="21"/>
        </w:rPr>
      </w:pPr>
    </w:p>
    <w:tbl>
      <w:tblPr>
        <w:tblStyle w:val="15"/>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hint="eastAsia" w:ascii="宋体" w:hAnsi="宋体" w:eastAsia="宋体" w:cs="宋体"/>
                <w:b/>
                <w:color w:val="auto"/>
                <w:szCs w:val="21"/>
              </w:rPr>
            </w:pPr>
            <w:r>
              <w:rPr>
                <w:rFonts w:hint="eastAsia" w:ascii="宋体" w:hAnsi="宋体" w:eastAsia="宋体" w:cs="宋体"/>
                <w:b/>
                <w:color w:val="auto"/>
                <w:szCs w:val="21"/>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hint="eastAsia" w:ascii="宋体" w:hAnsi="宋体" w:eastAsia="宋体" w:cs="宋体"/>
                <w:b/>
                <w:color w:val="auto"/>
                <w:szCs w:val="21"/>
              </w:rPr>
            </w:pPr>
            <w:r>
              <w:rPr>
                <w:rFonts w:hint="eastAsia" w:ascii="宋体" w:hAnsi="宋体" w:eastAsia="宋体" w:cs="宋体"/>
                <w:b/>
                <w:color w:val="auto"/>
                <w:szCs w:val="21"/>
              </w:rPr>
              <w:t>总报价（单位：元）</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hint="eastAsia" w:ascii="宋体" w:hAnsi="宋体" w:eastAsia="宋体" w:cs="宋体"/>
                <w:color w:val="auto"/>
                <w:szCs w:val="21"/>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hint="eastAsia" w:ascii="宋体" w:hAnsi="宋体" w:eastAsia="宋体" w:cs="宋体"/>
                <w:color w:val="auto"/>
                <w:szCs w:val="21"/>
              </w:rPr>
            </w:pPr>
            <w:r>
              <w:rPr>
                <w:rFonts w:hint="eastAsia" w:ascii="宋体" w:hAnsi="宋体" w:eastAsia="宋体" w:cs="宋体"/>
                <w:color w:val="auto"/>
                <w:szCs w:val="21"/>
              </w:rPr>
              <w:t>大写：</w:t>
            </w:r>
            <w:r>
              <w:rPr>
                <w:rFonts w:hint="eastAsia" w:ascii="宋体" w:hAnsi="宋体" w:eastAsia="宋体" w:cs="宋体"/>
                <w:color w:val="auto"/>
                <w:szCs w:val="21"/>
                <w:u w:val="single"/>
              </w:rPr>
              <w:t xml:space="preserve">                    </w:t>
            </w:r>
          </w:p>
          <w:p w14:paraId="53F84E75">
            <w:pPr>
              <w:overflowPunct w:val="0"/>
              <w:adjustRightInd w:val="0"/>
              <w:spacing w:line="460" w:lineRule="exact"/>
              <w:jc w:val="left"/>
              <w:rPr>
                <w:rFonts w:hint="eastAsia" w:ascii="宋体" w:hAnsi="宋体" w:eastAsia="宋体" w:cs="宋体"/>
                <w:color w:val="auto"/>
                <w:szCs w:val="21"/>
              </w:rPr>
            </w:pPr>
            <w:r>
              <w:rPr>
                <w:rFonts w:hint="eastAsia" w:ascii="宋体" w:hAnsi="宋体" w:eastAsia="宋体" w:cs="宋体"/>
                <w:color w:val="auto"/>
                <w:szCs w:val="21"/>
              </w:rPr>
              <w:t>小写：</w:t>
            </w:r>
            <w:r>
              <w:rPr>
                <w:rFonts w:hint="eastAsia" w:ascii="宋体" w:hAnsi="宋体" w:eastAsia="宋体" w:cs="宋体"/>
                <w:color w:val="auto"/>
                <w:szCs w:val="21"/>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hint="eastAsia" w:ascii="宋体" w:hAnsi="宋体" w:eastAsia="宋体" w:cs="宋体"/>
                <w:color w:val="auto"/>
                <w:szCs w:val="21"/>
              </w:rPr>
            </w:pPr>
          </w:p>
        </w:tc>
      </w:tr>
    </w:tbl>
    <w:p w14:paraId="1BF83365">
      <w:pPr>
        <w:widowControl/>
        <w:jc w:val="left"/>
        <w:rPr>
          <w:rFonts w:hint="eastAsia" w:ascii="宋体" w:hAnsi="宋体" w:eastAsia="宋体" w:cs="宋体"/>
          <w:color w:val="auto"/>
          <w:kern w:val="0"/>
          <w:szCs w:val="21"/>
        </w:rPr>
      </w:pP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hint="eastAsia" w:ascii="宋体" w:hAnsi="宋体" w:eastAsia="宋体" w:cs="宋体"/>
                <w:color w:val="auto"/>
                <w:szCs w:val="21"/>
              </w:rPr>
            </w:pPr>
            <w:r>
              <w:rPr>
                <w:rFonts w:hint="eastAsia" w:ascii="宋体" w:hAnsi="宋体" w:eastAsia="宋体" w:cs="宋体"/>
                <w:color w:val="auto"/>
                <w:szCs w:val="21"/>
              </w:rPr>
              <w:t>投标人名称（加盖公章）：</w:t>
            </w:r>
            <w:r>
              <w:rPr>
                <w:rFonts w:hint="eastAsia" w:ascii="宋体" w:hAnsi="宋体" w:eastAsia="宋体" w:cs="宋体"/>
                <w:color w:val="auto"/>
                <w:szCs w:val="21"/>
                <w:u w:val="single"/>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hint="eastAsia" w:ascii="宋体" w:hAnsi="宋体" w:eastAsia="宋体" w:cs="宋体"/>
                <w:color w:val="auto"/>
                <w:szCs w:val="21"/>
              </w:rPr>
            </w:pPr>
            <w:r>
              <w:rPr>
                <w:rFonts w:hint="eastAsia" w:ascii="宋体" w:hAnsi="宋体" w:eastAsia="宋体" w:cs="宋体"/>
                <w:color w:val="auto"/>
                <w:szCs w:val="21"/>
              </w:rPr>
              <w:t>投标人法定代表人（或被授权人）签字或盖私章：</w:t>
            </w:r>
            <w:r>
              <w:rPr>
                <w:rFonts w:hint="eastAsia" w:ascii="宋体" w:hAnsi="宋体" w:eastAsia="宋体" w:cs="宋体"/>
                <w:color w:val="auto"/>
                <w:szCs w:val="21"/>
                <w:u w:val="single"/>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hint="eastAsia" w:ascii="宋体" w:hAnsi="宋体" w:eastAsia="宋体" w:cs="宋体"/>
                <w:color w:val="auto"/>
                <w:szCs w:val="21"/>
              </w:rPr>
            </w:pPr>
            <w:r>
              <w:rPr>
                <w:rFonts w:hint="eastAsia" w:ascii="宋体" w:hAnsi="宋体" w:eastAsia="宋体" w:cs="宋体"/>
                <w:color w:val="auto"/>
                <w:szCs w:val="21"/>
              </w:rPr>
              <w:t>日期：    年   月   日</w:t>
            </w:r>
          </w:p>
        </w:tc>
      </w:tr>
    </w:tbl>
    <w:p w14:paraId="05B4D6B6">
      <w:pPr>
        <w:widowControl/>
        <w:jc w:val="left"/>
        <w:rPr>
          <w:rFonts w:hint="eastAsia" w:ascii="宋体" w:hAnsi="宋体" w:eastAsia="宋体" w:cs="宋体"/>
          <w:color w:val="auto"/>
          <w:kern w:val="0"/>
          <w:sz w:val="20"/>
          <w:szCs w:val="20"/>
          <w:lang w:eastAsia="zh-Hans"/>
        </w:rPr>
      </w:pPr>
    </w:p>
    <w:p w14:paraId="1DEF22EB">
      <w:pPr>
        <w:widowControl/>
        <w:jc w:val="left"/>
        <w:rPr>
          <w:rFonts w:hint="eastAsia" w:ascii="宋体" w:hAnsi="宋体" w:eastAsia="宋体" w:cs="宋体"/>
          <w:color w:val="auto"/>
          <w:kern w:val="0"/>
          <w:sz w:val="20"/>
          <w:szCs w:val="20"/>
          <w:lang w:eastAsia="zh-Hans"/>
        </w:rPr>
      </w:pPr>
    </w:p>
    <w:p w14:paraId="059DB25A">
      <w:pPr>
        <w:pageBreakBefore/>
        <w:rPr>
          <w:rFonts w:hint="eastAsia" w:ascii="宋体" w:hAnsi="宋体" w:eastAsia="宋体" w:cs="宋体"/>
          <w:color w:val="auto"/>
          <w:kern w:val="0"/>
          <w:sz w:val="20"/>
          <w:szCs w:val="20"/>
          <w:lang w:eastAsia="zh-Hans"/>
        </w:rPr>
      </w:pPr>
      <w:bookmarkStart w:id="38" w:name="_Toc169799789"/>
      <w:r>
        <w:rPr>
          <w:rFonts w:hint="eastAsia" w:ascii="宋体" w:hAnsi="宋体" w:eastAsia="宋体" w:cs="宋体"/>
          <w:b/>
          <w:bCs/>
          <w:color w:val="auto"/>
          <w:sz w:val="24"/>
          <w:szCs w:val="28"/>
        </w:rPr>
        <w:t>格式三：</w:t>
      </w:r>
      <w:bookmarkEnd w:id="38"/>
    </w:p>
    <w:p w14:paraId="0DCFDCF2">
      <w:pPr>
        <w:widowControl/>
        <w:jc w:val="center"/>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分项报价表</w:t>
      </w:r>
    </w:p>
    <w:p w14:paraId="351AA360">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项目编号：</w:t>
      </w:r>
    </w:p>
    <w:p w14:paraId="59FA761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项目名称：</w:t>
      </w:r>
    </w:p>
    <w:p w14:paraId="143DBF10">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投标人名称：</w:t>
      </w:r>
    </w:p>
    <w:p w14:paraId="1FD77CBD">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货币及单位：人民币/元</w:t>
      </w:r>
    </w:p>
    <w:p w14:paraId="7DBFA6F4">
      <w:pPr>
        <w:widowControl/>
        <w:jc w:val="left"/>
        <w:rPr>
          <w:rFonts w:hint="eastAsia" w:ascii="宋体" w:hAnsi="宋体" w:eastAsia="宋体" w:cs="宋体"/>
          <w:color w:val="auto"/>
          <w:kern w:val="0"/>
          <w:szCs w:val="21"/>
          <w:lang w:eastAsia="zh-Hans"/>
        </w:rPr>
      </w:pPr>
    </w:p>
    <w:tbl>
      <w:tblPr>
        <w:tblStyle w:val="15"/>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41"/>
        <w:gridCol w:w="2141"/>
        <w:gridCol w:w="1941"/>
        <w:gridCol w:w="1941"/>
        <w:gridCol w:w="1922"/>
      </w:tblGrid>
      <w:tr w14:paraId="0DB2C4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686DEF0B">
            <w:pPr>
              <w:widowControl/>
              <w:spacing w:line="300" w:lineRule="auto"/>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序号</w:t>
            </w:r>
          </w:p>
        </w:tc>
        <w:tc>
          <w:tcPr>
            <w:tcW w:w="1153" w:type="pct"/>
          </w:tcPr>
          <w:p w14:paraId="5C787154">
            <w:pPr>
              <w:widowControl/>
              <w:spacing w:line="300" w:lineRule="auto"/>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服务名称</w:t>
            </w:r>
          </w:p>
        </w:tc>
        <w:tc>
          <w:tcPr>
            <w:tcW w:w="1045" w:type="pct"/>
          </w:tcPr>
          <w:p w14:paraId="139E2C0C">
            <w:pPr>
              <w:widowControl/>
              <w:spacing w:line="300" w:lineRule="auto"/>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单价</w:t>
            </w:r>
          </w:p>
        </w:tc>
        <w:tc>
          <w:tcPr>
            <w:tcW w:w="1045" w:type="pct"/>
          </w:tcPr>
          <w:p w14:paraId="360C7E02">
            <w:pPr>
              <w:widowControl/>
              <w:spacing w:line="300" w:lineRule="auto"/>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数量</w:t>
            </w:r>
          </w:p>
        </w:tc>
        <w:tc>
          <w:tcPr>
            <w:tcW w:w="1035" w:type="pct"/>
          </w:tcPr>
          <w:p w14:paraId="184AEEAB">
            <w:pPr>
              <w:widowControl/>
              <w:spacing w:line="300" w:lineRule="auto"/>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合计</w:t>
            </w:r>
          </w:p>
        </w:tc>
      </w:tr>
      <w:tr w14:paraId="6BDE88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7C50E81B">
            <w:pPr>
              <w:spacing w:line="300" w:lineRule="auto"/>
              <w:jc w:val="center"/>
              <w:rPr>
                <w:rFonts w:hint="eastAsia" w:ascii="宋体" w:hAnsi="宋体" w:eastAsia="宋体" w:cs="宋体"/>
                <w:color w:val="auto"/>
                <w:szCs w:val="21"/>
              </w:rPr>
            </w:pPr>
          </w:p>
        </w:tc>
        <w:tc>
          <w:tcPr>
            <w:tcW w:w="1153" w:type="pct"/>
          </w:tcPr>
          <w:p w14:paraId="46E55669">
            <w:pPr>
              <w:spacing w:line="300" w:lineRule="auto"/>
              <w:jc w:val="center"/>
              <w:rPr>
                <w:rFonts w:hint="eastAsia" w:ascii="宋体" w:hAnsi="宋体" w:eastAsia="宋体" w:cs="宋体"/>
                <w:color w:val="auto"/>
                <w:szCs w:val="21"/>
              </w:rPr>
            </w:pPr>
          </w:p>
        </w:tc>
        <w:tc>
          <w:tcPr>
            <w:tcW w:w="1045" w:type="pct"/>
          </w:tcPr>
          <w:p w14:paraId="59D02428">
            <w:pPr>
              <w:spacing w:line="300" w:lineRule="auto"/>
              <w:jc w:val="center"/>
              <w:rPr>
                <w:rFonts w:hint="eastAsia" w:ascii="宋体" w:hAnsi="宋体" w:eastAsia="宋体" w:cs="宋体"/>
                <w:color w:val="auto"/>
                <w:szCs w:val="21"/>
              </w:rPr>
            </w:pPr>
          </w:p>
        </w:tc>
        <w:tc>
          <w:tcPr>
            <w:tcW w:w="1045" w:type="pct"/>
          </w:tcPr>
          <w:p w14:paraId="2107F464">
            <w:pPr>
              <w:spacing w:line="300" w:lineRule="auto"/>
              <w:jc w:val="center"/>
              <w:rPr>
                <w:rFonts w:hint="eastAsia" w:ascii="宋体" w:hAnsi="宋体" w:eastAsia="宋体" w:cs="宋体"/>
                <w:color w:val="auto"/>
                <w:szCs w:val="21"/>
              </w:rPr>
            </w:pPr>
          </w:p>
        </w:tc>
        <w:tc>
          <w:tcPr>
            <w:tcW w:w="1035" w:type="pct"/>
          </w:tcPr>
          <w:p w14:paraId="49375C58">
            <w:pPr>
              <w:spacing w:line="300" w:lineRule="auto"/>
              <w:jc w:val="center"/>
              <w:rPr>
                <w:rFonts w:hint="eastAsia" w:ascii="宋体" w:hAnsi="宋体" w:eastAsia="宋体" w:cs="宋体"/>
                <w:color w:val="auto"/>
                <w:szCs w:val="21"/>
              </w:rPr>
            </w:pPr>
          </w:p>
        </w:tc>
      </w:tr>
      <w:tr w14:paraId="277EE5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06B7E92D">
            <w:pPr>
              <w:spacing w:line="300" w:lineRule="auto"/>
              <w:jc w:val="center"/>
              <w:rPr>
                <w:rFonts w:hint="eastAsia" w:ascii="宋体" w:hAnsi="宋体" w:eastAsia="宋体" w:cs="宋体"/>
                <w:color w:val="auto"/>
                <w:szCs w:val="21"/>
              </w:rPr>
            </w:pPr>
          </w:p>
        </w:tc>
        <w:tc>
          <w:tcPr>
            <w:tcW w:w="1153" w:type="pct"/>
          </w:tcPr>
          <w:p w14:paraId="58791121">
            <w:pPr>
              <w:spacing w:line="300" w:lineRule="auto"/>
              <w:jc w:val="center"/>
              <w:rPr>
                <w:rFonts w:hint="eastAsia" w:ascii="宋体" w:hAnsi="宋体" w:eastAsia="宋体" w:cs="宋体"/>
                <w:color w:val="auto"/>
                <w:szCs w:val="21"/>
              </w:rPr>
            </w:pPr>
          </w:p>
        </w:tc>
        <w:tc>
          <w:tcPr>
            <w:tcW w:w="1045" w:type="pct"/>
          </w:tcPr>
          <w:p w14:paraId="3792F827">
            <w:pPr>
              <w:spacing w:line="300" w:lineRule="auto"/>
              <w:jc w:val="center"/>
              <w:rPr>
                <w:rFonts w:hint="eastAsia" w:ascii="宋体" w:hAnsi="宋体" w:eastAsia="宋体" w:cs="宋体"/>
                <w:color w:val="auto"/>
                <w:szCs w:val="21"/>
              </w:rPr>
            </w:pPr>
          </w:p>
        </w:tc>
        <w:tc>
          <w:tcPr>
            <w:tcW w:w="1045" w:type="pct"/>
          </w:tcPr>
          <w:p w14:paraId="1C46CFDB">
            <w:pPr>
              <w:spacing w:line="300" w:lineRule="auto"/>
              <w:jc w:val="center"/>
              <w:rPr>
                <w:rFonts w:hint="eastAsia" w:ascii="宋体" w:hAnsi="宋体" w:eastAsia="宋体" w:cs="宋体"/>
                <w:color w:val="auto"/>
                <w:szCs w:val="21"/>
              </w:rPr>
            </w:pPr>
          </w:p>
        </w:tc>
        <w:tc>
          <w:tcPr>
            <w:tcW w:w="1035" w:type="pct"/>
          </w:tcPr>
          <w:p w14:paraId="63A0B64F">
            <w:pPr>
              <w:spacing w:line="300" w:lineRule="auto"/>
              <w:jc w:val="center"/>
              <w:rPr>
                <w:rFonts w:hint="eastAsia" w:ascii="宋体" w:hAnsi="宋体" w:eastAsia="宋体" w:cs="宋体"/>
                <w:color w:val="auto"/>
                <w:szCs w:val="21"/>
              </w:rPr>
            </w:pPr>
          </w:p>
        </w:tc>
      </w:tr>
      <w:tr w14:paraId="0803EC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56018410">
            <w:pPr>
              <w:spacing w:line="300" w:lineRule="auto"/>
              <w:jc w:val="center"/>
              <w:rPr>
                <w:rFonts w:hint="eastAsia" w:ascii="宋体" w:hAnsi="宋体" w:eastAsia="宋体" w:cs="宋体"/>
                <w:color w:val="auto"/>
                <w:szCs w:val="21"/>
              </w:rPr>
            </w:pPr>
            <w:r>
              <w:rPr>
                <w:rFonts w:hint="eastAsia" w:ascii="宋体" w:hAnsi="宋体" w:eastAsia="宋体" w:cs="宋体"/>
                <w:color w:val="auto"/>
                <w:kern w:val="0"/>
                <w:szCs w:val="21"/>
                <w:lang w:eastAsia="zh-Hans"/>
              </w:rPr>
              <w:t>...</w:t>
            </w:r>
          </w:p>
        </w:tc>
        <w:tc>
          <w:tcPr>
            <w:tcW w:w="1153" w:type="pct"/>
          </w:tcPr>
          <w:p w14:paraId="1334347B">
            <w:pPr>
              <w:spacing w:line="300" w:lineRule="auto"/>
              <w:jc w:val="center"/>
              <w:rPr>
                <w:rFonts w:hint="eastAsia" w:ascii="宋体" w:hAnsi="宋体" w:eastAsia="宋体" w:cs="宋体"/>
                <w:color w:val="auto"/>
                <w:szCs w:val="21"/>
              </w:rPr>
            </w:pPr>
          </w:p>
        </w:tc>
        <w:tc>
          <w:tcPr>
            <w:tcW w:w="1045" w:type="pct"/>
          </w:tcPr>
          <w:p w14:paraId="54CDFDEB">
            <w:pPr>
              <w:spacing w:line="300" w:lineRule="auto"/>
              <w:jc w:val="center"/>
              <w:rPr>
                <w:rFonts w:hint="eastAsia" w:ascii="宋体" w:hAnsi="宋体" w:eastAsia="宋体" w:cs="宋体"/>
                <w:color w:val="auto"/>
                <w:szCs w:val="21"/>
              </w:rPr>
            </w:pPr>
          </w:p>
        </w:tc>
        <w:tc>
          <w:tcPr>
            <w:tcW w:w="1045" w:type="pct"/>
          </w:tcPr>
          <w:p w14:paraId="7D92F2CA">
            <w:pPr>
              <w:spacing w:line="300" w:lineRule="auto"/>
              <w:jc w:val="center"/>
              <w:rPr>
                <w:rFonts w:hint="eastAsia" w:ascii="宋体" w:hAnsi="宋体" w:eastAsia="宋体" w:cs="宋体"/>
                <w:color w:val="auto"/>
                <w:szCs w:val="21"/>
              </w:rPr>
            </w:pPr>
          </w:p>
        </w:tc>
        <w:tc>
          <w:tcPr>
            <w:tcW w:w="1035" w:type="pct"/>
          </w:tcPr>
          <w:p w14:paraId="09792819">
            <w:pPr>
              <w:spacing w:line="300" w:lineRule="auto"/>
              <w:jc w:val="center"/>
              <w:rPr>
                <w:rFonts w:hint="eastAsia" w:ascii="宋体" w:hAnsi="宋体" w:eastAsia="宋体" w:cs="宋体"/>
                <w:color w:val="auto"/>
                <w:szCs w:val="21"/>
              </w:rPr>
            </w:pPr>
          </w:p>
        </w:tc>
      </w:tr>
      <w:tr w14:paraId="2169DC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000" w:type="pct"/>
            <w:gridSpan w:val="5"/>
          </w:tcPr>
          <w:p w14:paraId="4B4E99AA">
            <w:pPr>
              <w:spacing w:line="300" w:lineRule="auto"/>
              <w:rPr>
                <w:rFonts w:hint="eastAsia" w:ascii="宋体" w:hAnsi="宋体" w:eastAsia="宋体" w:cs="宋体"/>
                <w:color w:val="auto"/>
                <w:szCs w:val="21"/>
              </w:rPr>
            </w:pPr>
            <w:r>
              <w:rPr>
                <w:rFonts w:hint="eastAsia" w:ascii="宋体" w:hAnsi="宋体" w:eastAsia="宋体" w:cs="宋体"/>
                <w:color w:val="auto"/>
                <w:kern w:val="0"/>
                <w:szCs w:val="21"/>
              </w:rPr>
              <w:t>总价：</w:t>
            </w:r>
            <w:r>
              <w:rPr>
                <w:rFonts w:hint="eastAsia" w:ascii="宋体" w:hAnsi="宋体" w:eastAsia="宋体" w:cs="宋体"/>
                <w:color w:val="auto"/>
                <w:szCs w:val="21"/>
              </w:rPr>
              <w:t>大写：</w:t>
            </w:r>
            <w:r>
              <w:rPr>
                <w:rFonts w:hint="eastAsia" w:ascii="宋体" w:hAnsi="宋体" w:eastAsia="宋体" w:cs="宋体"/>
                <w:color w:val="auto"/>
                <w:szCs w:val="21"/>
                <w:u w:val="single"/>
              </w:rPr>
              <w:t xml:space="preserve">                       元</w:t>
            </w:r>
            <w:r>
              <w:rPr>
                <w:rFonts w:hint="eastAsia" w:ascii="宋体" w:hAnsi="宋体" w:eastAsia="宋体" w:cs="宋体"/>
                <w:color w:val="auto"/>
                <w:szCs w:val="21"/>
              </w:rPr>
              <w:t>（小写：</w:t>
            </w:r>
            <w:r>
              <w:rPr>
                <w:rFonts w:hint="eastAsia" w:ascii="宋体" w:hAnsi="宋体" w:eastAsia="宋体" w:cs="宋体"/>
                <w:color w:val="auto"/>
                <w:szCs w:val="21"/>
                <w:u w:val="single"/>
              </w:rPr>
              <w:t xml:space="preserve">                       元）</w:t>
            </w:r>
          </w:p>
        </w:tc>
      </w:tr>
    </w:tbl>
    <w:p w14:paraId="308085D1">
      <w:pPr>
        <w:widowControl/>
        <w:jc w:val="left"/>
        <w:rPr>
          <w:rFonts w:hint="eastAsia" w:ascii="宋体" w:hAnsi="宋体" w:eastAsia="宋体" w:cs="宋体"/>
          <w:color w:val="auto"/>
          <w:kern w:val="0"/>
          <w:sz w:val="20"/>
          <w:szCs w:val="20"/>
          <w:lang w:eastAsia="zh-Hans"/>
        </w:rPr>
      </w:pPr>
    </w:p>
    <w:p w14:paraId="4D9A63D0">
      <w:pPr>
        <w:widowControl/>
        <w:jc w:val="left"/>
        <w:rPr>
          <w:rFonts w:hint="eastAsia" w:ascii="宋体" w:hAnsi="宋体" w:eastAsia="宋体" w:cs="宋体"/>
          <w:color w:val="auto"/>
          <w:kern w:val="0"/>
          <w:sz w:val="20"/>
          <w:szCs w:val="20"/>
          <w:lang w:eastAsia="zh-Hans"/>
        </w:rPr>
      </w:pPr>
    </w:p>
    <w:p w14:paraId="4CEDCB9F">
      <w:pPr>
        <w:widowControl/>
        <w:jc w:val="left"/>
        <w:outlineLvl w:val="2"/>
        <w:rPr>
          <w:rFonts w:hint="eastAsia" w:ascii="宋体" w:hAnsi="宋体" w:eastAsia="宋体" w:cs="宋体"/>
          <w:b/>
          <w:color w:val="auto"/>
          <w:kern w:val="0"/>
          <w:sz w:val="28"/>
          <w:szCs w:val="20"/>
        </w:rPr>
      </w:pPr>
    </w:p>
    <w:p w14:paraId="76EEE6F7">
      <w:pPr>
        <w:widowControl/>
        <w:spacing w:line="300" w:lineRule="auto"/>
        <w:jc w:val="left"/>
        <w:rPr>
          <w:rFonts w:hint="eastAsia" w:ascii="宋体" w:hAnsi="宋体" w:eastAsia="宋体" w:cs="宋体"/>
          <w:color w:val="auto"/>
          <w:kern w:val="0"/>
          <w:szCs w:val="21"/>
          <w:lang w:eastAsia="zh-Hans"/>
        </w:rPr>
      </w:pPr>
    </w:p>
    <w:p w14:paraId="2DB9C27D">
      <w:pPr>
        <w:widowControl/>
        <w:spacing w:before="870" w:beforeLines="200" w:line="300" w:lineRule="auto"/>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1C1CB97E">
      <w:pPr>
        <w:rPr>
          <w:rFonts w:hint="eastAsia" w:ascii="宋体" w:hAnsi="宋体" w:eastAsia="宋体" w:cs="宋体"/>
          <w:color w:val="auto"/>
          <w:szCs w:val="21"/>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71FE5E8F">
      <w:pPr>
        <w:pageBreakBefore/>
        <w:rPr>
          <w:rFonts w:hint="eastAsia" w:ascii="宋体" w:hAnsi="宋体" w:eastAsia="宋体" w:cs="宋体"/>
          <w:color w:val="auto"/>
          <w:kern w:val="0"/>
          <w:szCs w:val="21"/>
          <w:lang w:eastAsia="zh-Hans"/>
        </w:rPr>
      </w:pPr>
      <w:bookmarkStart w:id="39" w:name="_Toc169799790"/>
      <w:r>
        <w:rPr>
          <w:rFonts w:hint="eastAsia" w:ascii="宋体" w:hAnsi="宋体" w:eastAsia="宋体" w:cs="宋体"/>
          <w:b/>
          <w:bCs/>
          <w:color w:val="auto"/>
          <w:sz w:val="24"/>
          <w:szCs w:val="28"/>
        </w:rPr>
        <w:t>格式四：</w:t>
      </w:r>
      <w:bookmarkEnd w:id="39"/>
    </w:p>
    <w:p w14:paraId="7DFECC67">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（以下格式文件由供应商根据需要选用）</w:t>
      </w:r>
    </w:p>
    <w:p w14:paraId="4E9FCFE7">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中小企业声明函（承建本项目工程为中小企业或者承接本项目服务为中小企业时提交本函，所属行业应符合采购文件中明确的本项目所属行业）</w:t>
      </w:r>
    </w:p>
    <w:p w14:paraId="63F7C069">
      <w:pPr>
        <w:widowControl/>
        <w:spacing w:before="217" w:beforeLines="50" w:after="217" w:afterLines="50"/>
        <w:jc w:val="center"/>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 w:val="32"/>
          <w:szCs w:val="32"/>
          <w:lang w:eastAsia="zh-Hans"/>
        </w:rPr>
        <w:t>中小企业声明函（工程、服务）</w:t>
      </w:r>
    </w:p>
    <w:p w14:paraId="329D60C6">
      <w:pPr>
        <w:widowControl/>
        <w:ind w:firstLine="420" w:firstLineChars="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本公司（联合体）郑重声明，根据《政府采购促进中小企业发展管理办法》（财库﹝2020﹞46号）的规定，本公司（联合体）参加</w:t>
      </w:r>
      <w:r>
        <w:rPr>
          <w:rFonts w:hint="eastAsia" w:ascii="宋体" w:hAnsi="宋体" w:eastAsia="宋体" w:cs="宋体"/>
          <w:color w:val="auto"/>
          <w:kern w:val="0"/>
          <w:szCs w:val="21"/>
          <w:u w:val="single"/>
          <w:lang w:eastAsia="zh-Hans"/>
        </w:rPr>
        <w:t>（单位名称）</w:t>
      </w:r>
      <w:r>
        <w:rPr>
          <w:rFonts w:hint="eastAsia" w:ascii="宋体" w:hAnsi="宋体" w:eastAsia="宋体" w:cs="宋体"/>
          <w:color w:val="auto"/>
          <w:kern w:val="0"/>
          <w:szCs w:val="21"/>
          <w:lang w:eastAsia="zh-Hans"/>
        </w:rPr>
        <w:t>的</w:t>
      </w:r>
      <w:r>
        <w:rPr>
          <w:rFonts w:hint="eastAsia" w:ascii="宋体" w:hAnsi="宋体" w:eastAsia="宋体" w:cs="宋体"/>
          <w:color w:val="auto"/>
          <w:kern w:val="0"/>
          <w:szCs w:val="21"/>
          <w:u w:val="single"/>
          <w:lang w:eastAsia="zh-Hans"/>
        </w:rPr>
        <w:t>（项目名称）</w:t>
      </w:r>
      <w:r>
        <w:rPr>
          <w:rFonts w:hint="eastAsia" w:ascii="宋体" w:hAnsi="宋体" w:eastAsia="宋体" w:cs="宋体"/>
          <w:color w:val="auto"/>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A966398">
      <w:pPr>
        <w:widowControl/>
        <w:ind w:firstLine="420" w:firstLineChars="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1.</w:t>
      </w:r>
      <w:r>
        <w:rPr>
          <w:rFonts w:hint="eastAsia" w:ascii="宋体" w:hAnsi="宋体" w:eastAsia="宋体" w:cs="宋体"/>
          <w:color w:val="auto"/>
          <w:kern w:val="0"/>
          <w:szCs w:val="21"/>
          <w:u w:val="single"/>
          <w:lang w:eastAsia="zh-Hans"/>
        </w:rPr>
        <w:t>（标的名称）</w:t>
      </w:r>
      <w:r>
        <w:rPr>
          <w:rFonts w:hint="eastAsia" w:ascii="宋体" w:hAnsi="宋体" w:eastAsia="宋体" w:cs="宋体"/>
          <w:color w:val="auto"/>
          <w:kern w:val="0"/>
          <w:szCs w:val="21"/>
          <w:lang w:eastAsia="zh-Hans"/>
        </w:rPr>
        <w:t>，属于</w:t>
      </w:r>
      <w:r>
        <w:rPr>
          <w:rFonts w:hint="eastAsia" w:ascii="宋体" w:hAnsi="宋体" w:eastAsia="宋体" w:cs="宋体"/>
          <w:color w:val="auto"/>
          <w:kern w:val="0"/>
          <w:szCs w:val="21"/>
          <w:u w:val="single"/>
          <w:lang w:eastAsia="zh-Hans"/>
        </w:rPr>
        <w:t>（采购文件中明确的所属行业）</w:t>
      </w:r>
      <w:r>
        <w:rPr>
          <w:rFonts w:hint="eastAsia" w:ascii="宋体" w:hAnsi="宋体" w:eastAsia="宋体" w:cs="宋体"/>
          <w:color w:val="auto"/>
          <w:kern w:val="0"/>
          <w:szCs w:val="21"/>
          <w:lang w:eastAsia="zh-Hans"/>
        </w:rPr>
        <w:t>行业；承建（承接）企业为</w:t>
      </w:r>
      <w:r>
        <w:rPr>
          <w:rFonts w:hint="eastAsia" w:ascii="宋体" w:hAnsi="宋体" w:eastAsia="宋体" w:cs="宋体"/>
          <w:color w:val="auto"/>
          <w:kern w:val="0"/>
          <w:szCs w:val="21"/>
          <w:u w:val="single"/>
          <w:lang w:eastAsia="zh-Hans"/>
        </w:rPr>
        <w:t>（企业名称）</w:t>
      </w:r>
      <w:r>
        <w:rPr>
          <w:rFonts w:hint="eastAsia" w:ascii="宋体" w:hAnsi="宋体" w:eastAsia="宋体" w:cs="宋体"/>
          <w:color w:val="auto"/>
          <w:kern w:val="0"/>
          <w:szCs w:val="21"/>
          <w:lang w:eastAsia="zh-Hans"/>
        </w:rPr>
        <w:t>，从业人员___________人，营业收入为______________万元，资产总额为_____________万元1，属于</w:t>
      </w:r>
      <w:r>
        <w:rPr>
          <w:rFonts w:hint="eastAsia" w:ascii="宋体" w:hAnsi="宋体" w:eastAsia="宋体" w:cs="宋体"/>
          <w:color w:val="auto"/>
          <w:kern w:val="0"/>
          <w:szCs w:val="21"/>
          <w:u w:val="single"/>
          <w:lang w:eastAsia="zh-Hans"/>
        </w:rPr>
        <w:t>（中型企业、小型企业、微型企业）</w:t>
      </w:r>
      <w:r>
        <w:rPr>
          <w:rFonts w:hint="eastAsia" w:ascii="宋体" w:hAnsi="宋体" w:eastAsia="宋体" w:cs="宋体"/>
          <w:color w:val="auto"/>
          <w:kern w:val="0"/>
          <w:szCs w:val="21"/>
          <w:lang w:eastAsia="zh-Hans"/>
        </w:rPr>
        <w:t>；</w:t>
      </w:r>
    </w:p>
    <w:p w14:paraId="5677ABFD">
      <w:pPr>
        <w:widowControl/>
        <w:ind w:firstLine="420" w:firstLineChars="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2.</w:t>
      </w:r>
      <w:r>
        <w:rPr>
          <w:rFonts w:hint="eastAsia" w:ascii="宋体" w:hAnsi="宋体" w:eastAsia="宋体" w:cs="宋体"/>
          <w:color w:val="auto"/>
          <w:kern w:val="0"/>
          <w:szCs w:val="21"/>
          <w:u w:val="single"/>
          <w:lang w:eastAsia="zh-Hans"/>
        </w:rPr>
        <w:t>（标的名称）</w:t>
      </w:r>
      <w:r>
        <w:rPr>
          <w:rFonts w:hint="eastAsia" w:ascii="宋体" w:hAnsi="宋体" w:eastAsia="宋体" w:cs="宋体"/>
          <w:color w:val="auto"/>
          <w:kern w:val="0"/>
          <w:szCs w:val="21"/>
          <w:lang w:eastAsia="zh-Hans"/>
        </w:rPr>
        <w:t>，属于</w:t>
      </w:r>
      <w:r>
        <w:rPr>
          <w:rFonts w:hint="eastAsia" w:ascii="宋体" w:hAnsi="宋体" w:eastAsia="宋体" w:cs="宋体"/>
          <w:color w:val="auto"/>
          <w:kern w:val="0"/>
          <w:szCs w:val="21"/>
          <w:u w:val="single"/>
          <w:lang w:eastAsia="zh-Hans"/>
        </w:rPr>
        <w:t>（采购文件中明确的所属行业）</w:t>
      </w:r>
      <w:r>
        <w:rPr>
          <w:rFonts w:hint="eastAsia" w:ascii="宋体" w:hAnsi="宋体" w:eastAsia="宋体" w:cs="宋体"/>
          <w:color w:val="auto"/>
          <w:kern w:val="0"/>
          <w:szCs w:val="21"/>
          <w:lang w:eastAsia="zh-Hans"/>
        </w:rPr>
        <w:t>行业；承建（承接）企业为</w:t>
      </w:r>
      <w:r>
        <w:rPr>
          <w:rFonts w:hint="eastAsia" w:ascii="宋体" w:hAnsi="宋体" w:eastAsia="宋体" w:cs="宋体"/>
          <w:color w:val="auto"/>
          <w:kern w:val="0"/>
          <w:szCs w:val="21"/>
          <w:u w:val="single"/>
          <w:lang w:eastAsia="zh-Hans"/>
        </w:rPr>
        <w:t>（企业名称）</w:t>
      </w:r>
      <w:r>
        <w:rPr>
          <w:rFonts w:hint="eastAsia" w:ascii="宋体" w:hAnsi="宋体" w:eastAsia="宋体" w:cs="宋体"/>
          <w:color w:val="auto"/>
          <w:kern w:val="0"/>
          <w:szCs w:val="21"/>
          <w:lang w:eastAsia="zh-Hans"/>
        </w:rPr>
        <w:t>，从业人员__________________人，营业收入为__________________万元，资产总额为__________________万元</w:t>
      </w:r>
      <w:r>
        <w:rPr>
          <w:rFonts w:hint="eastAsia" w:ascii="宋体" w:hAnsi="宋体" w:eastAsia="宋体" w:cs="宋体"/>
          <w:color w:val="auto"/>
          <w:kern w:val="0"/>
          <w:szCs w:val="21"/>
          <w:vertAlign w:val="superscript"/>
          <w:lang w:eastAsia="zh-Hans"/>
        </w:rPr>
        <w:t>1</w:t>
      </w:r>
      <w:r>
        <w:rPr>
          <w:rFonts w:hint="eastAsia" w:ascii="宋体" w:hAnsi="宋体" w:eastAsia="宋体" w:cs="宋体"/>
          <w:color w:val="auto"/>
          <w:kern w:val="0"/>
          <w:szCs w:val="21"/>
          <w:lang w:eastAsia="zh-Hans"/>
        </w:rPr>
        <w:t>，属于</w:t>
      </w:r>
      <w:r>
        <w:rPr>
          <w:rFonts w:hint="eastAsia" w:ascii="宋体" w:hAnsi="宋体" w:eastAsia="宋体" w:cs="宋体"/>
          <w:color w:val="auto"/>
          <w:kern w:val="0"/>
          <w:szCs w:val="21"/>
          <w:u w:val="single"/>
          <w:lang w:eastAsia="zh-Hans"/>
        </w:rPr>
        <w:t>（中型企业、小型企业、微型企业）</w:t>
      </w:r>
      <w:r>
        <w:rPr>
          <w:rFonts w:hint="eastAsia" w:ascii="宋体" w:hAnsi="宋体" w:eastAsia="宋体" w:cs="宋体"/>
          <w:color w:val="auto"/>
          <w:kern w:val="0"/>
          <w:szCs w:val="21"/>
          <w:lang w:eastAsia="zh-Hans"/>
        </w:rPr>
        <w:t>；</w:t>
      </w:r>
    </w:p>
    <w:p w14:paraId="480DE6B8">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w:t>
      </w:r>
    </w:p>
    <w:p w14:paraId="58590A91">
      <w:pPr>
        <w:widowControl/>
        <w:ind w:firstLine="420" w:firstLineChars="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以上企业，不属于大企业的分支机构，不存在控股股东为大企业的情形，也不存在与大企业的负责人为同一人的情形。</w:t>
      </w:r>
    </w:p>
    <w:p w14:paraId="6AF741D4">
      <w:pPr>
        <w:widowControl/>
        <w:ind w:firstLine="420" w:firstLineChars="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本企业对上述声明内容的真实性负责。如有虚假，将依法承担相应责任。</w:t>
      </w:r>
    </w:p>
    <w:p w14:paraId="2AA54419">
      <w:pPr>
        <w:widowControl/>
        <w:spacing w:before="1087" w:beforeLines="250"/>
        <w:ind w:right="840" w:firstLine="4536" w:firstLineChars="2160"/>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企业名称（盖章）：__________________</w:t>
      </w:r>
    </w:p>
    <w:p w14:paraId="0AEA3010">
      <w:pPr>
        <w:widowControl/>
        <w:ind w:right="840" w:firstLine="4536" w:firstLineChars="2160"/>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5949DC1E">
      <w:pPr>
        <w:widowControl/>
        <w:ind w:right="840"/>
        <w:rPr>
          <w:rFonts w:hint="eastAsia" w:ascii="宋体" w:hAnsi="宋体" w:eastAsia="宋体" w:cs="宋体"/>
          <w:color w:val="auto"/>
          <w:kern w:val="0"/>
          <w:szCs w:val="21"/>
          <w:lang w:eastAsia="zh-Hans"/>
        </w:rPr>
      </w:pPr>
    </w:p>
    <w:p w14:paraId="3BE1D1C4">
      <w:pPr>
        <w:widowControl/>
        <w:ind w:right="840"/>
        <w:rPr>
          <w:rFonts w:hint="eastAsia" w:ascii="宋体" w:hAnsi="宋体" w:eastAsia="宋体" w:cs="宋体"/>
          <w:color w:val="auto"/>
          <w:kern w:val="0"/>
          <w:szCs w:val="21"/>
          <w:lang w:eastAsia="zh-Hans"/>
        </w:rPr>
      </w:pPr>
    </w:p>
    <w:p w14:paraId="206A9AAB">
      <w:pPr>
        <w:widowControl/>
        <w:ind w:right="840"/>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1：从业人员、营业收入、资产总额填报上一年度数据，无上一年度数据的新成立企业可不填报。</w:t>
      </w:r>
    </w:p>
    <w:p w14:paraId="34BC5F13">
      <w:pPr>
        <w:widowControl/>
        <w:jc w:val="left"/>
        <w:rPr>
          <w:rFonts w:hint="eastAsia" w:ascii="宋体" w:hAnsi="宋体" w:eastAsia="宋体" w:cs="宋体"/>
          <w:color w:val="auto"/>
          <w:kern w:val="0"/>
          <w:szCs w:val="21"/>
          <w:lang w:eastAsia="zh-Hans"/>
        </w:rPr>
      </w:pPr>
    </w:p>
    <w:p w14:paraId="1CB4C9D5">
      <w:pPr>
        <w:pageBreakBefore/>
        <w:rPr>
          <w:rFonts w:hint="eastAsia" w:ascii="宋体" w:hAnsi="宋体" w:eastAsia="宋体" w:cs="宋体"/>
          <w:color w:val="auto"/>
          <w:kern w:val="0"/>
          <w:szCs w:val="21"/>
          <w:lang w:eastAsia="zh-Hans"/>
        </w:rPr>
      </w:pPr>
      <w:bookmarkStart w:id="40" w:name="_Toc169799791"/>
      <w:r>
        <w:rPr>
          <w:rFonts w:hint="eastAsia" w:ascii="宋体" w:hAnsi="宋体" w:eastAsia="宋体" w:cs="宋体"/>
          <w:b/>
          <w:bCs/>
          <w:color w:val="auto"/>
          <w:sz w:val="24"/>
          <w:szCs w:val="28"/>
        </w:rPr>
        <w:t>格式五：</w:t>
      </w:r>
      <w:bookmarkEnd w:id="40"/>
    </w:p>
    <w:p w14:paraId="5EAFA487">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（以下格式文件由供应商根据需要选用）</w:t>
      </w:r>
    </w:p>
    <w:p w14:paraId="1347B912">
      <w:pPr>
        <w:widowControl/>
        <w:jc w:val="center"/>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 w:val="32"/>
          <w:szCs w:val="32"/>
          <w:lang w:eastAsia="zh-Hans"/>
        </w:rPr>
        <w:t>监狱企业</w:t>
      </w:r>
    </w:p>
    <w:p w14:paraId="41939BD7">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提供由监狱管理局、戒毒管理局（含新疆生产建设兵团）出具的属于监狱企业的证明文件。</w:t>
      </w:r>
    </w:p>
    <w:p w14:paraId="56CE58B4">
      <w:pPr>
        <w:widowControl/>
        <w:jc w:val="left"/>
        <w:rPr>
          <w:rFonts w:hint="eastAsia" w:ascii="宋体" w:hAnsi="宋体" w:eastAsia="宋体" w:cs="宋体"/>
          <w:color w:val="auto"/>
          <w:kern w:val="0"/>
          <w:szCs w:val="21"/>
          <w:lang w:eastAsia="zh-Hans"/>
        </w:rPr>
      </w:pPr>
    </w:p>
    <w:p w14:paraId="452DC3D0">
      <w:pPr>
        <w:keepLines/>
        <w:spacing w:before="652" w:beforeLines="150"/>
        <w:rPr>
          <w:rFonts w:hint="eastAsia" w:ascii="宋体" w:hAnsi="宋体" w:eastAsia="宋体" w:cs="宋体"/>
          <w:color w:val="auto"/>
          <w:kern w:val="0"/>
          <w:szCs w:val="21"/>
          <w:lang w:eastAsia="zh-Hans"/>
        </w:rPr>
      </w:pPr>
      <w:bookmarkStart w:id="41" w:name="_Toc169799792"/>
      <w:r>
        <w:rPr>
          <w:rFonts w:hint="eastAsia" w:ascii="宋体" w:hAnsi="宋体" w:eastAsia="宋体" w:cs="宋体"/>
          <w:b/>
          <w:bCs/>
          <w:color w:val="auto"/>
          <w:sz w:val="24"/>
          <w:szCs w:val="28"/>
        </w:rPr>
        <w:t>格式六：</w:t>
      </w:r>
      <w:bookmarkEnd w:id="41"/>
    </w:p>
    <w:p w14:paraId="07BDD4EA">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（以下格式文件由供应商根据需要选用）</w:t>
      </w:r>
    </w:p>
    <w:p w14:paraId="189DBA06">
      <w:pPr>
        <w:widowControl/>
        <w:spacing w:before="652" w:beforeLines="150" w:after="217" w:afterLines="50"/>
        <w:jc w:val="center"/>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 w:val="32"/>
          <w:szCs w:val="32"/>
          <w:lang w:eastAsia="zh-Hans"/>
        </w:rPr>
        <w:t>残疾人福利性单位声明函</w:t>
      </w:r>
    </w:p>
    <w:p w14:paraId="75F647AD">
      <w:pPr>
        <w:widowControl/>
        <w:ind w:firstLine="420" w:firstLineChars="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本单位对上述声明的真实性负责。如有虚假，将依法承担相应责任。</w:t>
      </w:r>
    </w:p>
    <w:p w14:paraId="278E8EE4">
      <w:pPr>
        <w:widowControl/>
        <w:spacing w:before="870" w:beforeLines="200"/>
        <w:ind w:right="840" w:firstLine="4536" w:firstLineChars="2160"/>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单位名称（盖章）：__________________</w:t>
      </w:r>
    </w:p>
    <w:p w14:paraId="230C81B8">
      <w:pPr>
        <w:widowControl/>
        <w:ind w:right="840" w:firstLine="4536" w:firstLineChars="2160"/>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日期： 年 月 日</w:t>
      </w:r>
    </w:p>
    <w:p w14:paraId="36F407F1">
      <w:pPr>
        <w:pageBreakBefore/>
        <w:rPr>
          <w:rFonts w:hint="eastAsia" w:ascii="宋体" w:hAnsi="宋体" w:eastAsia="宋体" w:cs="宋体"/>
          <w:color w:val="auto"/>
          <w:kern w:val="0"/>
          <w:szCs w:val="21"/>
          <w:lang w:eastAsia="zh-Hans"/>
        </w:rPr>
      </w:pPr>
      <w:bookmarkStart w:id="42" w:name="_Toc169799793"/>
      <w:r>
        <w:rPr>
          <w:rFonts w:hint="eastAsia" w:ascii="宋体" w:hAnsi="宋体" w:eastAsia="宋体" w:cs="宋体"/>
          <w:b/>
          <w:bCs/>
          <w:color w:val="auto"/>
          <w:sz w:val="24"/>
          <w:szCs w:val="28"/>
        </w:rPr>
        <w:t>格式七：</w:t>
      </w:r>
      <w:bookmarkEnd w:id="42"/>
    </w:p>
    <w:p w14:paraId="4AE1792C">
      <w:pPr>
        <w:widowControl/>
        <w:spacing w:after="217" w:afterLines="50"/>
        <w:jc w:val="center"/>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政策适用性说明</w:t>
      </w:r>
    </w:p>
    <w:p w14:paraId="46F277E8">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序号</w:t>
            </w:r>
          </w:p>
        </w:tc>
        <w:tc>
          <w:tcPr>
            <w:tcW w:w="954" w:type="pct"/>
            <w:vAlign w:val="center"/>
          </w:tcPr>
          <w:p w14:paraId="0D345E9E">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主要产品/技术名称（规格型号、注册商标）</w:t>
            </w:r>
          </w:p>
        </w:tc>
        <w:tc>
          <w:tcPr>
            <w:tcW w:w="614" w:type="pct"/>
            <w:vAlign w:val="center"/>
          </w:tcPr>
          <w:p w14:paraId="2D1E83F4">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制造商(开发商)</w:t>
            </w:r>
          </w:p>
        </w:tc>
        <w:tc>
          <w:tcPr>
            <w:tcW w:w="614" w:type="pct"/>
            <w:vAlign w:val="center"/>
          </w:tcPr>
          <w:p w14:paraId="06B8F618">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制造商企业类型</w:t>
            </w:r>
          </w:p>
        </w:tc>
        <w:tc>
          <w:tcPr>
            <w:tcW w:w="613" w:type="pct"/>
            <w:vAlign w:val="center"/>
          </w:tcPr>
          <w:p w14:paraId="00C5B104">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节能产品</w:t>
            </w:r>
          </w:p>
        </w:tc>
        <w:tc>
          <w:tcPr>
            <w:tcW w:w="614" w:type="pct"/>
            <w:vAlign w:val="center"/>
          </w:tcPr>
          <w:p w14:paraId="3B24A611">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环境标志产品</w:t>
            </w:r>
          </w:p>
        </w:tc>
        <w:tc>
          <w:tcPr>
            <w:tcW w:w="540" w:type="pct"/>
            <w:vAlign w:val="center"/>
          </w:tcPr>
          <w:p w14:paraId="0803BC30">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认证证书编号</w:t>
            </w:r>
          </w:p>
        </w:tc>
        <w:tc>
          <w:tcPr>
            <w:tcW w:w="624" w:type="pct"/>
            <w:vAlign w:val="center"/>
          </w:tcPr>
          <w:p w14:paraId="12572C7F">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1</w:t>
            </w:r>
          </w:p>
        </w:tc>
        <w:tc>
          <w:tcPr>
            <w:tcW w:w="954" w:type="pct"/>
            <w:vAlign w:val="center"/>
          </w:tcPr>
          <w:p w14:paraId="565F8435">
            <w:pPr>
              <w:jc w:val="center"/>
              <w:rPr>
                <w:rFonts w:hint="eastAsia" w:ascii="宋体" w:hAnsi="宋体" w:eastAsia="宋体" w:cs="宋体"/>
                <w:color w:val="auto"/>
                <w:szCs w:val="21"/>
              </w:rPr>
            </w:pPr>
          </w:p>
        </w:tc>
        <w:tc>
          <w:tcPr>
            <w:tcW w:w="614" w:type="pct"/>
            <w:vAlign w:val="center"/>
          </w:tcPr>
          <w:p w14:paraId="295FC0F8">
            <w:pPr>
              <w:jc w:val="center"/>
              <w:rPr>
                <w:rFonts w:hint="eastAsia" w:ascii="宋体" w:hAnsi="宋体" w:eastAsia="宋体" w:cs="宋体"/>
                <w:color w:val="auto"/>
                <w:szCs w:val="21"/>
              </w:rPr>
            </w:pPr>
          </w:p>
        </w:tc>
        <w:tc>
          <w:tcPr>
            <w:tcW w:w="614" w:type="pct"/>
            <w:vAlign w:val="center"/>
          </w:tcPr>
          <w:p w14:paraId="597AAA28">
            <w:pPr>
              <w:jc w:val="center"/>
              <w:rPr>
                <w:rFonts w:hint="eastAsia" w:ascii="宋体" w:hAnsi="宋体" w:eastAsia="宋体" w:cs="宋体"/>
                <w:color w:val="auto"/>
                <w:szCs w:val="21"/>
              </w:rPr>
            </w:pPr>
          </w:p>
        </w:tc>
        <w:tc>
          <w:tcPr>
            <w:tcW w:w="613" w:type="pct"/>
            <w:vAlign w:val="center"/>
          </w:tcPr>
          <w:p w14:paraId="51DEA5FC">
            <w:pPr>
              <w:jc w:val="center"/>
              <w:rPr>
                <w:rFonts w:hint="eastAsia" w:ascii="宋体" w:hAnsi="宋体" w:eastAsia="宋体" w:cs="宋体"/>
                <w:color w:val="auto"/>
                <w:szCs w:val="21"/>
              </w:rPr>
            </w:pPr>
          </w:p>
        </w:tc>
        <w:tc>
          <w:tcPr>
            <w:tcW w:w="614" w:type="pct"/>
            <w:vAlign w:val="center"/>
          </w:tcPr>
          <w:p w14:paraId="65928C23">
            <w:pPr>
              <w:jc w:val="center"/>
              <w:rPr>
                <w:rFonts w:hint="eastAsia" w:ascii="宋体" w:hAnsi="宋体" w:eastAsia="宋体" w:cs="宋体"/>
                <w:color w:val="auto"/>
                <w:szCs w:val="21"/>
              </w:rPr>
            </w:pPr>
          </w:p>
        </w:tc>
        <w:tc>
          <w:tcPr>
            <w:tcW w:w="540" w:type="pct"/>
            <w:vAlign w:val="center"/>
          </w:tcPr>
          <w:p w14:paraId="42170184">
            <w:pPr>
              <w:jc w:val="center"/>
              <w:rPr>
                <w:rFonts w:hint="eastAsia" w:ascii="宋体" w:hAnsi="宋体" w:eastAsia="宋体" w:cs="宋体"/>
                <w:color w:val="auto"/>
                <w:szCs w:val="21"/>
              </w:rPr>
            </w:pPr>
          </w:p>
        </w:tc>
        <w:tc>
          <w:tcPr>
            <w:tcW w:w="624" w:type="pct"/>
            <w:vAlign w:val="center"/>
          </w:tcPr>
          <w:p w14:paraId="07A206E3">
            <w:pPr>
              <w:jc w:val="center"/>
              <w:rPr>
                <w:rFonts w:hint="eastAsia" w:ascii="宋体" w:hAnsi="宋体" w:eastAsia="宋体" w:cs="宋体"/>
                <w:color w:val="auto"/>
                <w:szCs w:val="21"/>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2</w:t>
            </w:r>
          </w:p>
        </w:tc>
        <w:tc>
          <w:tcPr>
            <w:tcW w:w="954" w:type="pct"/>
            <w:vAlign w:val="center"/>
          </w:tcPr>
          <w:p w14:paraId="74E8A389">
            <w:pPr>
              <w:jc w:val="center"/>
              <w:rPr>
                <w:rFonts w:hint="eastAsia" w:ascii="宋体" w:hAnsi="宋体" w:eastAsia="宋体" w:cs="宋体"/>
                <w:color w:val="auto"/>
                <w:szCs w:val="21"/>
              </w:rPr>
            </w:pPr>
          </w:p>
        </w:tc>
        <w:tc>
          <w:tcPr>
            <w:tcW w:w="614" w:type="pct"/>
            <w:vAlign w:val="center"/>
          </w:tcPr>
          <w:p w14:paraId="1BD6BB28">
            <w:pPr>
              <w:jc w:val="center"/>
              <w:rPr>
                <w:rFonts w:hint="eastAsia" w:ascii="宋体" w:hAnsi="宋体" w:eastAsia="宋体" w:cs="宋体"/>
                <w:color w:val="auto"/>
                <w:szCs w:val="21"/>
              </w:rPr>
            </w:pPr>
          </w:p>
        </w:tc>
        <w:tc>
          <w:tcPr>
            <w:tcW w:w="614" w:type="pct"/>
            <w:vAlign w:val="center"/>
          </w:tcPr>
          <w:p w14:paraId="17D6A5CE">
            <w:pPr>
              <w:jc w:val="center"/>
              <w:rPr>
                <w:rFonts w:hint="eastAsia" w:ascii="宋体" w:hAnsi="宋体" w:eastAsia="宋体" w:cs="宋体"/>
                <w:color w:val="auto"/>
                <w:szCs w:val="21"/>
              </w:rPr>
            </w:pPr>
          </w:p>
        </w:tc>
        <w:tc>
          <w:tcPr>
            <w:tcW w:w="613" w:type="pct"/>
            <w:vAlign w:val="center"/>
          </w:tcPr>
          <w:p w14:paraId="20A39320">
            <w:pPr>
              <w:jc w:val="center"/>
              <w:rPr>
                <w:rFonts w:hint="eastAsia" w:ascii="宋体" w:hAnsi="宋体" w:eastAsia="宋体" w:cs="宋体"/>
                <w:color w:val="auto"/>
                <w:szCs w:val="21"/>
              </w:rPr>
            </w:pPr>
          </w:p>
        </w:tc>
        <w:tc>
          <w:tcPr>
            <w:tcW w:w="614" w:type="pct"/>
            <w:vAlign w:val="center"/>
          </w:tcPr>
          <w:p w14:paraId="3E4FEA72">
            <w:pPr>
              <w:jc w:val="center"/>
              <w:rPr>
                <w:rFonts w:hint="eastAsia" w:ascii="宋体" w:hAnsi="宋体" w:eastAsia="宋体" w:cs="宋体"/>
                <w:color w:val="auto"/>
                <w:szCs w:val="21"/>
              </w:rPr>
            </w:pPr>
          </w:p>
        </w:tc>
        <w:tc>
          <w:tcPr>
            <w:tcW w:w="540" w:type="pct"/>
            <w:vAlign w:val="center"/>
          </w:tcPr>
          <w:p w14:paraId="1AE1FD9E">
            <w:pPr>
              <w:jc w:val="center"/>
              <w:rPr>
                <w:rFonts w:hint="eastAsia" w:ascii="宋体" w:hAnsi="宋体" w:eastAsia="宋体" w:cs="宋体"/>
                <w:color w:val="auto"/>
                <w:szCs w:val="21"/>
              </w:rPr>
            </w:pPr>
          </w:p>
        </w:tc>
        <w:tc>
          <w:tcPr>
            <w:tcW w:w="624" w:type="pct"/>
            <w:vAlign w:val="center"/>
          </w:tcPr>
          <w:p w14:paraId="6ACB66F2">
            <w:pPr>
              <w:jc w:val="center"/>
              <w:rPr>
                <w:rFonts w:hint="eastAsia" w:ascii="宋体" w:hAnsi="宋体" w:eastAsia="宋体" w:cs="宋体"/>
                <w:color w:val="auto"/>
                <w:szCs w:val="21"/>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3</w:t>
            </w:r>
          </w:p>
        </w:tc>
        <w:tc>
          <w:tcPr>
            <w:tcW w:w="954" w:type="pct"/>
            <w:vAlign w:val="center"/>
          </w:tcPr>
          <w:p w14:paraId="212BFB64">
            <w:pPr>
              <w:jc w:val="center"/>
              <w:rPr>
                <w:rFonts w:hint="eastAsia" w:ascii="宋体" w:hAnsi="宋体" w:eastAsia="宋体" w:cs="宋体"/>
                <w:color w:val="auto"/>
                <w:szCs w:val="21"/>
              </w:rPr>
            </w:pPr>
          </w:p>
        </w:tc>
        <w:tc>
          <w:tcPr>
            <w:tcW w:w="614" w:type="pct"/>
            <w:vAlign w:val="center"/>
          </w:tcPr>
          <w:p w14:paraId="2F57FD87">
            <w:pPr>
              <w:jc w:val="center"/>
              <w:rPr>
                <w:rFonts w:hint="eastAsia" w:ascii="宋体" w:hAnsi="宋体" w:eastAsia="宋体" w:cs="宋体"/>
                <w:color w:val="auto"/>
                <w:szCs w:val="21"/>
              </w:rPr>
            </w:pPr>
          </w:p>
        </w:tc>
        <w:tc>
          <w:tcPr>
            <w:tcW w:w="614" w:type="pct"/>
            <w:vAlign w:val="center"/>
          </w:tcPr>
          <w:p w14:paraId="5DA5E17C">
            <w:pPr>
              <w:jc w:val="center"/>
              <w:rPr>
                <w:rFonts w:hint="eastAsia" w:ascii="宋体" w:hAnsi="宋体" w:eastAsia="宋体" w:cs="宋体"/>
                <w:color w:val="auto"/>
                <w:szCs w:val="21"/>
              </w:rPr>
            </w:pPr>
          </w:p>
        </w:tc>
        <w:tc>
          <w:tcPr>
            <w:tcW w:w="613" w:type="pct"/>
            <w:vAlign w:val="center"/>
          </w:tcPr>
          <w:p w14:paraId="3FC829CA">
            <w:pPr>
              <w:jc w:val="center"/>
              <w:rPr>
                <w:rFonts w:hint="eastAsia" w:ascii="宋体" w:hAnsi="宋体" w:eastAsia="宋体" w:cs="宋体"/>
                <w:color w:val="auto"/>
                <w:szCs w:val="21"/>
              </w:rPr>
            </w:pPr>
          </w:p>
        </w:tc>
        <w:tc>
          <w:tcPr>
            <w:tcW w:w="614" w:type="pct"/>
            <w:vAlign w:val="center"/>
          </w:tcPr>
          <w:p w14:paraId="7CF7F8C1">
            <w:pPr>
              <w:jc w:val="center"/>
              <w:rPr>
                <w:rFonts w:hint="eastAsia" w:ascii="宋体" w:hAnsi="宋体" w:eastAsia="宋体" w:cs="宋体"/>
                <w:color w:val="auto"/>
                <w:szCs w:val="21"/>
              </w:rPr>
            </w:pPr>
          </w:p>
        </w:tc>
        <w:tc>
          <w:tcPr>
            <w:tcW w:w="540" w:type="pct"/>
            <w:vAlign w:val="center"/>
          </w:tcPr>
          <w:p w14:paraId="500F042A">
            <w:pPr>
              <w:jc w:val="center"/>
              <w:rPr>
                <w:rFonts w:hint="eastAsia" w:ascii="宋体" w:hAnsi="宋体" w:eastAsia="宋体" w:cs="宋体"/>
                <w:color w:val="auto"/>
                <w:szCs w:val="21"/>
              </w:rPr>
            </w:pPr>
          </w:p>
        </w:tc>
        <w:tc>
          <w:tcPr>
            <w:tcW w:w="624" w:type="pct"/>
            <w:vAlign w:val="center"/>
          </w:tcPr>
          <w:p w14:paraId="6B1FA96E">
            <w:pPr>
              <w:jc w:val="center"/>
              <w:rPr>
                <w:rFonts w:hint="eastAsia" w:ascii="宋体" w:hAnsi="宋体" w:eastAsia="宋体" w:cs="宋体"/>
                <w:color w:val="auto"/>
                <w:szCs w:val="21"/>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4</w:t>
            </w:r>
          </w:p>
        </w:tc>
        <w:tc>
          <w:tcPr>
            <w:tcW w:w="954" w:type="pct"/>
            <w:vAlign w:val="center"/>
          </w:tcPr>
          <w:p w14:paraId="47FE0D4B">
            <w:pPr>
              <w:jc w:val="center"/>
              <w:rPr>
                <w:rFonts w:hint="eastAsia" w:ascii="宋体" w:hAnsi="宋体" w:eastAsia="宋体" w:cs="宋体"/>
                <w:color w:val="auto"/>
                <w:szCs w:val="21"/>
              </w:rPr>
            </w:pPr>
          </w:p>
        </w:tc>
        <w:tc>
          <w:tcPr>
            <w:tcW w:w="614" w:type="pct"/>
            <w:vAlign w:val="center"/>
          </w:tcPr>
          <w:p w14:paraId="7850C18C">
            <w:pPr>
              <w:jc w:val="center"/>
              <w:rPr>
                <w:rFonts w:hint="eastAsia" w:ascii="宋体" w:hAnsi="宋体" w:eastAsia="宋体" w:cs="宋体"/>
                <w:color w:val="auto"/>
                <w:szCs w:val="21"/>
              </w:rPr>
            </w:pPr>
          </w:p>
        </w:tc>
        <w:tc>
          <w:tcPr>
            <w:tcW w:w="614" w:type="pct"/>
            <w:vAlign w:val="center"/>
          </w:tcPr>
          <w:p w14:paraId="4D1E06C1">
            <w:pPr>
              <w:jc w:val="center"/>
              <w:rPr>
                <w:rFonts w:hint="eastAsia" w:ascii="宋体" w:hAnsi="宋体" w:eastAsia="宋体" w:cs="宋体"/>
                <w:color w:val="auto"/>
                <w:szCs w:val="21"/>
              </w:rPr>
            </w:pPr>
          </w:p>
        </w:tc>
        <w:tc>
          <w:tcPr>
            <w:tcW w:w="613" w:type="pct"/>
            <w:vAlign w:val="center"/>
          </w:tcPr>
          <w:p w14:paraId="13F5ED5D">
            <w:pPr>
              <w:jc w:val="center"/>
              <w:rPr>
                <w:rFonts w:hint="eastAsia" w:ascii="宋体" w:hAnsi="宋体" w:eastAsia="宋体" w:cs="宋体"/>
                <w:color w:val="auto"/>
                <w:szCs w:val="21"/>
              </w:rPr>
            </w:pPr>
          </w:p>
        </w:tc>
        <w:tc>
          <w:tcPr>
            <w:tcW w:w="614" w:type="pct"/>
            <w:vAlign w:val="center"/>
          </w:tcPr>
          <w:p w14:paraId="5C9FB4B1">
            <w:pPr>
              <w:jc w:val="center"/>
              <w:rPr>
                <w:rFonts w:hint="eastAsia" w:ascii="宋体" w:hAnsi="宋体" w:eastAsia="宋体" w:cs="宋体"/>
                <w:color w:val="auto"/>
                <w:szCs w:val="21"/>
              </w:rPr>
            </w:pPr>
          </w:p>
        </w:tc>
        <w:tc>
          <w:tcPr>
            <w:tcW w:w="540" w:type="pct"/>
            <w:vAlign w:val="center"/>
          </w:tcPr>
          <w:p w14:paraId="75E3D512">
            <w:pPr>
              <w:jc w:val="center"/>
              <w:rPr>
                <w:rFonts w:hint="eastAsia" w:ascii="宋体" w:hAnsi="宋体" w:eastAsia="宋体" w:cs="宋体"/>
                <w:color w:val="auto"/>
                <w:szCs w:val="21"/>
              </w:rPr>
            </w:pPr>
          </w:p>
        </w:tc>
        <w:tc>
          <w:tcPr>
            <w:tcW w:w="624" w:type="pct"/>
            <w:vAlign w:val="center"/>
          </w:tcPr>
          <w:p w14:paraId="40720D86">
            <w:pPr>
              <w:jc w:val="center"/>
              <w:rPr>
                <w:rFonts w:hint="eastAsia" w:ascii="宋体" w:hAnsi="宋体" w:eastAsia="宋体" w:cs="宋体"/>
                <w:color w:val="auto"/>
                <w:szCs w:val="21"/>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5</w:t>
            </w:r>
          </w:p>
        </w:tc>
        <w:tc>
          <w:tcPr>
            <w:tcW w:w="954" w:type="pct"/>
            <w:vAlign w:val="center"/>
          </w:tcPr>
          <w:p w14:paraId="53B00DA1">
            <w:pPr>
              <w:jc w:val="center"/>
              <w:rPr>
                <w:rFonts w:hint="eastAsia" w:ascii="宋体" w:hAnsi="宋体" w:eastAsia="宋体" w:cs="宋体"/>
                <w:color w:val="auto"/>
                <w:szCs w:val="21"/>
              </w:rPr>
            </w:pPr>
          </w:p>
        </w:tc>
        <w:tc>
          <w:tcPr>
            <w:tcW w:w="614" w:type="pct"/>
            <w:vAlign w:val="center"/>
          </w:tcPr>
          <w:p w14:paraId="2407CAEF">
            <w:pPr>
              <w:jc w:val="center"/>
              <w:rPr>
                <w:rFonts w:hint="eastAsia" w:ascii="宋体" w:hAnsi="宋体" w:eastAsia="宋体" w:cs="宋体"/>
                <w:color w:val="auto"/>
                <w:szCs w:val="21"/>
              </w:rPr>
            </w:pPr>
          </w:p>
        </w:tc>
        <w:tc>
          <w:tcPr>
            <w:tcW w:w="614" w:type="pct"/>
            <w:vAlign w:val="center"/>
          </w:tcPr>
          <w:p w14:paraId="5A00E673">
            <w:pPr>
              <w:jc w:val="center"/>
              <w:rPr>
                <w:rFonts w:hint="eastAsia" w:ascii="宋体" w:hAnsi="宋体" w:eastAsia="宋体" w:cs="宋体"/>
                <w:color w:val="auto"/>
                <w:szCs w:val="21"/>
              </w:rPr>
            </w:pPr>
          </w:p>
        </w:tc>
        <w:tc>
          <w:tcPr>
            <w:tcW w:w="613" w:type="pct"/>
            <w:vAlign w:val="center"/>
          </w:tcPr>
          <w:p w14:paraId="6F95A962">
            <w:pPr>
              <w:jc w:val="center"/>
              <w:rPr>
                <w:rFonts w:hint="eastAsia" w:ascii="宋体" w:hAnsi="宋体" w:eastAsia="宋体" w:cs="宋体"/>
                <w:color w:val="auto"/>
                <w:szCs w:val="21"/>
              </w:rPr>
            </w:pPr>
          </w:p>
        </w:tc>
        <w:tc>
          <w:tcPr>
            <w:tcW w:w="614" w:type="pct"/>
            <w:vAlign w:val="center"/>
          </w:tcPr>
          <w:p w14:paraId="5B900C1C">
            <w:pPr>
              <w:jc w:val="center"/>
              <w:rPr>
                <w:rFonts w:hint="eastAsia" w:ascii="宋体" w:hAnsi="宋体" w:eastAsia="宋体" w:cs="宋体"/>
                <w:color w:val="auto"/>
                <w:szCs w:val="21"/>
              </w:rPr>
            </w:pPr>
          </w:p>
        </w:tc>
        <w:tc>
          <w:tcPr>
            <w:tcW w:w="540" w:type="pct"/>
            <w:vAlign w:val="center"/>
          </w:tcPr>
          <w:p w14:paraId="402D8396">
            <w:pPr>
              <w:jc w:val="center"/>
              <w:rPr>
                <w:rFonts w:hint="eastAsia" w:ascii="宋体" w:hAnsi="宋体" w:eastAsia="宋体" w:cs="宋体"/>
                <w:color w:val="auto"/>
                <w:szCs w:val="21"/>
              </w:rPr>
            </w:pPr>
          </w:p>
        </w:tc>
        <w:tc>
          <w:tcPr>
            <w:tcW w:w="624" w:type="pct"/>
            <w:vAlign w:val="center"/>
          </w:tcPr>
          <w:p w14:paraId="2D1DDD2C">
            <w:pPr>
              <w:jc w:val="center"/>
              <w:rPr>
                <w:rFonts w:hint="eastAsia" w:ascii="宋体" w:hAnsi="宋体" w:eastAsia="宋体" w:cs="宋体"/>
                <w:color w:val="auto"/>
                <w:szCs w:val="21"/>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w:t>
            </w:r>
          </w:p>
        </w:tc>
        <w:tc>
          <w:tcPr>
            <w:tcW w:w="954" w:type="pct"/>
            <w:vAlign w:val="center"/>
          </w:tcPr>
          <w:p w14:paraId="1B5505F1">
            <w:pPr>
              <w:jc w:val="center"/>
              <w:rPr>
                <w:rFonts w:hint="eastAsia" w:ascii="宋体" w:hAnsi="宋体" w:eastAsia="宋体" w:cs="宋体"/>
                <w:color w:val="auto"/>
                <w:szCs w:val="21"/>
              </w:rPr>
            </w:pPr>
          </w:p>
        </w:tc>
        <w:tc>
          <w:tcPr>
            <w:tcW w:w="614" w:type="pct"/>
            <w:vAlign w:val="center"/>
          </w:tcPr>
          <w:p w14:paraId="27D1A15B">
            <w:pPr>
              <w:jc w:val="center"/>
              <w:rPr>
                <w:rFonts w:hint="eastAsia" w:ascii="宋体" w:hAnsi="宋体" w:eastAsia="宋体" w:cs="宋体"/>
                <w:color w:val="auto"/>
                <w:szCs w:val="21"/>
              </w:rPr>
            </w:pPr>
          </w:p>
        </w:tc>
        <w:tc>
          <w:tcPr>
            <w:tcW w:w="614" w:type="pct"/>
            <w:vAlign w:val="center"/>
          </w:tcPr>
          <w:p w14:paraId="3027D961">
            <w:pPr>
              <w:jc w:val="center"/>
              <w:rPr>
                <w:rFonts w:hint="eastAsia" w:ascii="宋体" w:hAnsi="宋体" w:eastAsia="宋体" w:cs="宋体"/>
                <w:color w:val="auto"/>
                <w:szCs w:val="21"/>
              </w:rPr>
            </w:pPr>
          </w:p>
        </w:tc>
        <w:tc>
          <w:tcPr>
            <w:tcW w:w="613" w:type="pct"/>
            <w:vAlign w:val="center"/>
          </w:tcPr>
          <w:p w14:paraId="03CB365C">
            <w:pPr>
              <w:jc w:val="center"/>
              <w:rPr>
                <w:rFonts w:hint="eastAsia" w:ascii="宋体" w:hAnsi="宋体" w:eastAsia="宋体" w:cs="宋体"/>
                <w:color w:val="auto"/>
                <w:szCs w:val="21"/>
              </w:rPr>
            </w:pPr>
          </w:p>
        </w:tc>
        <w:tc>
          <w:tcPr>
            <w:tcW w:w="614" w:type="pct"/>
            <w:vAlign w:val="center"/>
          </w:tcPr>
          <w:p w14:paraId="25F10BEA">
            <w:pPr>
              <w:jc w:val="center"/>
              <w:rPr>
                <w:rFonts w:hint="eastAsia" w:ascii="宋体" w:hAnsi="宋体" w:eastAsia="宋体" w:cs="宋体"/>
                <w:color w:val="auto"/>
                <w:szCs w:val="21"/>
              </w:rPr>
            </w:pPr>
          </w:p>
        </w:tc>
        <w:tc>
          <w:tcPr>
            <w:tcW w:w="540" w:type="pct"/>
            <w:vAlign w:val="center"/>
          </w:tcPr>
          <w:p w14:paraId="2B62D518">
            <w:pPr>
              <w:jc w:val="center"/>
              <w:rPr>
                <w:rFonts w:hint="eastAsia" w:ascii="宋体" w:hAnsi="宋体" w:eastAsia="宋体" w:cs="宋体"/>
                <w:color w:val="auto"/>
                <w:szCs w:val="21"/>
              </w:rPr>
            </w:pPr>
          </w:p>
        </w:tc>
        <w:tc>
          <w:tcPr>
            <w:tcW w:w="624" w:type="pct"/>
            <w:vAlign w:val="center"/>
          </w:tcPr>
          <w:p w14:paraId="0995BF55">
            <w:pPr>
              <w:jc w:val="center"/>
              <w:rPr>
                <w:rFonts w:hint="eastAsia" w:ascii="宋体" w:hAnsi="宋体" w:eastAsia="宋体" w:cs="宋体"/>
                <w:color w:val="auto"/>
                <w:szCs w:val="21"/>
              </w:rPr>
            </w:pPr>
          </w:p>
        </w:tc>
      </w:tr>
    </w:tbl>
    <w:p w14:paraId="3C9B692E">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注：</w:t>
      </w:r>
    </w:p>
    <w:p w14:paraId="346A80F8">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rPr>
        <w:t>1.制造商为小型或微型企业时才需要填“制造商企业类型”栏，填写内容为“小型”或“微型”；</w:t>
      </w:r>
    </w:p>
    <w:p w14:paraId="74E27A30">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rPr>
        <w:t>2.节能产品须填写认证证书编号，并提供投标产品的节能产品认证证书复印件加盖投标人公章；</w:t>
      </w:r>
    </w:p>
    <w:p w14:paraId="2F768A4F">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rPr>
        <w:t>3.环保标志产品须填写认证证书编号，并提供投标产品的环保标志产品认证证书复印件加盖投标人公章。</w:t>
      </w:r>
    </w:p>
    <w:p w14:paraId="076141E3">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rPr>
        <w:t>4.以上证明资料未按要求提供或未提供完整的，视为未提供处理。</w:t>
      </w:r>
    </w:p>
    <w:p w14:paraId="5F8169D0">
      <w:pPr>
        <w:widowControl/>
        <w:spacing w:before="870" w:beforeLines="200" w:line="300" w:lineRule="auto"/>
        <w:jc w:val="left"/>
        <w:rPr>
          <w:rFonts w:hint="eastAsia" w:ascii="宋体" w:hAnsi="宋体" w:eastAsia="宋体" w:cs="宋体"/>
          <w:color w:val="auto"/>
          <w:kern w:val="0"/>
          <w:szCs w:val="21"/>
          <w:lang w:eastAsia="zh-Hans"/>
        </w:rPr>
      </w:pPr>
      <w:bookmarkStart w:id="43" w:name="_Hlk170133816"/>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64C13781">
      <w:pPr>
        <w:widowControl/>
        <w:spacing w:line="300" w:lineRule="auto"/>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bookmarkEnd w:id="43"/>
    </w:p>
    <w:p w14:paraId="637B47E6">
      <w:pPr>
        <w:pageBreakBefore/>
        <w:rPr>
          <w:rFonts w:hint="eastAsia" w:ascii="宋体" w:hAnsi="宋体" w:eastAsia="宋体" w:cs="宋体"/>
          <w:color w:val="auto"/>
          <w:kern w:val="0"/>
          <w:sz w:val="20"/>
          <w:szCs w:val="20"/>
          <w:lang w:eastAsia="zh-Hans"/>
        </w:rPr>
      </w:pPr>
      <w:bookmarkStart w:id="44" w:name="_Toc169799795"/>
      <w:r>
        <w:rPr>
          <w:rFonts w:hint="eastAsia" w:ascii="宋体" w:hAnsi="宋体" w:eastAsia="宋体" w:cs="宋体"/>
          <w:b/>
          <w:bCs/>
          <w:color w:val="auto"/>
          <w:sz w:val="24"/>
          <w:szCs w:val="28"/>
        </w:rPr>
        <w:t>格式九：</w:t>
      </w:r>
      <w:bookmarkEnd w:id="44"/>
    </w:p>
    <w:p w14:paraId="1CE95970">
      <w:pPr>
        <w:widowControl/>
        <w:spacing w:before="217" w:beforeLines="50" w:after="435" w:afterLines="100"/>
        <w:jc w:val="center"/>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法定代表人证明书</w:t>
      </w:r>
    </w:p>
    <w:p w14:paraId="3F18EA44">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现任我单位</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职务，为法定代表人，特此证明。</w:t>
      </w:r>
    </w:p>
    <w:p w14:paraId="39DFFE9B">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有效期限：</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 xml:space="preserve">   </w:t>
      </w:r>
    </w:p>
    <w:p w14:paraId="61375A39">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附：代表人性别：</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年龄：</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 身份证号码：</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p>
    <w:p w14:paraId="238D1559">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统一社会信用代码：</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企业类型：</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p>
    <w:p w14:paraId="7678CC99">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经营范围：</w:t>
      </w:r>
      <w:r>
        <w:rPr>
          <w:rFonts w:hint="eastAsia" w:ascii="宋体" w:hAnsi="宋体" w:eastAsia="宋体" w:cs="宋体"/>
          <w:color w:val="auto"/>
          <w:kern w:val="0"/>
          <w:szCs w:val="21"/>
          <w:u w:val="single"/>
        </w:rPr>
        <w:t xml:space="preserve">                                                                       </w:t>
      </w:r>
    </w:p>
    <w:p w14:paraId="134DFE8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w:t>
      </w:r>
      <w:r>
        <w:rPr>
          <w:rFonts w:hint="eastAsia" w:ascii="宋体" w:hAnsi="宋体" w:eastAsia="宋体" w:cs="宋体"/>
          <w:color w:val="auto"/>
          <w:kern w:val="0"/>
          <w:szCs w:val="21"/>
          <w:u w:val="single"/>
        </w:rPr>
        <w:t xml:space="preserve">                                                         </w:t>
      </w:r>
    </w:p>
    <w:p w14:paraId="322B092B">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地址：</w:t>
      </w:r>
      <w:r>
        <w:rPr>
          <w:rFonts w:hint="eastAsia" w:ascii="宋体" w:hAnsi="宋体" w:eastAsia="宋体" w:cs="宋体"/>
          <w:color w:val="auto"/>
          <w:kern w:val="0"/>
          <w:szCs w:val="21"/>
          <w:u w:val="single"/>
        </w:rPr>
        <w:t xml:space="preserve">                                                                           </w:t>
      </w:r>
    </w:p>
    <w:p w14:paraId="380B74F6">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法定代表人（签字或盖私章）：</w:t>
      </w:r>
      <w:r>
        <w:rPr>
          <w:rFonts w:hint="eastAsia" w:ascii="宋体" w:hAnsi="宋体" w:eastAsia="宋体" w:cs="宋体"/>
          <w:color w:val="auto"/>
          <w:kern w:val="0"/>
          <w:szCs w:val="21"/>
          <w:u w:val="single"/>
        </w:rPr>
        <w:t xml:space="preserve">                                                     </w:t>
      </w:r>
    </w:p>
    <w:p w14:paraId="2A92E001">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职务：</w:t>
      </w:r>
      <w:r>
        <w:rPr>
          <w:rFonts w:hint="eastAsia" w:ascii="宋体" w:hAnsi="宋体" w:eastAsia="宋体" w:cs="宋体"/>
          <w:color w:val="auto"/>
          <w:kern w:val="0"/>
          <w:szCs w:val="21"/>
          <w:u w:val="single"/>
        </w:rPr>
        <w:t xml:space="preserve">                     </w:t>
      </w:r>
    </w:p>
    <w:p w14:paraId="5FA849A6">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日期：</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 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225FFB79">
      <w:pPr>
        <w:spacing w:before="217" w:beforeLines="50" w:after="217" w:afterLines="50" w:line="360" w:lineRule="auto"/>
        <w:rPr>
          <w:rFonts w:hint="eastAsia" w:ascii="宋体" w:hAnsi="宋体" w:eastAsia="宋体" w:cs="宋体"/>
          <w:color w:val="auto"/>
          <w:szCs w:val="21"/>
        </w:rPr>
      </w:pPr>
    </w:p>
    <w:p w14:paraId="516D0C36">
      <w:pPr>
        <w:spacing w:before="217" w:beforeLines="50" w:after="217" w:afterLines="50" w:line="360" w:lineRule="auto"/>
        <w:rPr>
          <w:rFonts w:hint="eastAsia" w:ascii="宋体" w:hAnsi="宋体" w:eastAsia="宋体" w:cs="宋体"/>
          <w:color w:val="auto"/>
          <w:szCs w:val="21"/>
        </w:rPr>
      </w:pPr>
      <w:r>
        <w:rPr>
          <w:rFonts w:hint="eastAsia" w:ascii="宋体" w:hAnsi="宋体" w:eastAsia="宋体" w:cs="宋体"/>
          <w:color w:val="auto"/>
          <w:szCs w:val="21"/>
        </w:rPr>
        <w:t>须附：法定代表人有效期内身份证复印件</w:t>
      </w:r>
    </w:p>
    <w:tbl>
      <w:tblPr>
        <w:tblStyle w:val="15"/>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30"/>
              <w:spacing w:line="46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正面</w:t>
            </w:r>
          </w:p>
        </w:tc>
        <w:tc>
          <w:tcPr>
            <w:tcW w:w="2500" w:type="pct"/>
            <w:vAlign w:val="center"/>
          </w:tcPr>
          <w:p w14:paraId="74B7B39E">
            <w:pPr>
              <w:pStyle w:val="30"/>
              <w:spacing w:line="46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背面</w:t>
            </w:r>
          </w:p>
        </w:tc>
      </w:tr>
    </w:tbl>
    <w:p w14:paraId="561E437D">
      <w:pPr>
        <w:widowControl/>
        <w:jc w:val="left"/>
        <w:rPr>
          <w:rFonts w:hint="eastAsia" w:ascii="宋体" w:hAnsi="宋体" w:eastAsia="宋体" w:cs="宋体"/>
          <w:color w:val="auto"/>
          <w:kern w:val="0"/>
          <w:sz w:val="20"/>
          <w:szCs w:val="20"/>
          <w:lang w:eastAsia="zh-Hans"/>
        </w:rPr>
      </w:pPr>
    </w:p>
    <w:p w14:paraId="620FF89C">
      <w:pPr>
        <w:pageBreakBefore/>
        <w:rPr>
          <w:rFonts w:hint="eastAsia" w:ascii="宋体" w:hAnsi="宋体" w:eastAsia="宋体" w:cs="宋体"/>
          <w:color w:val="auto"/>
          <w:kern w:val="0"/>
          <w:sz w:val="20"/>
          <w:szCs w:val="20"/>
          <w:lang w:eastAsia="zh-Hans"/>
        </w:rPr>
      </w:pPr>
      <w:bookmarkStart w:id="45" w:name="_Toc169799796"/>
      <w:r>
        <w:rPr>
          <w:rFonts w:hint="eastAsia" w:ascii="宋体" w:hAnsi="宋体" w:eastAsia="宋体" w:cs="宋体"/>
          <w:b/>
          <w:bCs/>
          <w:color w:val="auto"/>
          <w:sz w:val="24"/>
          <w:szCs w:val="28"/>
        </w:rPr>
        <w:t>格式十：</w:t>
      </w:r>
      <w:bookmarkEnd w:id="45"/>
    </w:p>
    <w:p w14:paraId="09FE8A4F">
      <w:pPr>
        <w:widowControl/>
        <w:spacing w:before="217" w:beforeLines="50" w:after="435" w:afterLines="100"/>
        <w:jc w:val="center"/>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法定代表人授权委托书</w:t>
      </w:r>
    </w:p>
    <w:p w14:paraId="245374F4">
      <w:pPr>
        <w:spacing w:before="652" w:beforeLines="150" w:line="360" w:lineRule="auto"/>
        <w:rPr>
          <w:rFonts w:hint="eastAsia" w:ascii="宋体" w:hAnsi="宋体" w:eastAsia="宋体" w:cs="宋体"/>
          <w:b/>
          <w:color w:val="auto"/>
        </w:rPr>
      </w:pPr>
      <w:r>
        <w:rPr>
          <w:rFonts w:hint="eastAsia" w:ascii="宋体" w:hAnsi="宋体" w:eastAsia="宋体" w:cs="宋体"/>
          <w:b/>
          <w:color w:val="auto"/>
        </w:rPr>
        <w:t>广东智汇城市招标采购有限公司</w:t>
      </w:r>
    </w:p>
    <w:p w14:paraId="30BA83E1">
      <w:pPr>
        <w:pStyle w:val="30"/>
        <w:spacing w:line="360" w:lineRule="auto"/>
        <w:ind w:firstLine="450" w:firstLineChars="0"/>
        <w:rPr>
          <w:rFonts w:hint="eastAsia" w:ascii="宋体" w:hAnsi="宋体" w:eastAsia="宋体" w:cs="宋体"/>
          <w:color w:val="auto"/>
          <w:sz w:val="21"/>
          <w:szCs w:val="21"/>
        </w:rPr>
      </w:pPr>
      <w:r>
        <w:rPr>
          <w:rFonts w:hint="eastAsia" w:ascii="宋体" w:hAnsi="宋体" w:eastAsia="宋体" w:cs="宋体"/>
          <w:color w:val="auto"/>
          <w:sz w:val="21"/>
          <w:szCs w:val="21"/>
        </w:rPr>
        <w:t>本人</w:t>
      </w:r>
      <w:r>
        <w:rPr>
          <w:rFonts w:hint="eastAsia" w:ascii="宋体" w:hAnsi="宋体" w:eastAsia="宋体" w:cs="宋体"/>
          <w:color w:val="auto"/>
          <w:sz w:val="21"/>
          <w:szCs w:val="21"/>
          <w:u w:val="single"/>
        </w:rPr>
        <w:t xml:space="preserve">   （姓名）  </w:t>
      </w:r>
      <w:r>
        <w:rPr>
          <w:rFonts w:hint="eastAsia" w:ascii="宋体" w:hAnsi="宋体" w:eastAsia="宋体" w:cs="宋体"/>
          <w:color w:val="auto"/>
          <w:sz w:val="21"/>
          <w:szCs w:val="21"/>
        </w:rPr>
        <w:t>系</w:t>
      </w:r>
      <w:r>
        <w:rPr>
          <w:rFonts w:hint="eastAsia" w:ascii="宋体" w:hAnsi="宋体" w:eastAsia="宋体" w:cs="宋体"/>
          <w:color w:val="auto"/>
          <w:sz w:val="21"/>
          <w:szCs w:val="21"/>
          <w:u w:val="single"/>
        </w:rPr>
        <w:t xml:space="preserve">     （投标人名称）    </w:t>
      </w:r>
      <w:r>
        <w:rPr>
          <w:rFonts w:hint="eastAsia" w:ascii="宋体" w:hAnsi="宋体" w:eastAsia="宋体" w:cs="宋体"/>
          <w:color w:val="auto"/>
          <w:sz w:val="21"/>
          <w:szCs w:val="21"/>
        </w:rPr>
        <w:t>的法定代表人，现委托</w:t>
      </w:r>
      <w:r>
        <w:rPr>
          <w:rFonts w:hint="eastAsia" w:ascii="宋体" w:hAnsi="宋体" w:eastAsia="宋体" w:cs="宋体"/>
          <w:color w:val="auto"/>
          <w:sz w:val="21"/>
          <w:szCs w:val="21"/>
          <w:u w:val="single"/>
        </w:rPr>
        <w:t xml:space="preserve"> （姓名） </w:t>
      </w:r>
      <w:r>
        <w:rPr>
          <w:rFonts w:hint="eastAsia" w:ascii="宋体" w:hAnsi="宋体" w:eastAsia="宋体" w:cs="宋体"/>
          <w:color w:val="auto"/>
          <w:sz w:val="21"/>
          <w:szCs w:val="21"/>
        </w:rPr>
        <w:t>为我方合法代理人。代理人根据授权，以我方名义签署、澄清、说明、补正、递交、撤回、修改</w:t>
      </w:r>
      <w:r>
        <w:rPr>
          <w:rFonts w:hint="eastAsia" w:ascii="宋体" w:hAnsi="宋体" w:eastAsia="宋体" w:cs="宋体"/>
          <w:color w:val="auto"/>
          <w:sz w:val="21"/>
          <w:szCs w:val="21"/>
          <w:u w:val="single"/>
        </w:rPr>
        <w:t xml:space="preserve">     （项目名称） </w:t>
      </w:r>
      <w:r>
        <w:rPr>
          <w:rFonts w:hint="eastAsia" w:ascii="宋体" w:hAnsi="宋体" w:eastAsia="宋体" w:cs="宋体"/>
          <w:color w:val="auto"/>
          <w:sz w:val="21"/>
          <w:szCs w:val="21"/>
        </w:rPr>
        <w:t>（项目编号：</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）投标文件、签订合同和处理有关事宜，其法律后果由我方承担。</w:t>
      </w:r>
    </w:p>
    <w:p w14:paraId="3755E250">
      <w:pPr>
        <w:pStyle w:val="30"/>
        <w:spacing w:line="360" w:lineRule="auto"/>
        <w:ind w:firstLine="428" w:firstLineChars="204"/>
        <w:rPr>
          <w:rFonts w:hint="eastAsia" w:ascii="宋体" w:hAnsi="宋体" w:eastAsia="宋体" w:cs="宋体"/>
          <w:color w:val="auto"/>
          <w:sz w:val="21"/>
          <w:szCs w:val="21"/>
        </w:rPr>
      </w:pPr>
      <w:r>
        <w:rPr>
          <w:rFonts w:hint="eastAsia" w:ascii="宋体" w:hAnsi="宋体" w:eastAsia="宋体" w:cs="宋体"/>
          <w:color w:val="auto"/>
          <w:sz w:val="21"/>
          <w:szCs w:val="21"/>
        </w:rPr>
        <w:t>本委托书于</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日签字生效，特此证明。</w:t>
      </w:r>
    </w:p>
    <w:p w14:paraId="74D7FA1D">
      <w:pPr>
        <w:widowControl/>
        <w:spacing w:before="652" w:beforeLines="15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投标人名称（加盖公章）：</w:t>
      </w:r>
      <w:r>
        <w:rPr>
          <w:rFonts w:hint="eastAsia" w:ascii="宋体" w:hAnsi="宋体" w:eastAsia="宋体" w:cs="宋体"/>
          <w:color w:val="auto"/>
          <w:szCs w:val="21"/>
          <w:u w:val="single"/>
        </w:rPr>
        <w:t xml:space="preserve">                                  </w:t>
      </w:r>
    </w:p>
    <w:p w14:paraId="1CA32FAF">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地址：</w:t>
      </w:r>
      <w:r>
        <w:rPr>
          <w:rFonts w:hint="eastAsia" w:ascii="宋体" w:hAnsi="宋体" w:eastAsia="宋体" w:cs="宋体"/>
          <w:color w:val="auto"/>
          <w:szCs w:val="21"/>
          <w:u w:val="single"/>
        </w:rPr>
        <w:t xml:space="preserve">                                                    </w:t>
      </w:r>
    </w:p>
    <w:p w14:paraId="3B691DDF">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法定代表人（签字或盖私章）：</w:t>
      </w:r>
      <w:r>
        <w:rPr>
          <w:rFonts w:hint="eastAsia" w:ascii="宋体" w:hAnsi="宋体" w:eastAsia="宋体" w:cs="宋体"/>
          <w:color w:val="auto"/>
          <w:szCs w:val="21"/>
          <w:u w:val="single"/>
        </w:rPr>
        <w:t xml:space="preserve">                              </w:t>
      </w:r>
    </w:p>
    <w:p w14:paraId="4AABD0E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职务：</w:t>
      </w:r>
      <w:r>
        <w:rPr>
          <w:rFonts w:hint="eastAsia" w:ascii="宋体" w:hAnsi="宋体" w:eastAsia="宋体" w:cs="宋体"/>
          <w:color w:val="auto"/>
          <w:szCs w:val="21"/>
          <w:u w:val="single"/>
        </w:rPr>
        <w:t xml:space="preserve">                                                    </w:t>
      </w:r>
    </w:p>
    <w:p w14:paraId="3C7AD091">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被授权人（签字或盖私章）：</w:t>
      </w:r>
      <w:r>
        <w:rPr>
          <w:rFonts w:hint="eastAsia" w:ascii="宋体" w:hAnsi="宋体" w:eastAsia="宋体" w:cs="宋体"/>
          <w:color w:val="auto"/>
          <w:szCs w:val="21"/>
          <w:u w:val="single"/>
        </w:rPr>
        <w:t xml:space="preserve">                                </w:t>
      </w:r>
    </w:p>
    <w:p w14:paraId="1B976B86">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职务：</w:t>
      </w:r>
      <w:r>
        <w:rPr>
          <w:rFonts w:hint="eastAsia" w:ascii="宋体" w:hAnsi="宋体" w:eastAsia="宋体" w:cs="宋体"/>
          <w:color w:val="auto"/>
          <w:szCs w:val="21"/>
          <w:u w:val="single"/>
        </w:rPr>
        <w:t xml:space="preserve">                                                    </w:t>
      </w:r>
    </w:p>
    <w:p w14:paraId="29D4C75A">
      <w:pPr>
        <w:pStyle w:val="30"/>
        <w:spacing w:line="360" w:lineRule="auto"/>
        <w:ind w:firstLine="0" w:firstLineChars="0"/>
        <w:rPr>
          <w:rFonts w:hint="eastAsia" w:ascii="宋体" w:hAnsi="宋体" w:eastAsia="宋体" w:cs="宋体"/>
          <w:color w:val="auto"/>
          <w:sz w:val="21"/>
          <w:szCs w:val="21"/>
        </w:rPr>
      </w:pPr>
      <w:r>
        <w:rPr>
          <w:rFonts w:hint="eastAsia" w:ascii="宋体" w:hAnsi="宋体" w:eastAsia="宋体" w:cs="宋体"/>
          <w:color w:val="auto"/>
          <w:kern w:val="0"/>
          <w:sz w:val="21"/>
          <w:szCs w:val="21"/>
          <w:lang w:eastAsia="zh-Hans"/>
        </w:rPr>
        <w:t xml:space="preserve">日期： </w:t>
      </w:r>
      <w:r>
        <w:rPr>
          <w:rFonts w:hint="eastAsia" w:ascii="宋体" w:hAnsi="宋体" w:eastAsia="宋体" w:cs="宋体"/>
          <w:color w:val="auto"/>
          <w:kern w:val="0"/>
          <w:sz w:val="21"/>
          <w:szCs w:val="21"/>
        </w:rPr>
        <w:t xml:space="preserve">  </w:t>
      </w:r>
      <w:r>
        <w:rPr>
          <w:rFonts w:hint="eastAsia" w:ascii="宋体" w:hAnsi="宋体" w:eastAsia="宋体" w:cs="宋体"/>
          <w:color w:val="auto"/>
          <w:kern w:val="0"/>
          <w:sz w:val="21"/>
          <w:szCs w:val="21"/>
          <w:lang w:eastAsia="zh-Hans"/>
        </w:rPr>
        <w:t xml:space="preserve">年 </w:t>
      </w:r>
      <w:r>
        <w:rPr>
          <w:rFonts w:hint="eastAsia" w:ascii="宋体" w:hAnsi="宋体" w:eastAsia="宋体" w:cs="宋体"/>
          <w:color w:val="auto"/>
          <w:kern w:val="0"/>
          <w:sz w:val="21"/>
          <w:szCs w:val="21"/>
        </w:rPr>
        <w:t xml:space="preserve"> </w:t>
      </w:r>
      <w:r>
        <w:rPr>
          <w:rFonts w:hint="eastAsia" w:ascii="宋体" w:hAnsi="宋体" w:eastAsia="宋体" w:cs="宋体"/>
          <w:color w:val="auto"/>
          <w:kern w:val="0"/>
          <w:sz w:val="21"/>
          <w:szCs w:val="21"/>
          <w:lang w:eastAsia="zh-Hans"/>
        </w:rPr>
        <w:t xml:space="preserve">月 </w:t>
      </w:r>
      <w:r>
        <w:rPr>
          <w:rFonts w:hint="eastAsia" w:ascii="宋体" w:hAnsi="宋体" w:eastAsia="宋体" w:cs="宋体"/>
          <w:color w:val="auto"/>
          <w:kern w:val="0"/>
          <w:sz w:val="21"/>
          <w:szCs w:val="21"/>
        </w:rPr>
        <w:t xml:space="preserve"> </w:t>
      </w:r>
      <w:r>
        <w:rPr>
          <w:rFonts w:hint="eastAsia" w:ascii="宋体" w:hAnsi="宋体" w:eastAsia="宋体" w:cs="宋体"/>
          <w:color w:val="auto"/>
          <w:kern w:val="0"/>
          <w:sz w:val="21"/>
          <w:szCs w:val="21"/>
          <w:lang w:eastAsia="zh-Hans"/>
        </w:rPr>
        <w:t>日</w:t>
      </w:r>
    </w:p>
    <w:p w14:paraId="7FBF1C8F">
      <w:pPr>
        <w:pStyle w:val="30"/>
        <w:spacing w:line="360" w:lineRule="auto"/>
        <w:ind w:firstLine="0" w:firstLineChars="0"/>
        <w:rPr>
          <w:rFonts w:hint="eastAsia" w:ascii="宋体" w:hAnsi="宋体" w:eastAsia="宋体" w:cs="宋体"/>
          <w:color w:val="auto"/>
          <w:sz w:val="21"/>
          <w:szCs w:val="21"/>
        </w:rPr>
      </w:pPr>
    </w:p>
    <w:p w14:paraId="61B7A769">
      <w:pPr>
        <w:spacing w:after="217" w:afterLines="50" w:line="360" w:lineRule="auto"/>
        <w:rPr>
          <w:rFonts w:hint="eastAsia" w:ascii="宋体" w:hAnsi="宋体" w:eastAsia="宋体" w:cs="宋体"/>
          <w:color w:val="auto"/>
          <w:szCs w:val="21"/>
        </w:rPr>
      </w:pPr>
      <w:r>
        <w:rPr>
          <w:rFonts w:hint="eastAsia" w:ascii="宋体" w:hAnsi="宋体" w:eastAsia="宋体" w:cs="宋体"/>
          <w:color w:val="auto"/>
          <w:szCs w:val="21"/>
        </w:rPr>
        <w:t>须附：被授权人有效期内身份证复印件</w:t>
      </w:r>
    </w:p>
    <w:tbl>
      <w:tblPr>
        <w:tblStyle w:val="15"/>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30"/>
              <w:spacing w:line="46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正面</w:t>
            </w:r>
          </w:p>
        </w:tc>
        <w:tc>
          <w:tcPr>
            <w:tcW w:w="2500" w:type="pct"/>
            <w:vAlign w:val="center"/>
          </w:tcPr>
          <w:p w14:paraId="20939725">
            <w:pPr>
              <w:pStyle w:val="30"/>
              <w:spacing w:line="46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背面</w:t>
            </w:r>
          </w:p>
        </w:tc>
      </w:tr>
    </w:tbl>
    <w:p w14:paraId="6B377C95">
      <w:pPr>
        <w:widowControl/>
        <w:jc w:val="left"/>
        <w:rPr>
          <w:rFonts w:hint="eastAsia" w:ascii="宋体" w:hAnsi="宋体" w:eastAsia="宋体" w:cs="宋体"/>
          <w:color w:val="auto"/>
          <w:kern w:val="0"/>
          <w:sz w:val="20"/>
          <w:szCs w:val="20"/>
          <w:lang w:eastAsia="zh-Hans"/>
        </w:rPr>
      </w:pPr>
    </w:p>
    <w:p w14:paraId="344FA3EF">
      <w:pPr>
        <w:pageBreakBefore/>
        <w:rPr>
          <w:rFonts w:hint="eastAsia" w:ascii="宋体" w:hAnsi="宋体" w:eastAsia="宋体" w:cs="宋体"/>
          <w:b/>
          <w:bCs/>
          <w:color w:val="auto"/>
        </w:rPr>
      </w:pPr>
      <w:r>
        <w:rPr>
          <w:rFonts w:hint="eastAsia" w:ascii="宋体" w:hAnsi="宋体" w:eastAsia="宋体" w:cs="宋体"/>
          <w:b/>
          <w:bCs/>
          <w:color w:val="auto"/>
          <w:sz w:val="24"/>
          <w:szCs w:val="28"/>
        </w:rPr>
        <w:t>格式十</w:t>
      </w:r>
      <w:r>
        <w:rPr>
          <w:rFonts w:hint="eastAsia" w:ascii="宋体" w:hAnsi="宋体" w:eastAsia="宋体" w:cs="宋体"/>
          <w:b/>
          <w:bCs/>
          <w:color w:val="auto"/>
          <w:sz w:val="24"/>
          <w:szCs w:val="28"/>
          <w:lang w:val="en-US" w:eastAsia="zh-CN"/>
        </w:rPr>
        <w:t>一</w:t>
      </w:r>
      <w:r>
        <w:rPr>
          <w:rFonts w:hint="eastAsia" w:ascii="宋体" w:hAnsi="宋体" w:eastAsia="宋体" w:cs="宋体"/>
          <w:b/>
          <w:bCs/>
          <w:color w:val="auto"/>
          <w:sz w:val="24"/>
          <w:szCs w:val="28"/>
        </w:rPr>
        <w:t>：</w:t>
      </w:r>
    </w:p>
    <w:p w14:paraId="6E50D479">
      <w:pPr>
        <w:spacing w:before="217" w:beforeLines="50" w:after="435" w:afterLines="100" w:line="360" w:lineRule="auto"/>
        <w:jc w:val="center"/>
        <w:rPr>
          <w:rFonts w:hint="eastAsia" w:ascii="宋体" w:hAnsi="宋体" w:eastAsia="宋体" w:cs="宋体"/>
          <w:b/>
          <w:color w:val="auto"/>
          <w:sz w:val="30"/>
          <w:szCs w:val="30"/>
        </w:rPr>
      </w:pPr>
      <w:r>
        <w:rPr>
          <w:rFonts w:hint="eastAsia" w:ascii="宋体" w:hAnsi="宋体" w:eastAsia="宋体" w:cs="宋体"/>
          <w:b/>
          <w:color w:val="auto"/>
          <w:sz w:val="32"/>
          <w:szCs w:val="32"/>
        </w:rPr>
        <w:t>资格条件承诺函</w:t>
      </w:r>
    </w:p>
    <w:p w14:paraId="2DF41F31">
      <w:pPr>
        <w:adjustRightInd w:val="0"/>
        <w:snapToGrid w:val="0"/>
        <w:spacing w:line="360" w:lineRule="auto"/>
        <w:rPr>
          <w:rFonts w:hint="eastAsia" w:ascii="宋体" w:hAnsi="宋体" w:eastAsia="宋体" w:cs="宋体"/>
          <w:b/>
          <w:color w:val="auto"/>
          <w:szCs w:val="21"/>
        </w:rPr>
      </w:pPr>
      <w:r>
        <w:rPr>
          <w:rFonts w:hint="eastAsia" w:ascii="宋体" w:hAnsi="宋体" w:eastAsia="宋体" w:cs="宋体"/>
          <w:b/>
          <w:color w:val="auto"/>
          <w:szCs w:val="21"/>
        </w:rPr>
        <w:t>广东智汇城市招标采购有限公司：</w:t>
      </w:r>
    </w:p>
    <w:p w14:paraId="095D70BF">
      <w:pPr>
        <w:adjustRightInd w:val="0"/>
        <w:snapToGrid w:val="0"/>
        <w:spacing w:before="217" w:beforeLines="50" w:line="360" w:lineRule="auto"/>
        <w:ind w:firstLine="424" w:firstLineChars="202"/>
        <w:rPr>
          <w:rFonts w:hint="eastAsia" w:ascii="宋体" w:hAnsi="宋体" w:eastAsia="宋体" w:cs="宋体"/>
          <w:color w:val="auto"/>
          <w:szCs w:val="21"/>
        </w:rPr>
      </w:pPr>
      <w:r>
        <w:rPr>
          <w:rFonts w:hint="eastAsia" w:ascii="宋体" w:hAnsi="宋体" w:eastAsia="宋体" w:cs="宋体"/>
          <w:color w:val="auto"/>
          <w:szCs w:val="21"/>
        </w:rPr>
        <w:t xml:space="preserve">关于贵公司 </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月</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日发布</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项目（项目编号：</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）的采购公告，我方愿意参加投标，并承诺：</w:t>
      </w:r>
    </w:p>
    <w:p w14:paraId="60BB0FF9">
      <w:pPr>
        <w:pStyle w:val="27"/>
        <w:widowControl/>
        <w:numPr>
          <w:ilvl w:val="0"/>
          <w:numId w:val="101"/>
        </w:numPr>
        <w:adjustRightInd w:val="0"/>
        <w:snapToGrid w:val="0"/>
        <w:spacing w:line="360" w:lineRule="auto"/>
        <w:ind w:firstLineChars="0"/>
        <w:rPr>
          <w:rFonts w:hint="eastAsia" w:ascii="宋体" w:hAnsi="宋体" w:eastAsia="宋体" w:cs="宋体"/>
          <w:color w:val="auto"/>
          <w:kern w:val="0"/>
          <w:szCs w:val="21"/>
        </w:rPr>
      </w:pPr>
      <w:r>
        <w:rPr>
          <w:rFonts w:hint="eastAsia" w:ascii="宋体" w:hAnsi="宋体" w:eastAsia="宋体" w:cs="宋体"/>
          <w:color w:val="auto"/>
          <w:kern w:val="0"/>
          <w:szCs w:val="21"/>
        </w:rPr>
        <w:t>具有良好的商业信誉和健全的财务会计制度。</w:t>
      </w:r>
    </w:p>
    <w:p w14:paraId="0360B354">
      <w:pPr>
        <w:pStyle w:val="27"/>
        <w:widowControl/>
        <w:numPr>
          <w:ilvl w:val="0"/>
          <w:numId w:val="101"/>
        </w:numPr>
        <w:adjustRightInd w:val="0"/>
        <w:snapToGrid w:val="0"/>
        <w:spacing w:line="360" w:lineRule="auto"/>
        <w:ind w:firstLineChars="0"/>
        <w:rPr>
          <w:rFonts w:hint="eastAsia" w:ascii="宋体" w:hAnsi="宋体" w:eastAsia="宋体" w:cs="宋体"/>
          <w:color w:val="auto"/>
          <w:kern w:val="0"/>
          <w:szCs w:val="21"/>
        </w:rPr>
      </w:pPr>
      <w:r>
        <w:rPr>
          <w:rFonts w:hint="eastAsia" w:ascii="宋体" w:hAnsi="宋体" w:eastAsia="宋体" w:cs="宋体"/>
          <w:color w:val="auto"/>
          <w:kern w:val="0"/>
          <w:szCs w:val="21"/>
        </w:rPr>
        <w:t>具有履行合同所必需的设备和专业技术能力。</w:t>
      </w:r>
    </w:p>
    <w:p w14:paraId="2FCC5843">
      <w:pPr>
        <w:pStyle w:val="27"/>
        <w:widowControl/>
        <w:numPr>
          <w:ilvl w:val="0"/>
          <w:numId w:val="101"/>
        </w:numPr>
        <w:adjustRightInd w:val="0"/>
        <w:snapToGrid w:val="0"/>
        <w:spacing w:line="360" w:lineRule="auto"/>
        <w:ind w:firstLineChars="0"/>
        <w:rPr>
          <w:rFonts w:hint="eastAsia" w:ascii="宋体" w:hAnsi="宋体" w:eastAsia="宋体" w:cs="宋体"/>
          <w:color w:val="auto"/>
          <w:kern w:val="0"/>
          <w:szCs w:val="21"/>
        </w:rPr>
      </w:pPr>
      <w:r>
        <w:rPr>
          <w:rFonts w:hint="eastAsia" w:ascii="宋体" w:hAnsi="宋体" w:eastAsia="宋体" w:cs="宋体"/>
          <w:color w:val="auto"/>
          <w:kern w:val="0"/>
          <w:szCs w:val="21"/>
        </w:rPr>
        <w:t>有依法缴纳税收和社会保障资金的良好记录。</w:t>
      </w:r>
    </w:p>
    <w:p w14:paraId="4D62C566">
      <w:pPr>
        <w:pStyle w:val="27"/>
        <w:widowControl/>
        <w:numPr>
          <w:ilvl w:val="0"/>
          <w:numId w:val="101"/>
        </w:numPr>
        <w:adjustRightInd w:val="0"/>
        <w:snapToGrid w:val="0"/>
        <w:spacing w:line="360" w:lineRule="auto"/>
        <w:ind w:firstLineChars="0"/>
        <w:rPr>
          <w:rFonts w:hint="eastAsia" w:ascii="宋体" w:hAnsi="宋体" w:eastAsia="宋体" w:cs="宋体"/>
          <w:color w:val="auto"/>
          <w:kern w:val="0"/>
          <w:szCs w:val="21"/>
        </w:rPr>
      </w:pPr>
      <w:r>
        <w:rPr>
          <w:rFonts w:hint="eastAsia" w:ascii="宋体" w:hAnsi="宋体" w:eastAsia="宋体" w:cs="宋体"/>
          <w:color w:val="auto"/>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7"/>
        <w:widowControl/>
        <w:numPr>
          <w:ilvl w:val="0"/>
          <w:numId w:val="101"/>
        </w:numPr>
        <w:adjustRightInd w:val="0"/>
        <w:snapToGrid w:val="0"/>
        <w:spacing w:line="360" w:lineRule="auto"/>
        <w:ind w:firstLineChars="0"/>
        <w:rPr>
          <w:rFonts w:hint="eastAsia" w:ascii="宋体" w:hAnsi="宋体" w:eastAsia="宋体" w:cs="宋体"/>
          <w:color w:val="auto"/>
          <w:kern w:val="0"/>
          <w:szCs w:val="21"/>
        </w:rPr>
      </w:pPr>
      <w:r>
        <w:rPr>
          <w:rFonts w:hint="eastAsia" w:ascii="宋体" w:hAnsi="宋体" w:eastAsia="宋体" w:cs="宋体"/>
          <w:color w:val="auto"/>
          <w:kern w:val="0"/>
          <w:szCs w:val="21"/>
        </w:rPr>
        <w:t>法律、行政法规规定的其他条件。</w:t>
      </w:r>
    </w:p>
    <w:p w14:paraId="4DB5A43B">
      <w:pPr>
        <w:pStyle w:val="27"/>
        <w:widowControl/>
        <w:numPr>
          <w:ilvl w:val="0"/>
          <w:numId w:val="101"/>
        </w:numPr>
        <w:adjustRightInd w:val="0"/>
        <w:snapToGrid w:val="0"/>
        <w:spacing w:line="360" w:lineRule="auto"/>
        <w:ind w:firstLineChars="0"/>
        <w:rPr>
          <w:rFonts w:hint="eastAsia" w:ascii="宋体" w:hAnsi="宋体" w:eastAsia="宋体" w:cs="宋体"/>
          <w:color w:val="auto"/>
          <w:kern w:val="0"/>
          <w:szCs w:val="21"/>
        </w:rPr>
      </w:pPr>
      <w:r>
        <w:rPr>
          <w:rFonts w:hint="eastAsia" w:ascii="宋体" w:hAnsi="宋体" w:eastAsia="宋体" w:cs="宋体"/>
          <w:color w:val="auto"/>
          <w:kern w:val="0"/>
          <w:szCs w:val="21"/>
        </w:rPr>
        <w:t>承诺单位负责人为同一人或者存在直接控股、管理关系的不同供应商，不得同时参加本采购项目（或采购包）投标。</w:t>
      </w:r>
    </w:p>
    <w:p w14:paraId="4C6A3ADB">
      <w:pPr>
        <w:pStyle w:val="27"/>
        <w:widowControl/>
        <w:numPr>
          <w:ilvl w:val="0"/>
          <w:numId w:val="101"/>
        </w:numPr>
        <w:adjustRightInd w:val="0"/>
        <w:snapToGrid w:val="0"/>
        <w:spacing w:line="360" w:lineRule="auto"/>
        <w:ind w:firstLineChars="0"/>
        <w:rPr>
          <w:rFonts w:hint="eastAsia" w:ascii="宋体" w:hAnsi="宋体" w:eastAsia="宋体" w:cs="宋体"/>
          <w:color w:val="auto"/>
          <w:kern w:val="0"/>
          <w:szCs w:val="21"/>
        </w:rPr>
      </w:pPr>
      <w:r>
        <w:rPr>
          <w:rFonts w:hint="eastAsia" w:ascii="宋体" w:hAnsi="宋体" w:eastAsia="宋体" w:cs="宋体"/>
          <w:color w:val="auto"/>
          <w:kern w:val="0"/>
          <w:szCs w:val="21"/>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hint="eastAsia" w:ascii="宋体" w:hAnsi="宋体" w:eastAsia="宋体" w:cs="宋体"/>
          <w:color w:val="auto"/>
          <w:szCs w:val="21"/>
        </w:rPr>
      </w:pPr>
      <w:r>
        <w:rPr>
          <w:rFonts w:hint="eastAsia" w:ascii="宋体" w:hAnsi="宋体" w:eastAsia="宋体" w:cs="宋体"/>
          <w:color w:val="auto"/>
          <w:szCs w:val="21"/>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hint="eastAsia" w:ascii="宋体" w:hAnsi="宋体" w:eastAsia="宋体" w:cs="宋体"/>
          <w:color w:val="auto"/>
          <w:szCs w:val="21"/>
        </w:rPr>
      </w:pPr>
      <w:r>
        <w:rPr>
          <w:rFonts w:hint="eastAsia" w:ascii="宋体" w:hAnsi="宋体" w:eastAsia="宋体" w:cs="宋体"/>
          <w:color w:val="auto"/>
          <w:szCs w:val="21"/>
        </w:rPr>
        <w:t>特此承诺。</w:t>
      </w:r>
    </w:p>
    <w:p w14:paraId="70A1B9C8">
      <w:pPr>
        <w:rPr>
          <w:rFonts w:hint="eastAsia" w:ascii="宋体" w:hAnsi="宋体" w:eastAsia="宋体" w:cs="宋体"/>
          <w:color w:val="auto"/>
          <w:szCs w:val="21"/>
        </w:rPr>
      </w:pPr>
    </w:p>
    <w:p w14:paraId="076116A2">
      <w:pPr>
        <w:widowControl/>
        <w:spacing w:before="870" w:beforeLines="200" w:line="300" w:lineRule="auto"/>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32AE0AC3">
      <w:pPr>
        <w:widowControl/>
        <w:spacing w:line="300" w:lineRule="auto"/>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59DFA05F">
      <w:pPr>
        <w:rPr>
          <w:rFonts w:hint="eastAsia" w:ascii="宋体" w:hAnsi="宋体" w:eastAsia="宋体" w:cs="宋体"/>
          <w:color w:val="auto"/>
          <w:szCs w:val="21"/>
        </w:rPr>
      </w:pPr>
    </w:p>
    <w:p w14:paraId="773149AF">
      <w:pPr>
        <w:pageBreakBefore/>
        <w:rPr>
          <w:rFonts w:hint="eastAsia" w:ascii="宋体" w:hAnsi="宋体" w:eastAsia="宋体" w:cs="宋体"/>
          <w:color w:val="auto"/>
          <w:kern w:val="0"/>
          <w:szCs w:val="21"/>
          <w:lang w:eastAsia="zh-Hans"/>
        </w:rPr>
      </w:pPr>
      <w:bookmarkStart w:id="46" w:name="_Toc169799798"/>
      <w:r>
        <w:rPr>
          <w:rFonts w:hint="eastAsia" w:ascii="宋体" w:hAnsi="宋体" w:eastAsia="宋体" w:cs="宋体"/>
          <w:b/>
          <w:bCs/>
          <w:color w:val="auto"/>
          <w:sz w:val="24"/>
          <w:szCs w:val="28"/>
        </w:rPr>
        <w:t>格式十</w:t>
      </w:r>
      <w:r>
        <w:rPr>
          <w:rFonts w:hint="eastAsia" w:ascii="宋体" w:hAnsi="宋体" w:eastAsia="宋体" w:cs="宋体"/>
          <w:b/>
          <w:bCs/>
          <w:color w:val="auto"/>
          <w:sz w:val="24"/>
          <w:szCs w:val="28"/>
          <w:lang w:val="en-US" w:eastAsia="zh-CN"/>
        </w:rPr>
        <w:t>二</w:t>
      </w:r>
      <w:r>
        <w:rPr>
          <w:rFonts w:hint="eastAsia" w:ascii="宋体" w:hAnsi="宋体" w:eastAsia="宋体" w:cs="宋体"/>
          <w:b/>
          <w:bCs/>
          <w:color w:val="auto"/>
          <w:sz w:val="24"/>
          <w:szCs w:val="28"/>
        </w:rPr>
        <w:t>：</w:t>
      </w:r>
      <w:bookmarkEnd w:id="46"/>
    </w:p>
    <w:p w14:paraId="52F4D935">
      <w:pPr>
        <w:widowControl/>
        <w:spacing w:before="217" w:beforeLines="50"/>
        <w:jc w:val="center"/>
        <w:outlineLvl w:val="3"/>
        <w:rPr>
          <w:rFonts w:hint="eastAsia" w:ascii="宋体" w:hAnsi="宋体" w:eastAsia="宋体" w:cs="宋体"/>
          <w:color w:val="auto"/>
          <w:kern w:val="0"/>
          <w:sz w:val="20"/>
          <w:szCs w:val="20"/>
        </w:rPr>
      </w:pPr>
      <w:r>
        <w:rPr>
          <w:rFonts w:hint="eastAsia" w:ascii="宋体" w:hAnsi="宋体" w:eastAsia="宋体" w:cs="宋体"/>
          <w:b/>
          <w:color w:val="auto"/>
          <w:kern w:val="0"/>
          <w:sz w:val="28"/>
          <w:szCs w:val="21"/>
          <w:lang w:eastAsia="zh-Hans"/>
        </w:rPr>
        <w:t>提供具有独立承担民事责任的能力的证明材料</w:t>
      </w:r>
    </w:p>
    <w:p w14:paraId="48872C45">
      <w:pPr>
        <w:widowControl/>
        <w:jc w:val="left"/>
        <w:rPr>
          <w:rFonts w:hint="eastAsia" w:ascii="宋体" w:hAnsi="宋体" w:eastAsia="宋体" w:cs="宋体"/>
          <w:color w:val="auto"/>
          <w:kern w:val="0"/>
          <w:sz w:val="20"/>
          <w:szCs w:val="20"/>
          <w:lang w:eastAsia="zh-Hans"/>
        </w:rPr>
      </w:pPr>
    </w:p>
    <w:p w14:paraId="62C3C2D4">
      <w:pPr>
        <w:pageBreakBefore/>
        <w:rPr>
          <w:rFonts w:hint="eastAsia" w:ascii="宋体" w:hAnsi="宋体" w:eastAsia="宋体" w:cs="宋体"/>
          <w:b/>
          <w:bCs/>
          <w:color w:val="auto"/>
        </w:rPr>
      </w:pPr>
      <w:bookmarkStart w:id="47" w:name="_Toc405313974"/>
      <w:bookmarkStart w:id="48" w:name="_Toc391627770"/>
      <w:r>
        <w:rPr>
          <w:rFonts w:hint="eastAsia" w:ascii="宋体" w:hAnsi="宋体" w:eastAsia="宋体" w:cs="宋体"/>
          <w:b/>
          <w:bCs/>
          <w:color w:val="auto"/>
          <w:sz w:val="24"/>
          <w:szCs w:val="28"/>
        </w:rPr>
        <w:t>格式十</w:t>
      </w:r>
      <w:r>
        <w:rPr>
          <w:rFonts w:hint="eastAsia" w:ascii="宋体" w:hAnsi="宋体" w:eastAsia="宋体" w:cs="宋体"/>
          <w:b/>
          <w:bCs/>
          <w:color w:val="auto"/>
          <w:sz w:val="24"/>
          <w:szCs w:val="28"/>
          <w:lang w:val="en-US" w:eastAsia="zh-CN"/>
        </w:rPr>
        <w:t>三</w:t>
      </w:r>
      <w:r>
        <w:rPr>
          <w:rFonts w:hint="eastAsia" w:ascii="宋体" w:hAnsi="宋体" w:eastAsia="宋体" w:cs="宋体"/>
          <w:b/>
          <w:bCs/>
          <w:color w:val="auto"/>
          <w:sz w:val="24"/>
          <w:szCs w:val="28"/>
        </w:rPr>
        <w:t>：</w:t>
      </w:r>
    </w:p>
    <w:p w14:paraId="0B1632C9">
      <w:pPr>
        <w:spacing w:after="217" w:afterLines="50" w:line="360" w:lineRule="auto"/>
        <w:jc w:val="center"/>
        <w:rPr>
          <w:rFonts w:hint="eastAsia" w:ascii="宋体" w:hAnsi="宋体" w:eastAsia="宋体" w:cs="宋体"/>
          <w:b/>
          <w:color w:val="auto"/>
          <w:sz w:val="22"/>
        </w:rPr>
      </w:pPr>
      <w:r>
        <w:rPr>
          <w:rFonts w:hint="eastAsia" w:ascii="宋体" w:hAnsi="宋体" w:eastAsia="宋体" w:cs="宋体"/>
          <w:b/>
          <w:color w:val="auto"/>
          <w:sz w:val="32"/>
          <w:szCs w:val="32"/>
        </w:rPr>
        <w:t>拟投入本项目设备情况表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1563" w:type="pct"/>
            <w:vAlign w:val="center"/>
          </w:tcPr>
          <w:p w14:paraId="3817DDFE">
            <w:pPr>
              <w:jc w:val="center"/>
              <w:rPr>
                <w:rFonts w:hint="eastAsia" w:ascii="宋体" w:hAnsi="宋体" w:eastAsia="宋体" w:cs="宋体"/>
                <w:b/>
                <w:bCs/>
                <w:color w:val="auto"/>
                <w:szCs w:val="21"/>
              </w:rPr>
            </w:pPr>
            <w:r>
              <w:rPr>
                <w:rFonts w:hint="eastAsia" w:ascii="宋体" w:hAnsi="宋体" w:eastAsia="宋体" w:cs="宋体"/>
                <w:b/>
                <w:bCs/>
                <w:color w:val="auto"/>
                <w:szCs w:val="21"/>
              </w:rPr>
              <w:t>名称</w:t>
            </w:r>
          </w:p>
        </w:tc>
        <w:tc>
          <w:tcPr>
            <w:tcW w:w="1164" w:type="pct"/>
            <w:vAlign w:val="center"/>
          </w:tcPr>
          <w:p w14:paraId="06AC361D">
            <w:pPr>
              <w:jc w:val="center"/>
              <w:rPr>
                <w:rFonts w:hint="eastAsia" w:ascii="宋体" w:hAnsi="宋体" w:eastAsia="宋体" w:cs="宋体"/>
                <w:b/>
                <w:bCs/>
                <w:color w:val="auto"/>
                <w:szCs w:val="21"/>
              </w:rPr>
            </w:pPr>
            <w:r>
              <w:rPr>
                <w:rFonts w:hint="eastAsia" w:ascii="宋体" w:hAnsi="宋体" w:eastAsia="宋体" w:cs="宋体"/>
                <w:b/>
                <w:bCs/>
                <w:color w:val="auto"/>
                <w:szCs w:val="21"/>
              </w:rPr>
              <w:t>规格型号</w:t>
            </w:r>
          </w:p>
        </w:tc>
        <w:tc>
          <w:tcPr>
            <w:tcW w:w="732" w:type="pct"/>
            <w:vAlign w:val="center"/>
          </w:tcPr>
          <w:p w14:paraId="17A4AC09">
            <w:pPr>
              <w:jc w:val="center"/>
              <w:rPr>
                <w:rFonts w:hint="eastAsia" w:ascii="宋体" w:hAnsi="宋体" w:eastAsia="宋体" w:cs="宋体"/>
                <w:b/>
                <w:bCs/>
                <w:color w:val="auto"/>
                <w:szCs w:val="21"/>
              </w:rPr>
            </w:pPr>
            <w:r>
              <w:rPr>
                <w:rFonts w:hint="eastAsia" w:ascii="宋体" w:hAnsi="宋体" w:eastAsia="宋体" w:cs="宋体"/>
                <w:b/>
                <w:bCs/>
                <w:color w:val="auto"/>
                <w:szCs w:val="21"/>
              </w:rPr>
              <w:t>数量</w:t>
            </w:r>
          </w:p>
        </w:tc>
        <w:tc>
          <w:tcPr>
            <w:tcW w:w="1009" w:type="pct"/>
            <w:vAlign w:val="center"/>
          </w:tcPr>
          <w:p w14:paraId="2368A346">
            <w:pPr>
              <w:jc w:val="center"/>
              <w:rPr>
                <w:rFonts w:hint="eastAsia" w:ascii="宋体" w:hAnsi="宋体" w:eastAsia="宋体" w:cs="宋体"/>
                <w:b/>
                <w:bCs/>
                <w:color w:val="auto"/>
                <w:szCs w:val="21"/>
              </w:rPr>
            </w:pPr>
            <w:r>
              <w:rPr>
                <w:rFonts w:hint="eastAsia" w:ascii="宋体" w:hAnsi="宋体" w:eastAsia="宋体" w:cs="宋体"/>
                <w:b/>
                <w:bCs/>
                <w:color w:val="auto"/>
                <w:szCs w:val="21"/>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hint="eastAsia" w:ascii="宋体" w:hAnsi="宋体" w:eastAsia="宋体" w:cs="宋体"/>
                <w:color w:val="auto"/>
                <w:szCs w:val="21"/>
              </w:rPr>
            </w:pPr>
          </w:p>
        </w:tc>
        <w:tc>
          <w:tcPr>
            <w:tcW w:w="1563" w:type="pct"/>
            <w:vAlign w:val="center"/>
          </w:tcPr>
          <w:p w14:paraId="6B01071C">
            <w:pPr>
              <w:jc w:val="center"/>
              <w:rPr>
                <w:rFonts w:hint="eastAsia" w:ascii="宋体" w:hAnsi="宋体" w:eastAsia="宋体" w:cs="宋体"/>
                <w:color w:val="auto"/>
                <w:szCs w:val="21"/>
              </w:rPr>
            </w:pPr>
          </w:p>
        </w:tc>
        <w:tc>
          <w:tcPr>
            <w:tcW w:w="1164" w:type="pct"/>
            <w:vAlign w:val="center"/>
          </w:tcPr>
          <w:p w14:paraId="217AAAA0">
            <w:pPr>
              <w:jc w:val="center"/>
              <w:rPr>
                <w:rFonts w:hint="eastAsia" w:ascii="宋体" w:hAnsi="宋体" w:eastAsia="宋体" w:cs="宋体"/>
                <w:color w:val="auto"/>
                <w:szCs w:val="21"/>
              </w:rPr>
            </w:pPr>
          </w:p>
        </w:tc>
        <w:tc>
          <w:tcPr>
            <w:tcW w:w="732" w:type="pct"/>
            <w:vAlign w:val="center"/>
          </w:tcPr>
          <w:p w14:paraId="79F085ED">
            <w:pPr>
              <w:jc w:val="center"/>
              <w:rPr>
                <w:rFonts w:hint="eastAsia" w:ascii="宋体" w:hAnsi="宋体" w:eastAsia="宋体" w:cs="宋体"/>
                <w:color w:val="auto"/>
                <w:szCs w:val="21"/>
              </w:rPr>
            </w:pPr>
          </w:p>
        </w:tc>
        <w:tc>
          <w:tcPr>
            <w:tcW w:w="1009" w:type="pct"/>
            <w:vAlign w:val="center"/>
          </w:tcPr>
          <w:p w14:paraId="1B4ED215">
            <w:pPr>
              <w:jc w:val="center"/>
              <w:rPr>
                <w:rFonts w:hint="eastAsia" w:ascii="宋体" w:hAnsi="宋体" w:eastAsia="宋体" w:cs="宋体"/>
                <w:color w:val="auto"/>
                <w:szCs w:val="21"/>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hint="eastAsia" w:ascii="宋体" w:hAnsi="宋体" w:eastAsia="宋体" w:cs="宋体"/>
                <w:color w:val="auto"/>
                <w:szCs w:val="21"/>
              </w:rPr>
            </w:pPr>
          </w:p>
        </w:tc>
        <w:tc>
          <w:tcPr>
            <w:tcW w:w="1563" w:type="pct"/>
            <w:vAlign w:val="center"/>
          </w:tcPr>
          <w:p w14:paraId="52011562">
            <w:pPr>
              <w:jc w:val="center"/>
              <w:rPr>
                <w:rFonts w:hint="eastAsia" w:ascii="宋体" w:hAnsi="宋体" w:eastAsia="宋体" w:cs="宋体"/>
                <w:color w:val="auto"/>
                <w:szCs w:val="21"/>
              </w:rPr>
            </w:pPr>
          </w:p>
        </w:tc>
        <w:tc>
          <w:tcPr>
            <w:tcW w:w="1164" w:type="pct"/>
            <w:vAlign w:val="center"/>
          </w:tcPr>
          <w:p w14:paraId="0E9E40B3">
            <w:pPr>
              <w:jc w:val="center"/>
              <w:rPr>
                <w:rFonts w:hint="eastAsia" w:ascii="宋体" w:hAnsi="宋体" w:eastAsia="宋体" w:cs="宋体"/>
                <w:color w:val="auto"/>
                <w:szCs w:val="21"/>
              </w:rPr>
            </w:pPr>
          </w:p>
        </w:tc>
        <w:tc>
          <w:tcPr>
            <w:tcW w:w="732" w:type="pct"/>
            <w:vAlign w:val="center"/>
          </w:tcPr>
          <w:p w14:paraId="6824BC50">
            <w:pPr>
              <w:jc w:val="center"/>
              <w:rPr>
                <w:rFonts w:hint="eastAsia" w:ascii="宋体" w:hAnsi="宋体" w:eastAsia="宋体" w:cs="宋体"/>
                <w:color w:val="auto"/>
                <w:szCs w:val="21"/>
              </w:rPr>
            </w:pPr>
          </w:p>
        </w:tc>
        <w:tc>
          <w:tcPr>
            <w:tcW w:w="1009" w:type="pct"/>
            <w:vAlign w:val="center"/>
          </w:tcPr>
          <w:p w14:paraId="6459261F">
            <w:pPr>
              <w:jc w:val="center"/>
              <w:rPr>
                <w:rFonts w:hint="eastAsia" w:ascii="宋体" w:hAnsi="宋体" w:eastAsia="宋体" w:cs="宋体"/>
                <w:color w:val="auto"/>
                <w:szCs w:val="21"/>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hint="eastAsia" w:ascii="宋体" w:hAnsi="宋体" w:eastAsia="宋体" w:cs="宋体"/>
                <w:color w:val="auto"/>
                <w:szCs w:val="21"/>
              </w:rPr>
            </w:pPr>
          </w:p>
        </w:tc>
        <w:tc>
          <w:tcPr>
            <w:tcW w:w="1563" w:type="pct"/>
            <w:vAlign w:val="center"/>
          </w:tcPr>
          <w:p w14:paraId="1565DAD5">
            <w:pPr>
              <w:jc w:val="center"/>
              <w:rPr>
                <w:rFonts w:hint="eastAsia" w:ascii="宋体" w:hAnsi="宋体" w:eastAsia="宋体" w:cs="宋体"/>
                <w:color w:val="auto"/>
                <w:szCs w:val="21"/>
              </w:rPr>
            </w:pPr>
          </w:p>
        </w:tc>
        <w:tc>
          <w:tcPr>
            <w:tcW w:w="1164" w:type="pct"/>
            <w:vAlign w:val="center"/>
          </w:tcPr>
          <w:p w14:paraId="7F88EB27">
            <w:pPr>
              <w:jc w:val="center"/>
              <w:rPr>
                <w:rFonts w:hint="eastAsia" w:ascii="宋体" w:hAnsi="宋体" w:eastAsia="宋体" w:cs="宋体"/>
                <w:color w:val="auto"/>
                <w:szCs w:val="21"/>
              </w:rPr>
            </w:pPr>
          </w:p>
        </w:tc>
        <w:tc>
          <w:tcPr>
            <w:tcW w:w="732" w:type="pct"/>
            <w:vAlign w:val="center"/>
          </w:tcPr>
          <w:p w14:paraId="42B23CD7">
            <w:pPr>
              <w:jc w:val="center"/>
              <w:rPr>
                <w:rFonts w:hint="eastAsia" w:ascii="宋体" w:hAnsi="宋体" w:eastAsia="宋体" w:cs="宋体"/>
                <w:color w:val="auto"/>
                <w:szCs w:val="21"/>
              </w:rPr>
            </w:pPr>
          </w:p>
        </w:tc>
        <w:tc>
          <w:tcPr>
            <w:tcW w:w="1009" w:type="pct"/>
            <w:vAlign w:val="center"/>
          </w:tcPr>
          <w:p w14:paraId="4AD4DFBE">
            <w:pPr>
              <w:jc w:val="center"/>
              <w:rPr>
                <w:rFonts w:hint="eastAsia" w:ascii="宋体" w:hAnsi="宋体" w:eastAsia="宋体" w:cs="宋体"/>
                <w:color w:val="auto"/>
                <w:szCs w:val="21"/>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hint="eastAsia" w:ascii="宋体" w:hAnsi="宋体" w:eastAsia="宋体" w:cs="宋体"/>
                <w:color w:val="auto"/>
                <w:szCs w:val="21"/>
              </w:rPr>
            </w:pPr>
          </w:p>
        </w:tc>
        <w:tc>
          <w:tcPr>
            <w:tcW w:w="1563" w:type="pct"/>
            <w:vAlign w:val="center"/>
          </w:tcPr>
          <w:p w14:paraId="2F582632">
            <w:pPr>
              <w:jc w:val="center"/>
              <w:rPr>
                <w:rFonts w:hint="eastAsia" w:ascii="宋体" w:hAnsi="宋体" w:eastAsia="宋体" w:cs="宋体"/>
                <w:color w:val="auto"/>
                <w:szCs w:val="21"/>
              </w:rPr>
            </w:pPr>
          </w:p>
        </w:tc>
        <w:tc>
          <w:tcPr>
            <w:tcW w:w="1164" w:type="pct"/>
            <w:vAlign w:val="center"/>
          </w:tcPr>
          <w:p w14:paraId="63BE101F">
            <w:pPr>
              <w:jc w:val="center"/>
              <w:rPr>
                <w:rFonts w:hint="eastAsia" w:ascii="宋体" w:hAnsi="宋体" w:eastAsia="宋体" w:cs="宋体"/>
                <w:color w:val="auto"/>
                <w:szCs w:val="21"/>
              </w:rPr>
            </w:pPr>
          </w:p>
        </w:tc>
        <w:tc>
          <w:tcPr>
            <w:tcW w:w="732" w:type="pct"/>
            <w:vAlign w:val="center"/>
          </w:tcPr>
          <w:p w14:paraId="0D7D6BCD">
            <w:pPr>
              <w:jc w:val="center"/>
              <w:rPr>
                <w:rFonts w:hint="eastAsia" w:ascii="宋体" w:hAnsi="宋体" w:eastAsia="宋体" w:cs="宋体"/>
                <w:color w:val="auto"/>
                <w:szCs w:val="21"/>
              </w:rPr>
            </w:pPr>
          </w:p>
        </w:tc>
        <w:tc>
          <w:tcPr>
            <w:tcW w:w="1009" w:type="pct"/>
            <w:vAlign w:val="center"/>
          </w:tcPr>
          <w:p w14:paraId="1F9D5896">
            <w:pPr>
              <w:jc w:val="center"/>
              <w:rPr>
                <w:rFonts w:hint="eastAsia" w:ascii="宋体" w:hAnsi="宋体" w:eastAsia="宋体" w:cs="宋体"/>
                <w:color w:val="auto"/>
                <w:szCs w:val="21"/>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hint="eastAsia" w:ascii="宋体" w:hAnsi="宋体" w:eastAsia="宋体" w:cs="宋体"/>
                <w:color w:val="auto"/>
                <w:szCs w:val="21"/>
              </w:rPr>
            </w:pPr>
          </w:p>
        </w:tc>
        <w:tc>
          <w:tcPr>
            <w:tcW w:w="1563" w:type="pct"/>
            <w:vAlign w:val="center"/>
          </w:tcPr>
          <w:p w14:paraId="59578F53">
            <w:pPr>
              <w:jc w:val="center"/>
              <w:rPr>
                <w:rFonts w:hint="eastAsia" w:ascii="宋体" w:hAnsi="宋体" w:eastAsia="宋体" w:cs="宋体"/>
                <w:color w:val="auto"/>
                <w:szCs w:val="21"/>
              </w:rPr>
            </w:pPr>
          </w:p>
        </w:tc>
        <w:tc>
          <w:tcPr>
            <w:tcW w:w="1164" w:type="pct"/>
            <w:vAlign w:val="center"/>
          </w:tcPr>
          <w:p w14:paraId="0F22411E">
            <w:pPr>
              <w:jc w:val="center"/>
              <w:rPr>
                <w:rFonts w:hint="eastAsia" w:ascii="宋体" w:hAnsi="宋体" w:eastAsia="宋体" w:cs="宋体"/>
                <w:color w:val="auto"/>
                <w:szCs w:val="21"/>
              </w:rPr>
            </w:pPr>
          </w:p>
        </w:tc>
        <w:tc>
          <w:tcPr>
            <w:tcW w:w="732" w:type="pct"/>
            <w:vAlign w:val="center"/>
          </w:tcPr>
          <w:p w14:paraId="3028C6D5">
            <w:pPr>
              <w:jc w:val="center"/>
              <w:rPr>
                <w:rFonts w:hint="eastAsia" w:ascii="宋体" w:hAnsi="宋体" w:eastAsia="宋体" w:cs="宋体"/>
                <w:color w:val="auto"/>
                <w:szCs w:val="21"/>
              </w:rPr>
            </w:pPr>
          </w:p>
        </w:tc>
        <w:tc>
          <w:tcPr>
            <w:tcW w:w="1009" w:type="pct"/>
            <w:vAlign w:val="center"/>
          </w:tcPr>
          <w:p w14:paraId="2760B64B">
            <w:pPr>
              <w:jc w:val="center"/>
              <w:rPr>
                <w:rFonts w:hint="eastAsia" w:ascii="宋体" w:hAnsi="宋体" w:eastAsia="宋体" w:cs="宋体"/>
                <w:color w:val="auto"/>
                <w:szCs w:val="21"/>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hint="eastAsia" w:ascii="宋体" w:hAnsi="宋体" w:eastAsia="宋体" w:cs="宋体"/>
                <w:color w:val="auto"/>
                <w:szCs w:val="21"/>
              </w:rPr>
            </w:pPr>
          </w:p>
        </w:tc>
        <w:tc>
          <w:tcPr>
            <w:tcW w:w="1563" w:type="pct"/>
            <w:vAlign w:val="center"/>
          </w:tcPr>
          <w:p w14:paraId="05755403">
            <w:pPr>
              <w:jc w:val="center"/>
              <w:rPr>
                <w:rFonts w:hint="eastAsia" w:ascii="宋体" w:hAnsi="宋体" w:eastAsia="宋体" w:cs="宋体"/>
                <w:color w:val="auto"/>
                <w:szCs w:val="21"/>
              </w:rPr>
            </w:pPr>
          </w:p>
        </w:tc>
        <w:tc>
          <w:tcPr>
            <w:tcW w:w="1164" w:type="pct"/>
            <w:vAlign w:val="center"/>
          </w:tcPr>
          <w:p w14:paraId="0124A58D">
            <w:pPr>
              <w:jc w:val="center"/>
              <w:rPr>
                <w:rFonts w:hint="eastAsia" w:ascii="宋体" w:hAnsi="宋体" w:eastAsia="宋体" w:cs="宋体"/>
                <w:color w:val="auto"/>
                <w:szCs w:val="21"/>
              </w:rPr>
            </w:pPr>
          </w:p>
        </w:tc>
        <w:tc>
          <w:tcPr>
            <w:tcW w:w="732" w:type="pct"/>
            <w:vAlign w:val="center"/>
          </w:tcPr>
          <w:p w14:paraId="75EFB702">
            <w:pPr>
              <w:jc w:val="center"/>
              <w:rPr>
                <w:rFonts w:hint="eastAsia" w:ascii="宋体" w:hAnsi="宋体" w:eastAsia="宋体" w:cs="宋体"/>
                <w:color w:val="auto"/>
                <w:szCs w:val="21"/>
              </w:rPr>
            </w:pPr>
          </w:p>
        </w:tc>
        <w:tc>
          <w:tcPr>
            <w:tcW w:w="1009" w:type="pct"/>
            <w:vAlign w:val="center"/>
          </w:tcPr>
          <w:p w14:paraId="084CCF0D">
            <w:pPr>
              <w:jc w:val="center"/>
              <w:rPr>
                <w:rFonts w:hint="eastAsia" w:ascii="宋体" w:hAnsi="宋体" w:eastAsia="宋体" w:cs="宋体"/>
                <w:color w:val="auto"/>
                <w:szCs w:val="21"/>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hint="eastAsia" w:ascii="宋体" w:hAnsi="宋体" w:eastAsia="宋体" w:cs="宋体"/>
                <w:color w:val="auto"/>
                <w:szCs w:val="21"/>
              </w:rPr>
            </w:pPr>
          </w:p>
        </w:tc>
        <w:tc>
          <w:tcPr>
            <w:tcW w:w="1563" w:type="pct"/>
            <w:vAlign w:val="center"/>
          </w:tcPr>
          <w:p w14:paraId="7CB689AC">
            <w:pPr>
              <w:jc w:val="center"/>
              <w:rPr>
                <w:rFonts w:hint="eastAsia" w:ascii="宋体" w:hAnsi="宋体" w:eastAsia="宋体" w:cs="宋体"/>
                <w:color w:val="auto"/>
                <w:szCs w:val="21"/>
              </w:rPr>
            </w:pPr>
          </w:p>
        </w:tc>
        <w:tc>
          <w:tcPr>
            <w:tcW w:w="1164" w:type="pct"/>
            <w:vAlign w:val="center"/>
          </w:tcPr>
          <w:p w14:paraId="01CC754A">
            <w:pPr>
              <w:jc w:val="center"/>
              <w:rPr>
                <w:rFonts w:hint="eastAsia" w:ascii="宋体" w:hAnsi="宋体" w:eastAsia="宋体" w:cs="宋体"/>
                <w:color w:val="auto"/>
                <w:szCs w:val="21"/>
              </w:rPr>
            </w:pPr>
          </w:p>
        </w:tc>
        <w:tc>
          <w:tcPr>
            <w:tcW w:w="732" w:type="pct"/>
            <w:vAlign w:val="center"/>
          </w:tcPr>
          <w:p w14:paraId="1BBC3748">
            <w:pPr>
              <w:jc w:val="center"/>
              <w:rPr>
                <w:rFonts w:hint="eastAsia" w:ascii="宋体" w:hAnsi="宋体" w:eastAsia="宋体" w:cs="宋体"/>
                <w:color w:val="auto"/>
                <w:szCs w:val="21"/>
              </w:rPr>
            </w:pPr>
          </w:p>
        </w:tc>
        <w:tc>
          <w:tcPr>
            <w:tcW w:w="1009" w:type="pct"/>
            <w:vAlign w:val="center"/>
          </w:tcPr>
          <w:p w14:paraId="1EA17CC2">
            <w:pPr>
              <w:jc w:val="center"/>
              <w:rPr>
                <w:rFonts w:hint="eastAsia" w:ascii="宋体" w:hAnsi="宋体" w:eastAsia="宋体" w:cs="宋体"/>
                <w:color w:val="auto"/>
                <w:szCs w:val="21"/>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hint="eastAsia" w:ascii="宋体" w:hAnsi="宋体" w:eastAsia="宋体" w:cs="宋体"/>
                <w:color w:val="auto"/>
                <w:szCs w:val="21"/>
              </w:rPr>
            </w:pPr>
          </w:p>
        </w:tc>
        <w:tc>
          <w:tcPr>
            <w:tcW w:w="1563" w:type="pct"/>
            <w:vAlign w:val="center"/>
          </w:tcPr>
          <w:p w14:paraId="0EEF5E5A">
            <w:pPr>
              <w:jc w:val="center"/>
              <w:rPr>
                <w:rFonts w:hint="eastAsia" w:ascii="宋体" w:hAnsi="宋体" w:eastAsia="宋体" w:cs="宋体"/>
                <w:color w:val="auto"/>
                <w:szCs w:val="21"/>
              </w:rPr>
            </w:pPr>
          </w:p>
        </w:tc>
        <w:tc>
          <w:tcPr>
            <w:tcW w:w="1164" w:type="pct"/>
            <w:vAlign w:val="center"/>
          </w:tcPr>
          <w:p w14:paraId="10036CA7">
            <w:pPr>
              <w:jc w:val="center"/>
              <w:rPr>
                <w:rFonts w:hint="eastAsia" w:ascii="宋体" w:hAnsi="宋体" w:eastAsia="宋体" w:cs="宋体"/>
                <w:color w:val="auto"/>
                <w:szCs w:val="21"/>
              </w:rPr>
            </w:pPr>
          </w:p>
        </w:tc>
        <w:tc>
          <w:tcPr>
            <w:tcW w:w="732" w:type="pct"/>
            <w:vAlign w:val="center"/>
          </w:tcPr>
          <w:p w14:paraId="6E6C00DB">
            <w:pPr>
              <w:jc w:val="center"/>
              <w:rPr>
                <w:rFonts w:hint="eastAsia" w:ascii="宋体" w:hAnsi="宋体" w:eastAsia="宋体" w:cs="宋体"/>
                <w:color w:val="auto"/>
                <w:szCs w:val="21"/>
              </w:rPr>
            </w:pPr>
          </w:p>
        </w:tc>
        <w:tc>
          <w:tcPr>
            <w:tcW w:w="1009" w:type="pct"/>
            <w:vAlign w:val="center"/>
          </w:tcPr>
          <w:p w14:paraId="4069C89F">
            <w:pPr>
              <w:jc w:val="center"/>
              <w:rPr>
                <w:rFonts w:hint="eastAsia" w:ascii="宋体" w:hAnsi="宋体" w:eastAsia="宋体" w:cs="宋体"/>
                <w:color w:val="auto"/>
                <w:szCs w:val="21"/>
              </w:rPr>
            </w:pPr>
          </w:p>
        </w:tc>
      </w:tr>
    </w:tbl>
    <w:p w14:paraId="759D3C9E">
      <w:pPr>
        <w:widowControl/>
        <w:spacing w:before="870" w:beforeLines="200" w:line="300" w:lineRule="auto"/>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50E1D17A">
      <w:pPr>
        <w:spacing w:line="360" w:lineRule="auto"/>
        <w:rPr>
          <w:rFonts w:hint="eastAsia" w:ascii="宋体" w:hAnsi="宋体" w:eastAsia="宋体" w:cs="宋体"/>
          <w:color w:val="auto"/>
          <w:szCs w:val="21"/>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bookmarkEnd w:id="47"/>
    <w:bookmarkEnd w:id="48"/>
    <w:p w14:paraId="022E1B87">
      <w:pPr>
        <w:pageBreakBefore/>
        <w:rPr>
          <w:rFonts w:hint="eastAsia" w:ascii="宋体" w:hAnsi="宋体" w:eastAsia="宋体" w:cs="宋体"/>
          <w:b/>
          <w:bCs/>
          <w:color w:val="auto"/>
          <w:szCs w:val="21"/>
        </w:rPr>
      </w:pPr>
      <w:r>
        <w:rPr>
          <w:rFonts w:hint="eastAsia" w:ascii="宋体" w:hAnsi="宋体" w:eastAsia="宋体" w:cs="宋体"/>
          <w:b/>
          <w:bCs/>
          <w:color w:val="auto"/>
          <w:sz w:val="24"/>
          <w:szCs w:val="28"/>
        </w:rPr>
        <w:t>格式十</w:t>
      </w:r>
      <w:r>
        <w:rPr>
          <w:rFonts w:hint="eastAsia" w:ascii="宋体" w:hAnsi="宋体" w:eastAsia="宋体" w:cs="宋体"/>
          <w:b/>
          <w:bCs/>
          <w:color w:val="auto"/>
          <w:sz w:val="24"/>
          <w:szCs w:val="28"/>
          <w:lang w:val="en-US" w:eastAsia="zh-CN"/>
        </w:rPr>
        <w:t>四</w:t>
      </w:r>
      <w:r>
        <w:rPr>
          <w:rFonts w:hint="eastAsia" w:ascii="宋体" w:hAnsi="宋体" w:eastAsia="宋体" w:cs="宋体"/>
          <w:b/>
          <w:bCs/>
          <w:color w:val="auto"/>
          <w:sz w:val="24"/>
          <w:szCs w:val="28"/>
        </w:rPr>
        <w:t>：</w:t>
      </w:r>
    </w:p>
    <w:p w14:paraId="3DE2BFB1">
      <w:pPr>
        <w:spacing w:after="217" w:afterLines="50" w:line="360" w:lineRule="auto"/>
        <w:jc w:val="center"/>
        <w:rPr>
          <w:rFonts w:hint="eastAsia" w:ascii="宋体" w:hAnsi="宋体" w:eastAsia="宋体" w:cs="宋体"/>
          <w:b/>
          <w:color w:val="auto"/>
          <w:spacing w:val="20"/>
          <w:sz w:val="30"/>
          <w:szCs w:val="30"/>
        </w:rPr>
      </w:pPr>
      <w:r>
        <w:rPr>
          <w:rFonts w:hint="eastAsia" w:ascii="宋体" w:hAnsi="宋体" w:eastAsia="宋体" w:cs="宋体"/>
          <w:b/>
          <w:color w:val="auto"/>
          <w:sz w:val="32"/>
          <w:szCs w:val="32"/>
        </w:rPr>
        <w:t>项目技术服务人员情况表</w:t>
      </w:r>
    </w:p>
    <w:tbl>
      <w:tblPr>
        <w:tblStyle w:val="15"/>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653" w:type="pct"/>
            <w:vAlign w:val="center"/>
          </w:tcPr>
          <w:p w14:paraId="4FFBA122">
            <w:pPr>
              <w:jc w:val="center"/>
              <w:rPr>
                <w:rFonts w:hint="eastAsia" w:ascii="宋体" w:hAnsi="宋体" w:eastAsia="宋体" w:cs="宋体"/>
                <w:b/>
                <w:bCs/>
                <w:color w:val="auto"/>
                <w:szCs w:val="21"/>
              </w:rPr>
            </w:pPr>
            <w:r>
              <w:rPr>
                <w:rFonts w:hint="eastAsia" w:ascii="宋体" w:hAnsi="宋体" w:eastAsia="宋体" w:cs="宋体"/>
                <w:b/>
                <w:bCs/>
                <w:color w:val="auto"/>
                <w:szCs w:val="21"/>
              </w:rPr>
              <w:t>姓名</w:t>
            </w:r>
          </w:p>
        </w:tc>
        <w:tc>
          <w:tcPr>
            <w:tcW w:w="739" w:type="pct"/>
            <w:vAlign w:val="center"/>
          </w:tcPr>
          <w:p w14:paraId="03616561">
            <w:pPr>
              <w:jc w:val="center"/>
              <w:rPr>
                <w:rFonts w:hint="eastAsia" w:ascii="宋体" w:hAnsi="宋体" w:eastAsia="宋体" w:cs="宋体"/>
                <w:b/>
                <w:bCs/>
                <w:color w:val="auto"/>
                <w:szCs w:val="21"/>
              </w:rPr>
            </w:pPr>
            <w:r>
              <w:rPr>
                <w:rFonts w:hint="eastAsia" w:ascii="宋体" w:hAnsi="宋体" w:eastAsia="宋体" w:cs="宋体"/>
                <w:b/>
                <w:bCs/>
                <w:color w:val="auto"/>
                <w:szCs w:val="21"/>
              </w:rPr>
              <w:t>职位</w:t>
            </w:r>
          </w:p>
        </w:tc>
        <w:tc>
          <w:tcPr>
            <w:tcW w:w="1081" w:type="pct"/>
            <w:vAlign w:val="center"/>
          </w:tcPr>
          <w:p w14:paraId="4A7AED6A">
            <w:pPr>
              <w:jc w:val="center"/>
              <w:rPr>
                <w:rFonts w:hint="eastAsia" w:ascii="宋体" w:hAnsi="宋体" w:eastAsia="宋体" w:cs="宋体"/>
                <w:b/>
                <w:bCs/>
                <w:color w:val="auto"/>
                <w:szCs w:val="21"/>
              </w:rPr>
            </w:pPr>
            <w:r>
              <w:rPr>
                <w:rFonts w:hint="eastAsia" w:ascii="宋体" w:hAnsi="宋体" w:eastAsia="宋体" w:cs="宋体"/>
                <w:b/>
                <w:bCs/>
                <w:color w:val="auto"/>
                <w:szCs w:val="21"/>
              </w:rPr>
              <w:t>持何种资格证件</w:t>
            </w:r>
          </w:p>
        </w:tc>
        <w:tc>
          <w:tcPr>
            <w:tcW w:w="830" w:type="pct"/>
            <w:vAlign w:val="center"/>
          </w:tcPr>
          <w:p w14:paraId="68F2D7AB">
            <w:pPr>
              <w:jc w:val="center"/>
              <w:rPr>
                <w:rFonts w:hint="eastAsia" w:ascii="宋体" w:hAnsi="宋体" w:eastAsia="宋体" w:cs="宋体"/>
                <w:b/>
                <w:bCs/>
                <w:color w:val="auto"/>
                <w:szCs w:val="21"/>
              </w:rPr>
            </w:pPr>
            <w:r>
              <w:rPr>
                <w:rFonts w:hint="eastAsia" w:ascii="宋体" w:hAnsi="宋体" w:eastAsia="宋体" w:cs="宋体"/>
                <w:b/>
                <w:bCs/>
                <w:color w:val="auto"/>
                <w:szCs w:val="21"/>
              </w:rPr>
              <w:t>发证时间</w:t>
            </w:r>
          </w:p>
        </w:tc>
        <w:tc>
          <w:tcPr>
            <w:tcW w:w="582" w:type="pct"/>
            <w:vAlign w:val="center"/>
          </w:tcPr>
          <w:p w14:paraId="4748A4FF">
            <w:pPr>
              <w:jc w:val="center"/>
              <w:rPr>
                <w:rFonts w:hint="eastAsia" w:ascii="宋体" w:hAnsi="宋体" w:eastAsia="宋体" w:cs="宋体"/>
                <w:b/>
                <w:bCs/>
                <w:color w:val="auto"/>
                <w:szCs w:val="21"/>
              </w:rPr>
            </w:pPr>
            <w:r>
              <w:rPr>
                <w:rFonts w:hint="eastAsia" w:ascii="宋体" w:hAnsi="宋体" w:eastAsia="宋体" w:cs="宋体"/>
                <w:b/>
                <w:bCs/>
                <w:color w:val="auto"/>
                <w:szCs w:val="21"/>
              </w:rPr>
              <w:t>学历</w:t>
            </w:r>
          </w:p>
        </w:tc>
        <w:tc>
          <w:tcPr>
            <w:tcW w:w="699" w:type="pct"/>
            <w:vAlign w:val="center"/>
          </w:tcPr>
          <w:p w14:paraId="48EE975D">
            <w:pPr>
              <w:jc w:val="center"/>
              <w:rPr>
                <w:rFonts w:hint="eastAsia" w:ascii="宋体" w:hAnsi="宋体" w:eastAsia="宋体" w:cs="宋体"/>
                <w:b/>
                <w:bCs/>
                <w:color w:val="auto"/>
                <w:szCs w:val="21"/>
              </w:rPr>
            </w:pPr>
            <w:r>
              <w:rPr>
                <w:rFonts w:hint="eastAsia" w:ascii="宋体" w:hAnsi="宋体" w:eastAsia="宋体" w:cs="宋体"/>
                <w:b/>
                <w:bCs/>
                <w:color w:val="auto"/>
                <w:szCs w:val="21"/>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hint="eastAsia" w:ascii="宋体" w:hAnsi="宋体" w:eastAsia="宋体" w:cs="宋体"/>
                <w:color w:val="auto"/>
                <w:szCs w:val="21"/>
              </w:rPr>
            </w:pPr>
          </w:p>
        </w:tc>
        <w:tc>
          <w:tcPr>
            <w:tcW w:w="653" w:type="pct"/>
            <w:vAlign w:val="center"/>
          </w:tcPr>
          <w:p w14:paraId="3AB8EE80">
            <w:pPr>
              <w:jc w:val="center"/>
              <w:rPr>
                <w:rFonts w:hint="eastAsia" w:ascii="宋体" w:hAnsi="宋体" w:eastAsia="宋体" w:cs="宋体"/>
                <w:color w:val="auto"/>
                <w:szCs w:val="21"/>
              </w:rPr>
            </w:pPr>
          </w:p>
        </w:tc>
        <w:tc>
          <w:tcPr>
            <w:tcW w:w="739" w:type="pct"/>
            <w:vAlign w:val="center"/>
          </w:tcPr>
          <w:p w14:paraId="63A272CC">
            <w:pPr>
              <w:jc w:val="center"/>
              <w:rPr>
                <w:rFonts w:hint="eastAsia" w:ascii="宋体" w:hAnsi="宋体" w:eastAsia="宋体" w:cs="宋体"/>
                <w:color w:val="auto"/>
                <w:szCs w:val="21"/>
              </w:rPr>
            </w:pPr>
          </w:p>
        </w:tc>
        <w:tc>
          <w:tcPr>
            <w:tcW w:w="1081" w:type="pct"/>
            <w:vAlign w:val="center"/>
          </w:tcPr>
          <w:p w14:paraId="6A1AF531">
            <w:pPr>
              <w:jc w:val="center"/>
              <w:rPr>
                <w:rFonts w:hint="eastAsia" w:ascii="宋体" w:hAnsi="宋体" w:eastAsia="宋体" w:cs="宋体"/>
                <w:color w:val="auto"/>
                <w:szCs w:val="21"/>
              </w:rPr>
            </w:pPr>
          </w:p>
        </w:tc>
        <w:tc>
          <w:tcPr>
            <w:tcW w:w="830" w:type="pct"/>
          </w:tcPr>
          <w:p w14:paraId="273D4706">
            <w:pPr>
              <w:jc w:val="center"/>
              <w:rPr>
                <w:rFonts w:hint="eastAsia" w:ascii="宋体" w:hAnsi="宋体" w:eastAsia="宋体" w:cs="宋体"/>
                <w:color w:val="auto"/>
                <w:szCs w:val="21"/>
              </w:rPr>
            </w:pPr>
          </w:p>
        </w:tc>
        <w:tc>
          <w:tcPr>
            <w:tcW w:w="582" w:type="pct"/>
            <w:vAlign w:val="center"/>
          </w:tcPr>
          <w:p w14:paraId="74DA6C12">
            <w:pPr>
              <w:jc w:val="center"/>
              <w:rPr>
                <w:rFonts w:hint="eastAsia" w:ascii="宋体" w:hAnsi="宋体" w:eastAsia="宋体" w:cs="宋体"/>
                <w:color w:val="auto"/>
                <w:szCs w:val="21"/>
              </w:rPr>
            </w:pPr>
          </w:p>
        </w:tc>
        <w:tc>
          <w:tcPr>
            <w:tcW w:w="699" w:type="pct"/>
          </w:tcPr>
          <w:p w14:paraId="7A70E5E6">
            <w:pPr>
              <w:jc w:val="center"/>
              <w:rPr>
                <w:rFonts w:hint="eastAsia" w:ascii="宋体" w:hAnsi="宋体" w:eastAsia="宋体" w:cs="宋体"/>
                <w:color w:val="auto"/>
                <w:szCs w:val="21"/>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hint="eastAsia" w:ascii="宋体" w:hAnsi="宋体" w:eastAsia="宋体" w:cs="宋体"/>
                <w:color w:val="auto"/>
                <w:szCs w:val="21"/>
              </w:rPr>
            </w:pPr>
          </w:p>
        </w:tc>
        <w:tc>
          <w:tcPr>
            <w:tcW w:w="653" w:type="pct"/>
            <w:vAlign w:val="center"/>
          </w:tcPr>
          <w:p w14:paraId="0C9CA726">
            <w:pPr>
              <w:jc w:val="center"/>
              <w:rPr>
                <w:rFonts w:hint="eastAsia" w:ascii="宋体" w:hAnsi="宋体" w:eastAsia="宋体" w:cs="宋体"/>
                <w:color w:val="auto"/>
                <w:szCs w:val="21"/>
              </w:rPr>
            </w:pPr>
          </w:p>
        </w:tc>
        <w:tc>
          <w:tcPr>
            <w:tcW w:w="739" w:type="pct"/>
            <w:vAlign w:val="center"/>
          </w:tcPr>
          <w:p w14:paraId="70C51E5D">
            <w:pPr>
              <w:jc w:val="center"/>
              <w:rPr>
                <w:rFonts w:hint="eastAsia" w:ascii="宋体" w:hAnsi="宋体" w:eastAsia="宋体" w:cs="宋体"/>
                <w:color w:val="auto"/>
                <w:szCs w:val="21"/>
              </w:rPr>
            </w:pPr>
          </w:p>
        </w:tc>
        <w:tc>
          <w:tcPr>
            <w:tcW w:w="1081" w:type="pct"/>
            <w:vAlign w:val="center"/>
          </w:tcPr>
          <w:p w14:paraId="552AD384">
            <w:pPr>
              <w:jc w:val="center"/>
              <w:rPr>
                <w:rFonts w:hint="eastAsia" w:ascii="宋体" w:hAnsi="宋体" w:eastAsia="宋体" w:cs="宋体"/>
                <w:color w:val="auto"/>
                <w:szCs w:val="21"/>
              </w:rPr>
            </w:pPr>
          </w:p>
        </w:tc>
        <w:tc>
          <w:tcPr>
            <w:tcW w:w="830" w:type="pct"/>
          </w:tcPr>
          <w:p w14:paraId="670140FF">
            <w:pPr>
              <w:jc w:val="center"/>
              <w:rPr>
                <w:rFonts w:hint="eastAsia" w:ascii="宋体" w:hAnsi="宋体" w:eastAsia="宋体" w:cs="宋体"/>
                <w:color w:val="auto"/>
                <w:szCs w:val="21"/>
              </w:rPr>
            </w:pPr>
          </w:p>
        </w:tc>
        <w:tc>
          <w:tcPr>
            <w:tcW w:w="582" w:type="pct"/>
            <w:vAlign w:val="center"/>
          </w:tcPr>
          <w:p w14:paraId="362772DE">
            <w:pPr>
              <w:jc w:val="center"/>
              <w:rPr>
                <w:rFonts w:hint="eastAsia" w:ascii="宋体" w:hAnsi="宋体" w:eastAsia="宋体" w:cs="宋体"/>
                <w:color w:val="auto"/>
                <w:szCs w:val="21"/>
              </w:rPr>
            </w:pPr>
          </w:p>
        </w:tc>
        <w:tc>
          <w:tcPr>
            <w:tcW w:w="699" w:type="pct"/>
          </w:tcPr>
          <w:p w14:paraId="226E8EA2">
            <w:pPr>
              <w:jc w:val="center"/>
              <w:rPr>
                <w:rFonts w:hint="eastAsia" w:ascii="宋体" w:hAnsi="宋体" w:eastAsia="宋体" w:cs="宋体"/>
                <w:color w:val="auto"/>
                <w:szCs w:val="21"/>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hint="eastAsia" w:ascii="宋体" w:hAnsi="宋体" w:eastAsia="宋体" w:cs="宋体"/>
                <w:color w:val="auto"/>
                <w:szCs w:val="21"/>
              </w:rPr>
            </w:pPr>
          </w:p>
        </w:tc>
        <w:tc>
          <w:tcPr>
            <w:tcW w:w="653" w:type="pct"/>
            <w:vAlign w:val="center"/>
          </w:tcPr>
          <w:p w14:paraId="46703EAB">
            <w:pPr>
              <w:jc w:val="center"/>
              <w:rPr>
                <w:rFonts w:hint="eastAsia" w:ascii="宋体" w:hAnsi="宋体" w:eastAsia="宋体" w:cs="宋体"/>
                <w:color w:val="auto"/>
                <w:szCs w:val="21"/>
              </w:rPr>
            </w:pPr>
          </w:p>
        </w:tc>
        <w:tc>
          <w:tcPr>
            <w:tcW w:w="739" w:type="pct"/>
            <w:vAlign w:val="center"/>
          </w:tcPr>
          <w:p w14:paraId="5B210401">
            <w:pPr>
              <w:jc w:val="center"/>
              <w:rPr>
                <w:rFonts w:hint="eastAsia" w:ascii="宋体" w:hAnsi="宋体" w:eastAsia="宋体" w:cs="宋体"/>
                <w:color w:val="auto"/>
                <w:szCs w:val="21"/>
              </w:rPr>
            </w:pPr>
          </w:p>
        </w:tc>
        <w:tc>
          <w:tcPr>
            <w:tcW w:w="1081" w:type="pct"/>
            <w:vAlign w:val="center"/>
          </w:tcPr>
          <w:p w14:paraId="1CA38B0F">
            <w:pPr>
              <w:jc w:val="center"/>
              <w:rPr>
                <w:rFonts w:hint="eastAsia" w:ascii="宋体" w:hAnsi="宋体" w:eastAsia="宋体" w:cs="宋体"/>
                <w:color w:val="auto"/>
                <w:szCs w:val="21"/>
              </w:rPr>
            </w:pPr>
          </w:p>
        </w:tc>
        <w:tc>
          <w:tcPr>
            <w:tcW w:w="830" w:type="pct"/>
          </w:tcPr>
          <w:p w14:paraId="491A791E">
            <w:pPr>
              <w:jc w:val="center"/>
              <w:rPr>
                <w:rFonts w:hint="eastAsia" w:ascii="宋体" w:hAnsi="宋体" w:eastAsia="宋体" w:cs="宋体"/>
                <w:color w:val="auto"/>
                <w:szCs w:val="21"/>
              </w:rPr>
            </w:pPr>
          </w:p>
        </w:tc>
        <w:tc>
          <w:tcPr>
            <w:tcW w:w="582" w:type="pct"/>
            <w:vAlign w:val="center"/>
          </w:tcPr>
          <w:p w14:paraId="17A5565B">
            <w:pPr>
              <w:jc w:val="center"/>
              <w:rPr>
                <w:rFonts w:hint="eastAsia" w:ascii="宋体" w:hAnsi="宋体" w:eastAsia="宋体" w:cs="宋体"/>
                <w:color w:val="auto"/>
                <w:szCs w:val="21"/>
              </w:rPr>
            </w:pPr>
          </w:p>
        </w:tc>
        <w:tc>
          <w:tcPr>
            <w:tcW w:w="699" w:type="pct"/>
          </w:tcPr>
          <w:p w14:paraId="3CEEAE76">
            <w:pPr>
              <w:jc w:val="center"/>
              <w:rPr>
                <w:rFonts w:hint="eastAsia" w:ascii="宋体" w:hAnsi="宋体" w:eastAsia="宋体" w:cs="宋体"/>
                <w:color w:val="auto"/>
                <w:szCs w:val="21"/>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hint="eastAsia" w:ascii="宋体" w:hAnsi="宋体" w:eastAsia="宋体" w:cs="宋体"/>
                <w:color w:val="auto"/>
                <w:szCs w:val="21"/>
              </w:rPr>
            </w:pPr>
          </w:p>
        </w:tc>
        <w:tc>
          <w:tcPr>
            <w:tcW w:w="653" w:type="pct"/>
            <w:vAlign w:val="center"/>
          </w:tcPr>
          <w:p w14:paraId="38F0906F">
            <w:pPr>
              <w:jc w:val="center"/>
              <w:rPr>
                <w:rFonts w:hint="eastAsia" w:ascii="宋体" w:hAnsi="宋体" w:eastAsia="宋体" w:cs="宋体"/>
                <w:color w:val="auto"/>
                <w:szCs w:val="21"/>
              </w:rPr>
            </w:pPr>
          </w:p>
        </w:tc>
        <w:tc>
          <w:tcPr>
            <w:tcW w:w="739" w:type="pct"/>
            <w:vAlign w:val="center"/>
          </w:tcPr>
          <w:p w14:paraId="7FE1C737">
            <w:pPr>
              <w:jc w:val="center"/>
              <w:rPr>
                <w:rFonts w:hint="eastAsia" w:ascii="宋体" w:hAnsi="宋体" w:eastAsia="宋体" w:cs="宋体"/>
                <w:color w:val="auto"/>
                <w:szCs w:val="21"/>
              </w:rPr>
            </w:pPr>
          </w:p>
        </w:tc>
        <w:tc>
          <w:tcPr>
            <w:tcW w:w="1081" w:type="pct"/>
            <w:vAlign w:val="center"/>
          </w:tcPr>
          <w:p w14:paraId="13A48178">
            <w:pPr>
              <w:jc w:val="center"/>
              <w:rPr>
                <w:rFonts w:hint="eastAsia" w:ascii="宋体" w:hAnsi="宋体" w:eastAsia="宋体" w:cs="宋体"/>
                <w:color w:val="auto"/>
                <w:szCs w:val="21"/>
              </w:rPr>
            </w:pPr>
          </w:p>
        </w:tc>
        <w:tc>
          <w:tcPr>
            <w:tcW w:w="830" w:type="pct"/>
          </w:tcPr>
          <w:p w14:paraId="29078F11">
            <w:pPr>
              <w:jc w:val="center"/>
              <w:rPr>
                <w:rFonts w:hint="eastAsia" w:ascii="宋体" w:hAnsi="宋体" w:eastAsia="宋体" w:cs="宋体"/>
                <w:color w:val="auto"/>
                <w:szCs w:val="21"/>
              </w:rPr>
            </w:pPr>
          </w:p>
        </w:tc>
        <w:tc>
          <w:tcPr>
            <w:tcW w:w="582" w:type="pct"/>
            <w:vAlign w:val="center"/>
          </w:tcPr>
          <w:p w14:paraId="22085B0A">
            <w:pPr>
              <w:jc w:val="center"/>
              <w:rPr>
                <w:rFonts w:hint="eastAsia" w:ascii="宋体" w:hAnsi="宋体" w:eastAsia="宋体" w:cs="宋体"/>
                <w:color w:val="auto"/>
                <w:szCs w:val="21"/>
              </w:rPr>
            </w:pPr>
          </w:p>
        </w:tc>
        <w:tc>
          <w:tcPr>
            <w:tcW w:w="699" w:type="pct"/>
          </w:tcPr>
          <w:p w14:paraId="35995CA2">
            <w:pPr>
              <w:jc w:val="center"/>
              <w:rPr>
                <w:rFonts w:hint="eastAsia" w:ascii="宋体" w:hAnsi="宋体" w:eastAsia="宋体" w:cs="宋体"/>
                <w:color w:val="auto"/>
                <w:szCs w:val="21"/>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hint="eastAsia" w:ascii="宋体" w:hAnsi="宋体" w:eastAsia="宋体" w:cs="宋体"/>
                <w:color w:val="auto"/>
                <w:szCs w:val="21"/>
              </w:rPr>
            </w:pPr>
          </w:p>
        </w:tc>
        <w:tc>
          <w:tcPr>
            <w:tcW w:w="653" w:type="pct"/>
            <w:vAlign w:val="center"/>
          </w:tcPr>
          <w:p w14:paraId="7A6C4DEC">
            <w:pPr>
              <w:jc w:val="center"/>
              <w:rPr>
                <w:rFonts w:hint="eastAsia" w:ascii="宋体" w:hAnsi="宋体" w:eastAsia="宋体" w:cs="宋体"/>
                <w:color w:val="auto"/>
                <w:szCs w:val="21"/>
              </w:rPr>
            </w:pPr>
          </w:p>
        </w:tc>
        <w:tc>
          <w:tcPr>
            <w:tcW w:w="739" w:type="pct"/>
            <w:vAlign w:val="center"/>
          </w:tcPr>
          <w:p w14:paraId="27F65C55">
            <w:pPr>
              <w:jc w:val="center"/>
              <w:rPr>
                <w:rFonts w:hint="eastAsia" w:ascii="宋体" w:hAnsi="宋体" w:eastAsia="宋体" w:cs="宋体"/>
                <w:color w:val="auto"/>
                <w:szCs w:val="21"/>
              </w:rPr>
            </w:pPr>
          </w:p>
        </w:tc>
        <w:tc>
          <w:tcPr>
            <w:tcW w:w="1081" w:type="pct"/>
            <w:vAlign w:val="center"/>
          </w:tcPr>
          <w:p w14:paraId="3140FDA0">
            <w:pPr>
              <w:widowControl/>
              <w:tabs>
                <w:tab w:val="right" w:leader="dot" w:pos="8302"/>
              </w:tabs>
              <w:jc w:val="center"/>
              <w:rPr>
                <w:rFonts w:hint="eastAsia" w:ascii="宋体" w:hAnsi="宋体" w:eastAsia="宋体" w:cs="宋体"/>
                <w:color w:val="auto"/>
                <w:kern w:val="0"/>
                <w:szCs w:val="21"/>
              </w:rPr>
            </w:pPr>
          </w:p>
        </w:tc>
        <w:tc>
          <w:tcPr>
            <w:tcW w:w="830" w:type="pct"/>
          </w:tcPr>
          <w:p w14:paraId="254EA750">
            <w:pPr>
              <w:jc w:val="center"/>
              <w:rPr>
                <w:rFonts w:hint="eastAsia" w:ascii="宋体" w:hAnsi="宋体" w:eastAsia="宋体" w:cs="宋体"/>
                <w:color w:val="auto"/>
                <w:szCs w:val="21"/>
              </w:rPr>
            </w:pPr>
          </w:p>
        </w:tc>
        <w:tc>
          <w:tcPr>
            <w:tcW w:w="582" w:type="pct"/>
            <w:vAlign w:val="center"/>
          </w:tcPr>
          <w:p w14:paraId="557566C7">
            <w:pPr>
              <w:jc w:val="center"/>
              <w:rPr>
                <w:rFonts w:hint="eastAsia" w:ascii="宋体" w:hAnsi="宋体" w:eastAsia="宋体" w:cs="宋体"/>
                <w:color w:val="auto"/>
                <w:szCs w:val="21"/>
              </w:rPr>
            </w:pPr>
          </w:p>
        </w:tc>
        <w:tc>
          <w:tcPr>
            <w:tcW w:w="699" w:type="pct"/>
          </w:tcPr>
          <w:p w14:paraId="13F4BB69">
            <w:pPr>
              <w:jc w:val="center"/>
              <w:rPr>
                <w:rFonts w:hint="eastAsia" w:ascii="宋体" w:hAnsi="宋体" w:eastAsia="宋体" w:cs="宋体"/>
                <w:color w:val="auto"/>
                <w:szCs w:val="21"/>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hint="eastAsia" w:ascii="宋体" w:hAnsi="宋体" w:eastAsia="宋体" w:cs="宋体"/>
                <w:color w:val="auto"/>
                <w:szCs w:val="21"/>
              </w:rPr>
            </w:pPr>
          </w:p>
        </w:tc>
        <w:tc>
          <w:tcPr>
            <w:tcW w:w="653" w:type="pct"/>
            <w:vAlign w:val="center"/>
          </w:tcPr>
          <w:p w14:paraId="2576C1B7">
            <w:pPr>
              <w:jc w:val="center"/>
              <w:rPr>
                <w:rFonts w:hint="eastAsia" w:ascii="宋体" w:hAnsi="宋体" w:eastAsia="宋体" w:cs="宋体"/>
                <w:color w:val="auto"/>
                <w:szCs w:val="21"/>
              </w:rPr>
            </w:pPr>
          </w:p>
        </w:tc>
        <w:tc>
          <w:tcPr>
            <w:tcW w:w="739" w:type="pct"/>
            <w:vAlign w:val="center"/>
          </w:tcPr>
          <w:p w14:paraId="57F23FBA">
            <w:pPr>
              <w:jc w:val="center"/>
              <w:rPr>
                <w:rFonts w:hint="eastAsia" w:ascii="宋体" w:hAnsi="宋体" w:eastAsia="宋体" w:cs="宋体"/>
                <w:color w:val="auto"/>
                <w:szCs w:val="21"/>
              </w:rPr>
            </w:pPr>
          </w:p>
        </w:tc>
        <w:tc>
          <w:tcPr>
            <w:tcW w:w="1081" w:type="pct"/>
            <w:vAlign w:val="center"/>
          </w:tcPr>
          <w:p w14:paraId="0383AFE5">
            <w:pPr>
              <w:widowControl/>
              <w:tabs>
                <w:tab w:val="right" w:leader="dot" w:pos="8302"/>
              </w:tabs>
              <w:jc w:val="center"/>
              <w:rPr>
                <w:rFonts w:hint="eastAsia" w:ascii="宋体" w:hAnsi="宋体" w:eastAsia="宋体" w:cs="宋体"/>
                <w:color w:val="auto"/>
                <w:kern w:val="0"/>
                <w:szCs w:val="21"/>
              </w:rPr>
            </w:pPr>
          </w:p>
        </w:tc>
        <w:tc>
          <w:tcPr>
            <w:tcW w:w="830" w:type="pct"/>
          </w:tcPr>
          <w:p w14:paraId="6DFF9830">
            <w:pPr>
              <w:jc w:val="center"/>
              <w:rPr>
                <w:rFonts w:hint="eastAsia" w:ascii="宋体" w:hAnsi="宋体" w:eastAsia="宋体" w:cs="宋体"/>
                <w:color w:val="auto"/>
                <w:szCs w:val="21"/>
              </w:rPr>
            </w:pPr>
          </w:p>
        </w:tc>
        <w:tc>
          <w:tcPr>
            <w:tcW w:w="582" w:type="pct"/>
            <w:vAlign w:val="center"/>
          </w:tcPr>
          <w:p w14:paraId="017E6BE4">
            <w:pPr>
              <w:jc w:val="center"/>
              <w:rPr>
                <w:rFonts w:hint="eastAsia" w:ascii="宋体" w:hAnsi="宋体" w:eastAsia="宋体" w:cs="宋体"/>
                <w:color w:val="auto"/>
                <w:szCs w:val="21"/>
              </w:rPr>
            </w:pPr>
          </w:p>
        </w:tc>
        <w:tc>
          <w:tcPr>
            <w:tcW w:w="699" w:type="pct"/>
          </w:tcPr>
          <w:p w14:paraId="69FDC671">
            <w:pPr>
              <w:jc w:val="center"/>
              <w:rPr>
                <w:rFonts w:hint="eastAsia" w:ascii="宋体" w:hAnsi="宋体" w:eastAsia="宋体" w:cs="宋体"/>
                <w:color w:val="auto"/>
                <w:szCs w:val="21"/>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hint="eastAsia" w:ascii="宋体" w:hAnsi="宋体" w:eastAsia="宋体" w:cs="宋体"/>
                <w:color w:val="auto"/>
                <w:szCs w:val="21"/>
              </w:rPr>
            </w:pPr>
          </w:p>
        </w:tc>
        <w:tc>
          <w:tcPr>
            <w:tcW w:w="653" w:type="pct"/>
            <w:vAlign w:val="center"/>
          </w:tcPr>
          <w:p w14:paraId="6766E312">
            <w:pPr>
              <w:jc w:val="center"/>
              <w:rPr>
                <w:rFonts w:hint="eastAsia" w:ascii="宋体" w:hAnsi="宋体" w:eastAsia="宋体" w:cs="宋体"/>
                <w:color w:val="auto"/>
                <w:szCs w:val="21"/>
              </w:rPr>
            </w:pPr>
          </w:p>
        </w:tc>
        <w:tc>
          <w:tcPr>
            <w:tcW w:w="739" w:type="pct"/>
            <w:vAlign w:val="center"/>
          </w:tcPr>
          <w:p w14:paraId="712229AA">
            <w:pPr>
              <w:jc w:val="center"/>
              <w:rPr>
                <w:rFonts w:hint="eastAsia" w:ascii="宋体" w:hAnsi="宋体" w:eastAsia="宋体" w:cs="宋体"/>
                <w:color w:val="auto"/>
                <w:szCs w:val="21"/>
              </w:rPr>
            </w:pPr>
          </w:p>
        </w:tc>
        <w:tc>
          <w:tcPr>
            <w:tcW w:w="1081" w:type="pct"/>
            <w:vAlign w:val="center"/>
          </w:tcPr>
          <w:p w14:paraId="46A54FD3">
            <w:pPr>
              <w:jc w:val="center"/>
              <w:rPr>
                <w:rFonts w:hint="eastAsia" w:ascii="宋体" w:hAnsi="宋体" w:eastAsia="宋体" w:cs="宋体"/>
                <w:color w:val="auto"/>
                <w:szCs w:val="21"/>
              </w:rPr>
            </w:pPr>
          </w:p>
        </w:tc>
        <w:tc>
          <w:tcPr>
            <w:tcW w:w="830" w:type="pct"/>
          </w:tcPr>
          <w:p w14:paraId="4EF42F3D">
            <w:pPr>
              <w:jc w:val="center"/>
              <w:rPr>
                <w:rFonts w:hint="eastAsia" w:ascii="宋体" w:hAnsi="宋体" w:eastAsia="宋体" w:cs="宋体"/>
                <w:color w:val="auto"/>
                <w:szCs w:val="21"/>
              </w:rPr>
            </w:pPr>
          </w:p>
        </w:tc>
        <w:tc>
          <w:tcPr>
            <w:tcW w:w="582" w:type="pct"/>
            <w:vAlign w:val="center"/>
          </w:tcPr>
          <w:p w14:paraId="08C50BFC">
            <w:pPr>
              <w:jc w:val="center"/>
              <w:rPr>
                <w:rFonts w:hint="eastAsia" w:ascii="宋体" w:hAnsi="宋体" w:eastAsia="宋体" w:cs="宋体"/>
                <w:color w:val="auto"/>
                <w:szCs w:val="21"/>
              </w:rPr>
            </w:pPr>
          </w:p>
        </w:tc>
        <w:tc>
          <w:tcPr>
            <w:tcW w:w="699" w:type="pct"/>
          </w:tcPr>
          <w:p w14:paraId="0A696757">
            <w:pPr>
              <w:jc w:val="center"/>
              <w:rPr>
                <w:rFonts w:hint="eastAsia" w:ascii="宋体" w:hAnsi="宋体" w:eastAsia="宋体" w:cs="宋体"/>
                <w:color w:val="auto"/>
                <w:szCs w:val="21"/>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hint="eastAsia" w:ascii="宋体" w:hAnsi="宋体" w:eastAsia="宋体" w:cs="宋体"/>
                <w:color w:val="auto"/>
                <w:szCs w:val="21"/>
              </w:rPr>
            </w:pPr>
          </w:p>
        </w:tc>
        <w:tc>
          <w:tcPr>
            <w:tcW w:w="653" w:type="pct"/>
            <w:vAlign w:val="center"/>
          </w:tcPr>
          <w:p w14:paraId="76F5D1F9">
            <w:pPr>
              <w:jc w:val="center"/>
              <w:rPr>
                <w:rFonts w:hint="eastAsia" w:ascii="宋体" w:hAnsi="宋体" w:eastAsia="宋体" w:cs="宋体"/>
                <w:color w:val="auto"/>
                <w:szCs w:val="21"/>
              </w:rPr>
            </w:pPr>
          </w:p>
        </w:tc>
        <w:tc>
          <w:tcPr>
            <w:tcW w:w="739" w:type="pct"/>
            <w:vAlign w:val="center"/>
          </w:tcPr>
          <w:p w14:paraId="4F852F46">
            <w:pPr>
              <w:jc w:val="center"/>
              <w:rPr>
                <w:rFonts w:hint="eastAsia" w:ascii="宋体" w:hAnsi="宋体" w:eastAsia="宋体" w:cs="宋体"/>
                <w:color w:val="auto"/>
                <w:szCs w:val="21"/>
              </w:rPr>
            </w:pPr>
          </w:p>
        </w:tc>
        <w:tc>
          <w:tcPr>
            <w:tcW w:w="1081" w:type="pct"/>
            <w:vAlign w:val="center"/>
          </w:tcPr>
          <w:p w14:paraId="437366F9">
            <w:pPr>
              <w:jc w:val="center"/>
              <w:rPr>
                <w:rFonts w:hint="eastAsia" w:ascii="宋体" w:hAnsi="宋体" w:eastAsia="宋体" w:cs="宋体"/>
                <w:color w:val="auto"/>
                <w:szCs w:val="21"/>
              </w:rPr>
            </w:pPr>
          </w:p>
        </w:tc>
        <w:tc>
          <w:tcPr>
            <w:tcW w:w="830" w:type="pct"/>
          </w:tcPr>
          <w:p w14:paraId="3D42306E">
            <w:pPr>
              <w:jc w:val="center"/>
              <w:rPr>
                <w:rFonts w:hint="eastAsia" w:ascii="宋体" w:hAnsi="宋体" w:eastAsia="宋体" w:cs="宋体"/>
                <w:color w:val="auto"/>
                <w:szCs w:val="21"/>
              </w:rPr>
            </w:pPr>
          </w:p>
        </w:tc>
        <w:tc>
          <w:tcPr>
            <w:tcW w:w="582" w:type="pct"/>
            <w:vAlign w:val="center"/>
          </w:tcPr>
          <w:p w14:paraId="2F48BADD">
            <w:pPr>
              <w:jc w:val="center"/>
              <w:rPr>
                <w:rFonts w:hint="eastAsia" w:ascii="宋体" w:hAnsi="宋体" w:eastAsia="宋体" w:cs="宋体"/>
                <w:color w:val="auto"/>
                <w:szCs w:val="21"/>
              </w:rPr>
            </w:pPr>
          </w:p>
        </w:tc>
        <w:tc>
          <w:tcPr>
            <w:tcW w:w="699" w:type="pct"/>
          </w:tcPr>
          <w:p w14:paraId="14356E07">
            <w:pPr>
              <w:jc w:val="center"/>
              <w:rPr>
                <w:rFonts w:hint="eastAsia" w:ascii="宋体" w:hAnsi="宋体" w:eastAsia="宋体" w:cs="宋体"/>
                <w:color w:val="auto"/>
                <w:szCs w:val="21"/>
              </w:rPr>
            </w:pPr>
          </w:p>
        </w:tc>
      </w:tr>
    </w:tbl>
    <w:p w14:paraId="585052B7">
      <w:pPr>
        <w:spacing w:line="360" w:lineRule="auto"/>
        <w:rPr>
          <w:rFonts w:hint="eastAsia" w:ascii="宋体" w:hAnsi="宋体" w:eastAsia="宋体" w:cs="宋体"/>
          <w:color w:val="auto"/>
        </w:rPr>
      </w:pPr>
    </w:p>
    <w:p w14:paraId="16EB79CC">
      <w:pPr>
        <w:widowControl/>
        <w:spacing w:before="870" w:beforeLines="200" w:line="300" w:lineRule="auto"/>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62AC528F">
      <w:pPr>
        <w:widowControl/>
        <w:spacing w:line="300" w:lineRule="auto"/>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1C820B74">
      <w:pPr>
        <w:spacing w:line="360" w:lineRule="auto"/>
        <w:rPr>
          <w:rFonts w:hint="eastAsia" w:ascii="宋体" w:hAnsi="宋体" w:eastAsia="宋体" w:cs="宋体"/>
          <w:color w:val="auto"/>
        </w:rPr>
      </w:pPr>
    </w:p>
    <w:p w14:paraId="6C399DC8">
      <w:pPr>
        <w:pageBreakBefore/>
        <w:rPr>
          <w:rFonts w:hint="eastAsia" w:ascii="宋体" w:hAnsi="宋体" w:eastAsia="宋体" w:cs="宋体"/>
          <w:b/>
          <w:bCs/>
          <w:color w:val="auto"/>
        </w:rPr>
      </w:pPr>
      <w:r>
        <w:rPr>
          <w:rFonts w:hint="eastAsia" w:ascii="宋体" w:hAnsi="宋体" w:eastAsia="宋体" w:cs="宋体"/>
          <w:b/>
          <w:bCs/>
          <w:color w:val="auto"/>
          <w:sz w:val="24"/>
          <w:szCs w:val="28"/>
        </w:rPr>
        <w:t>格式十</w:t>
      </w:r>
      <w:r>
        <w:rPr>
          <w:rFonts w:hint="eastAsia" w:ascii="宋体" w:hAnsi="宋体" w:eastAsia="宋体" w:cs="宋体"/>
          <w:b/>
          <w:bCs/>
          <w:color w:val="auto"/>
          <w:sz w:val="24"/>
          <w:szCs w:val="28"/>
          <w:lang w:val="en-US" w:eastAsia="zh-CN"/>
        </w:rPr>
        <w:t>无</w:t>
      </w:r>
      <w:r>
        <w:rPr>
          <w:rFonts w:hint="eastAsia" w:ascii="宋体" w:hAnsi="宋体" w:eastAsia="宋体" w:cs="宋体"/>
          <w:b/>
          <w:bCs/>
          <w:color w:val="auto"/>
          <w:sz w:val="24"/>
          <w:szCs w:val="28"/>
        </w:rPr>
        <w:t>：</w:t>
      </w:r>
    </w:p>
    <w:p w14:paraId="7966E96E">
      <w:pPr>
        <w:spacing w:after="217" w:afterLines="50" w:line="360" w:lineRule="auto"/>
        <w:jc w:val="center"/>
        <w:rPr>
          <w:rFonts w:hint="eastAsia" w:ascii="宋体" w:hAnsi="宋体" w:eastAsia="宋体" w:cs="宋体"/>
          <w:b/>
          <w:color w:val="auto"/>
          <w:sz w:val="28"/>
          <w:szCs w:val="28"/>
        </w:rPr>
      </w:pPr>
      <w:r>
        <w:rPr>
          <w:rFonts w:hint="eastAsia" w:ascii="宋体" w:hAnsi="宋体" w:eastAsia="宋体" w:cs="宋体"/>
          <w:b/>
          <w:color w:val="auto"/>
          <w:sz w:val="32"/>
          <w:szCs w:val="32"/>
        </w:rPr>
        <w:t>项目负责人简历表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hint="eastAsia" w:ascii="宋体" w:hAnsi="宋体" w:eastAsia="宋体" w:cs="宋体"/>
                <w:color w:val="auto"/>
                <w:szCs w:val="21"/>
              </w:rPr>
            </w:pPr>
            <w:r>
              <w:rPr>
                <w:rFonts w:hint="eastAsia" w:ascii="宋体" w:hAnsi="宋体" w:eastAsia="宋体" w:cs="宋体"/>
                <w:color w:val="auto"/>
                <w:szCs w:val="21"/>
              </w:rPr>
              <w:t>姓名</w:t>
            </w:r>
          </w:p>
        </w:tc>
        <w:tc>
          <w:tcPr>
            <w:tcW w:w="1493" w:type="pct"/>
            <w:gridSpan w:val="4"/>
            <w:vAlign w:val="center"/>
          </w:tcPr>
          <w:p w14:paraId="75907632">
            <w:pPr>
              <w:jc w:val="center"/>
              <w:rPr>
                <w:rFonts w:hint="eastAsia" w:ascii="宋体" w:hAnsi="宋体" w:eastAsia="宋体" w:cs="宋体"/>
                <w:color w:val="auto"/>
                <w:szCs w:val="21"/>
              </w:rPr>
            </w:pPr>
          </w:p>
        </w:tc>
        <w:tc>
          <w:tcPr>
            <w:tcW w:w="480" w:type="pct"/>
            <w:vAlign w:val="center"/>
          </w:tcPr>
          <w:p w14:paraId="42134CA2">
            <w:pPr>
              <w:jc w:val="center"/>
              <w:rPr>
                <w:rFonts w:hint="eastAsia" w:ascii="宋体" w:hAnsi="宋体" w:eastAsia="宋体" w:cs="宋体"/>
                <w:color w:val="auto"/>
                <w:szCs w:val="21"/>
              </w:rPr>
            </w:pPr>
            <w:r>
              <w:rPr>
                <w:rFonts w:hint="eastAsia" w:ascii="宋体" w:hAnsi="宋体" w:eastAsia="宋体" w:cs="宋体"/>
                <w:color w:val="auto"/>
                <w:szCs w:val="21"/>
              </w:rPr>
              <w:t>性别</w:t>
            </w:r>
          </w:p>
        </w:tc>
        <w:tc>
          <w:tcPr>
            <w:tcW w:w="962" w:type="pct"/>
            <w:gridSpan w:val="3"/>
            <w:vAlign w:val="center"/>
          </w:tcPr>
          <w:p w14:paraId="796FAF0D">
            <w:pPr>
              <w:jc w:val="center"/>
              <w:rPr>
                <w:rFonts w:hint="eastAsia" w:ascii="宋体" w:hAnsi="宋体" w:eastAsia="宋体" w:cs="宋体"/>
                <w:color w:val="auto"/>
                <w:szCs w:val="21"/>
              </w:rPr>
            </w:pPr>
          </w:p>
        </w:tc>
        <w:tc>
          <w:tcPr>
            <w:tcW w:w="617" w:type="pct"/>
            <w:gridSpan w:val="2"/>
            <w:vAlign w:val="center"/>
          </w:tcPr>
          <w:p w14:paraId="4C9B7B82">
            <w:pPr>
              <w:jc w:val="center"/>
              <w:rPr>
                <w:rFonts w:hint="eastAsia" w:ascii="宋体" w:hAnsi="宋体" w:eastAsia="宋体" w:cs="宋体"/>
                <w:color w:val="auto"/>
                <w:szCs w:val="21"/>
              </w:rPr>
            </w:pPr>
            <w:r>
              <w:rPr>
                <w:rFonts w:hint="eastAsia" w:ascii="宋体" w:hAnsi="宋体" w:eastAsia="宋体" w:cs="宋体"/>
                <w:color w:val="auto"/>
                <w:szCs w:val="21"/>
              </w:rPr>
              <w:t>年龄</w:t>
            </w:r>
          </w:p>
        </w:tc>
        <w:tc>
          <w:tcPr>
            <w:tcW w:w="1030" w:type="pct"/>
            <w:gridSpan w:val="2"/>
            <w:vAlign w:val="center"/>
          </w:tcPr>
          <w:p w14:paraId="03DE18C0">
            <w:pPr>
              <w:jc w:val="center"/>
              <w:rPr>
                <w:rFonts w:hint="eastAsia" w:ascii="宋体" w:hAnsi="宋体" w:eastAsia="宋体" w:cs="宋体"/>
                <w:color w:val="auto"/>
                <w:szCs w:val="21"/>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hint="eastAsia" w:ascii="宋体" w:hAnsi="宋体" w:eastAsia="宋体" w:cs="宋体"/>
                <w:color w:val="auto"/>
                <w:szCs w:val="21"/>
              </w:rPr>
            </w:pPr>
            <w:r>
              <w:rPr>
                <w:rFonts w:hint="eastAsia" w:ascii="宋体" w:hAnsi="宋体" w:eastAsia="宋体" w:cs="宋体"/>
                <w:color w:val="auto"/>
                <w:szCs w:val="21"/>
              </w:rPr>
              <w:t>职务</w:t>
            </w:r>
          </w:p>
        </w:tc>
        <w:tc>
          <w:tcPr>
            <w:tcW w:w="1493" w:type="pct"/>
            <w:gridSpan w:val="4"/>
            <w:vAlign w:val="center"/>
          </w:tcPr>
          <w:p w14:paraId="10FA0FF9">
            <w:pPr>
              <w:jc w:val="center"/>
              <w:rPr>
                <w:rFonts w:hint="eastAsia" w:ascii="宋体" w:hAnsi="宋体" w:eastAsia="宋体" w:cs="宋体"/>
                <w:color w:val="auto"/>
                <w:szCs w:val="21"/>
              </w:rPr>
            </w:pPr>
          </w:p>
        </w:tc>
        <w:tc>
          <w:tcPr>
            <w:tcW w:w="480" w:type="pct"/>
            <w:vAlign w:val="center"/>
          </w:tcPr>
          <w:p w14:paraId="6443894A">
            <w:pPr>
              <w:jc w:val="center"/>
              <w:rPr>
                <w:rFonts w:hint="eastAsia" w:ascii="宋体" w:hAnsi="宋体" w:eastAsia="宋体" w:cs="宋体"/>
                <w:color w:val="auto"/>
                <w:szCs w:val="21"/>
              </w:rPr>
            </w:pPr>
            <w:r>
              <w:rPr>
                <w:rFonts w:hint="eastAsia" w:ascii="宋体" w:hAnsi="宋体" w:eastAsia="宋体" w:cs="宋体"/>
                <w:color w:val="auto"/>
                <w:szCs w:val="21"/>
              </w:rPr>
              <w:t>职称</w:t>
            </w:r>
          </w:p>
        </w:tc>
        <w:tc>
          <w:tcPr>
            <w:tcW w:w="962" w:type="pct"/>
            <w:gridSpan w:val="3"/>
            <w:vAlign w:val="center"/>
          </w:tcPr>
          <w:p w14:paraId="0DF6C0D1">
            <w:pPr>
              <w:jc w:val="center"/>
              <w:rPr>
                <w:rFonts w:hint="eastAsia" w:ascii="宋体" w:hAnsi="宋体" w:eastAsia="宋体" w:cs="宋体"/>
                <w:color w:val="auto"/>
                <w:szCs w:val="21"/>
              </w:rPr>
            </w:pPr>
          </w:p>
        </w:tc>
        <w:tc>
          <w:tcPr>
            <w:tcW w:w="617" w:type="pct"/>
            <w:gridSpan w:val="2"/>
            <w:vAlign w:val="center"/>
          </w:tcPr>
          <w:p w14:paraId="4E4FB8BD">
            <w:pPr>
              <w:jc w:val="center"/>
              <w:rPr>
                <w:rFonts w:hint="eastAsia" w:ascii="宋体" w:hAnsi="宋体" w:eastAsia="宋体" w:cs="宋体"/>
                <w:color w:val="auto"/>
                <w:szCs w:val="21"/>
              </w:rPr>
            </w:pPr>
            <w:r>
              <w:rPr>
                <w:rFonts w:hint="eastAsia" w:ascii="宋体" w:hAnsi="宋体" w:eastAsia="宋体" w:cs="宋体"/>
                <w:color w:val="auto"/>
                <w:szCs w:val="21"/>
              </w:rPr>
              <w:t>学历</w:t>
            </w:r>
          </w:p>
        </w:tc>
        <w:tc>
          <w:tcPr>
            <w:tcW w:w="1030" w:type="pct"/>
            <w:gridSpan w:val="2"/>
            <w:vAlign w:val="center"/>
          </w:tcPr>
          <w:p w14:paraId="636F07F2">
            <w:pPr>
              <w:jc w:val="center"/>
              <w:rPr>
                <w:rFonts w:hint="eastAsia" w:ascii="宋体" w:hAnsi="宋体" w:eastAsia="宋体" w:cs="宋体"/>
                <w:color w:val="auto"/>
                <w:szCs w:val="21"/>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hint="eastAsia" w:ascii="宋体" w:hAnsi="宋体" w:eastAsia="宋体" w:cs="宋体"/>
                <w:color w:val="auto"/>
                <w:szCs w:val="21"/>
              </w:rPr>
            </w:pPr>
            <w:r>
              <w:rPr>
                <w:rFonts w:hint="eastAsia" w:ascii="宋体" w:hAnsi="宋体" w:eastAsia="宋体" w:cs="宋体"/>
                <w:color w:val="auto"/>
                <w:szCs w:val="21"/>
              </w:rPr>
              <w:t>参加工作时间</w:t>
            </w:r>
          </w:p>
        </w:tc>
        <w:tc>
          <w:tcPr>
            <w:tcW w:w="1081" w:type="pct"/>
            <w:gridSpan w:val="4"/>
            <w:vAlign w:val="center"/>
          </w:tcPr>
          <w:p w14:paraId="5012BB6D">
            <w:pPr>
              <w:jc w:val="center"/>
              <w:rPr>
                <w:rFonts w:hint="eastAsia" w:ascii="宋体" w:hAnsi="宋体" w:eastAsia="宋体" w:cs="宋体"/>
                <w:color w:val="auto"/>
                <w:szCs w:val="21"/>
              </w:rPr>
            </w:pPr>
          </w:p>
        </w:tc>
        <w:tc>
          <w:tcPr>
            <w:tcW w:w="1502" w:type="pct"/>
            <w:gridSpan w:val="5"/>
            <w:vAlign w:val="center"/>
          </w:tcPr>
          <w:p w14:paraId="79AD2E2B">
            <w:pPr>
              <w:jc w:val="center"/>
              <w:rPr>
                <w:rFonts w:hint="eastAsia" w:ascii="宋体" w:hAnsi="宋体" w:eastAsia="宋体" w:cs="宋体"/>
                <w:color w:val="auto"/>
                <w:szCs w:val="21"/>
              </w:rPr>
            </w:pPr>
            <w:r>
              <w:rPr>
                <w:rFonts w:hint="eastAsia" w:ascii="宋体" w:hAnsi="宋体" w:eastAsia="宋体" w:cs="宋体"/>
                <w:color w:val="auto"/>
                <w:szCs w:val="21"/>
              </w:rPr>
              <w:t>相关经验年限</w:t>
            </w:r>
          </w:p>
        </w:tc>
        <w:tc>
          <w:tcPr>
            <w:tcW w:w="796" w:type="pct"/>
            <w:vAlign w:val="center"/>
          </w:tcPr>
          <w:p w14:paraId="03D12534">
            <w:pPr>
              <w:jc w:val="center"/>
              <w:rPr>
                <w:rFonts w:hint="eastAsia" w:ascii="宋体" w:hAnsi="宋体" w:eastAsia="宋体" w:cs="宋体"/>
                <w:color w:val="auto"/>
                <w:szCs w:val="21"/>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hint="eastAsia" w:ascii="宋体" w:hAnsi="宋体" w:eastAsia="宋体" w:cs="宋体"/>
                <w:color w:val="auto"/>
                <w:szCs w:val="21"/>
              </w:rPr>
            </w:pPr>
            <w:r>
              <w:rPr>
                <w:rFonts w:hint="eastAsia" w:ascii="宋体" w:hAnsi="宋体" w:eastAsia="宋体" w:cs="宋体"/>
                <w:color w:val="auto"/>
                <w:szCs w:val="21"/>
              </w:rPr>
              <w:t>资格证书名称、编号</w:t>
            </w:r>
          </w:p>
        </w:tc>
        <w:tc>
          <w:tcPr>
            <w:tcW w:w="3379" w:type="pct"/>
            <w:gridSpan w:val="10"/>
            <w:vAlign w:val="center"/>
          </w:tcPr>
          <w:p w14:paraId="13D9E3A1">
            <w:pPr>
              <w:jc w:val="center"/>
              <w:rPr>
                <w:rFonts w:hint="eastAsia" w:ascii="宋体" w:hAnsi="宋体" w:eastAsia="宋体" w:cs="宋体"/>
                <w:color w:val="auto"/>
                <w:szCs w:val="21"/>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hint="eastAsia" w:ascii="宋体" w:hAnsi="宋体" w:eastAsia="宋体" w:cs="宋体"/>
                <w:color w:val="auto"/>
                <w:szCs w:val="21"/>
              </w:rPr>
            </w:pPr>
            <w:r>
              <w:rPr>
                <w:rFonts w:hint="eastAsia" w:ascii="宋体" w:hAnsi="宋体" w:eastAsia="宋体" w:cs="宋体"/>
                <w:color w:val="auto"/>
                <w:szCs w:val="21"/>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hint="eastAsia" w:ascii="宋体" w:hAnsi="宋体" w:eastAsia="宋体" w:cs="宋体"/>
                <w:color w:val="auto"/>
                <w:szCs w:val="21"/>
              </w:rPr>
            </w:pPr>
            <w:r>
              <w:rPr>
                <w:rFonts w:hint="eastAsia" w:ascii="宋体" w:hAnsi="宋体" w:eastAsia="宋体" w:cs="宋体"/>
                <w:color w:val="auto"/>
                <w:szCs w:val="21"/>
              </w:rPr>
              <w:t>采购人</w:t>
            </w:r>
          </w:p>
        </w:tc>
        <w:tc>
          <w:tcPr>
            <w:tcW w:w="962" w:type="pct"/>
            <w:gridSpan w:val="2"/>
            <w:vAlign w:val="center"/>
          </w:tcPr>
          <w:p w14:paraId="1917148B">
            <w:pPr>
              <w:jc w:val="center"/>
              <w:rPr>
                <w:rFonts w:hint="eastAsia" w:ascii="宋体" w:hAnsi="宋体" w:eastAsia="宋体" w:cs="宋体"/>
                <w:color w:val="auto"/>
                <w:szCs w:val="21"/>
              </w:rPr>
            </w:pPr>
            <w:r>
              <w:rPr>
                <w:rFonts w:hint="eastAsia" w:ascii="宋体" w:hAnsi="宋体" w:eastAsia="宋体" w:cs="宋体"/>
                <w:color w:val="auto"/>
                <w:szCs w:val="21"/>
              </w:rPr>
              <w:t>项目名称</w:t>
            </w:r>
          </w:p>
        </w:tc>
        <w:tc>
          <w:tcPr>
            <w:tcW w:w="903" w:type="pct"/>
            <w:gridSpan w:val="4"/>
            <w:vAlign w:val="center"/>
          </w:tcPr>
          <w:p w14:paraId="257BC801">
            <w:pPr>
              <w:jc w:val="center"/>
              <w:rPr>
                <w:rFonts w:hint="eastAsia" w:ascii="宋体" w:hAnsi="宋体" w:eastAsia="宋体" w:cs="宋体"/>
                <w:color w:val="auto"/>
                <w:szCs w:val="21"/>
              </w:rPr>
            </w:pPr>
            <w:r>
              <w:rPr>
                <w:rFonts w:hint="eastAsia" w:ascii="宋体" w:hAnsi="宋体" w:eastAsia="宋体" w:cs="宋体"/>
                <w:color w:val="auto"/>
                <w:szCs w:val="21"/>
              </w:rPr>
              <w:t>项目规模</w:t>
            </w:r>
          </w:p>
        </w:tc>
        <w:tc>
          <w:tcPr>
            <w:tcW w:w="892" w:type="pct"/>
            <w:gridSpan w:val="2"/>
            <w:vAlign w:val="center"/>
          </w:tcPr>
          <w:p w14:paraId="18B487FC">
            <w:pPr>
              <w:jc w:val="center"/>
              <w:rPr>
                <w:rFonts w:hint="eastAsia" w:ascii="宋体" w:hAnsi="宋体" w:eastAsia="宋体" w:cs="宋体"/>
                <w:color w:val="auto"/>
                <w:szCs w:val="21"/>
              </w:rPr>
            </w:pPr>
            <w:r>
              <w:rPr>
                <w:rFonts w:hint="eastAsia" w:ascii="宋体" w:hAnsi="宋体" w:eastAsia="宋体" w:cs="宋体"/>
                <w:color w:val="auto"/>
                <w:szCs w:val="21"/>
              </w:rPr>
              <w:t>所任职务</w:t>
            </w:r>
          </w:p>
        </w:tc>
        <w:tc>
          <w:tcPr>
            <w:tcW w:w="1399" w:type="pct"/>
            <w:gridSpan w:val="3"/>
            <w:vAlign w:val="center"/>
          </w:tcPr>
          <w:p w14:paraId="60D19C2C">
            <w:pPr>
              <w:jc w:val="center"/>
              <w:rPr>
                <w:rFonts w:hint="eastAsia" w:ascii="宋体" w:hAnsi="宋体" w:eastAsia="宋体" w:cs="宋体"/>
                <w:color w:val="auto"/>
                <w:szCs w:val="21"/>
              </w:rPr>
            </w:pPr>
            <w:r>
              <w:rPr>
                <w:rFonts w:hint="eastAsia" w:ascii="宋体" w:hAnsi="宋体" w:eastAsia="宋体" w:cs="宋体"/>
                <w:color w:val="auto"/>
                <w:szCs w:val="21"/>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hint="eastAsia" w:ascii="宋体" w:hAnsi="宋体" w:eastAsia="宋体" w:cs="宋体"/>
                <w:color w:val="auto"/>
                <w:szCs w:val="21"/>
              </w:rPr>
            </w:pPr>
          </w:p>
        </w:tc>
        <w:tc>
          <w:tcPr>
            <w:tcW w:w="962" w:type="pct"/>
            <w:gridSpan w:val="2"/>
            <w:vAlign w:val="center"/>
          </w:tcPr>
          <w:p w14:paraId="59D4CC7B">
            <w:pPr>
              <w:jc w:val="center"/>
              <w:rPr>
                <w:rFonts w:hint="eastAsia" w:ascii="宋体" w:hAnsi="宋体" w:eastAsia="宋体" w:cs="宋体"/>
                <w:color w:val="auto"/>
                <w:szCs w:val="21"/>
              </w:rPr>
            </w:pPr>
          </w:p>
        </w:tc>
        <w:tc>
          <w:tcPr>
            <w:tcW w:w="903" w:type="pct"/>
            <w:gridSpan w:val="4"/>
            <w:vAlign w:val="center"/>
          </w:tcPr>
          <w:p w14:paraId="53B57B73">
            <w:pPr>
              <w:jc w:val="center"/>
              <w:rPr>
                <w:rFonts w:hint="eastAsia" w:ascii="宋体" w:hAnsi="宋体" w:eastAsia="宋体" w:cs="宋体"/>
                <w:color w:val="auto"/>
                <w:szCs w:val="21"/>
              </w:rPr>
            </w:pPr>
          </w:p>
        </w:tc>
        <w:tc>
          <w:tcPr>
            <w:tcW w:w="892" w:type="pct"/>
            <w:gridSpan w:val="2"/>
            <w:vAlign w:val="center"/>
          </w:tcPr>
          <w:p w14:paraId="744DD2C6">
            <w:pPr>
              <w:jc w:val="center"/>
              <w:rPr>
                <w:rFonts w:hint="eastAsia" w:ascii="宋体" w:hAnsi="宋体" w:eastAsia="宋体" w:cs="宋体"/>
                <w:color w:val="auto"/>
                <w:szCs w:val="21"/>
              </w:rPr>
            </w:pPr>
          </w:p>
        </w:tc>
        <w:tc>
          <w:tcPr>
            <w:tcW w:w="1399" w:type="pct"/>
            <w:gridSpan w:val="3"/>
            <w:vAlign w:val="center"/>
          </w:tcPr>
          <w:p w14:paraId="689BFAA0">
            <w:pPr>
              <w:jc w:val="center"/>
              <w:rPr>
                <w:rFonts w:hint="eastAsia" w:ascii="宋体" w:hAnsi="宋体" w:eastAsia="宋体" w:cs="宋体"/>
                <w:color w:val="auto"/>
                <w:szCs w:val="21"/>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hint="eastAsia" w:ascii="宋体" w:hAnsi="宋体" w:eastAsia="宋体" w:cs="宋体"/>
                <w:color w:val="auto"/>
                <w:szCs w:val="21"/>
              </w:rPr>
            </w:pPr>
          </w:p>
        </w:tc>
        <w:tc>
          <w:tcPr>
            <w:tcW w:w="962" w:type="pct"/>
            <w:gridSpan w:val="2"/>
            <w:vAlign w:val="center"/>
          </w:tcPr>
          <w:p w14:paraId="63B2D052">
            <w:pPr>
              <w:jc w:val="center"/>
              <w:rPr>
                <w:rFonts w:hint="eastAsia" w:ascii="宋体" w:hAnsi="宋体" w:eastAsia="宋体" w:cs="宋体"/>
                <w:color w:val="auto"/>
                <w:szCs w:val="21"/>
              </w:rPr>
            </w:pPr>
          </w:p>
        </w:tc>
        <w:tc>
          <w:tcPr>
            <w:tcW w:w="903" w:type="pct"/>
            <w:gridSpan w:val="4"/>
            <w:vAlign w:val="center"/>
          </w:tcPr>
          <w:p w14:paraId="5DEEB8CC">
            <w:pPr>
              <w:jc w:val="center"/>
              <w:rPr>
                <w:rFonts w:hint="eastAsia" w:ascii="宋体" w:hAnsi="宋体" w:eastAsia="宋体" w:cs="宋体"/>
                <w:color w:val="auto"/>
                <w:szCs w:val="21"/>
              </w:rPr>
            </w:pPr>
          </w:p>
        </w:tc>
        <w:tc>
          <w:tcPr>
            <w:tcW w:w="892" w:type="pct"/>
            <w:gridSpan w:val="2"/>
            <w:vAlign w:val="center"/>
          </w:tcPr>
          <w:p w14:paraId="2A34503D">
            <w:pPr>
              <w:jc w:val="center"/>
              <w:rPr>
                <w:rFonts w:hint="eastAsia" w:ascii="宋体" w:hAnsi="宋体" w:eastAsia="宋体" w:cs="宋体"/>
                <w:color w:val="auto"/>
                <w:szCs w:val="21"/>
              </w:rPr>
            </w:pPr>
          </w:p>
        </w:tc>
        <w:tc>
          <w:tcPr>
            <w:tcW w:w="1399" w:type="pct"/>
            <w:gridSpan w:val="3"/>
            <w:vAlign w:val="center"/>
          </w:tcPr>
          <w:p w14:paraId="33F6FDBE">
            <w:pPr>
              <w:jc w:val="center"/>
              <w:rPr>
                <w:rFonts w:hint="eastAsia" w:ascii="宋体" w:hAnsi="宋体" w:eastAsia="宋体" w:cs="宋体"/>
                <w:color w:val="auto"/>
                <w:szCs w:val="21"/>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hint="eastAsia" w:ascii="宋体" w:hAnsi="宋体" w:eastAsia="宋体" w:cs="宋体"/>
                <w:color w:val="auto"/>
                <w:szCs w:val="21"/>
              </w:rPr>
            </w:pPr>
          </w:p>
        </w:tc>
        <w:tc>
          <w:tcPr>
            <w:tcW w:w="962" w:type="pct"/>
            <w:gridSpan w:val="2"/>
            <w:vAlign w:val="center"/>
          </w:tcPr>
          <w:p w14:paraId="1B40859A">
            <w:pPr>
              <w:jc w:val="center"/>
              <w:rPr>
                <w:rFonts w:hint="eastAsia" w:ascii="宋体" w:hAnsi="宋体" w:eastAsia="宋体" w:cs="宋体"/>
                <w:color w:val="auto"/>
                <w:szCs w:val="21"/>
              </w:rPr>
            </w:pPr>
          </w:p>
        </w:tc>
        <w:tc>
          <w:tcPr>
            <w:tcW w:w="903" w:type="pct"/>
            <w:gridSpan w:val="4"/>
            <w:vAlign w:val="center"/>
          </w:tcPr>
          <w:p w14:paraId="15522DA1">
            <w:pPr>
              <w:jc w:val="center"/>
              <w:rPr>
                <w:rFonts w:hint="eastAsia" w:ascii="宋体" w:hAnsi="宋体" w:eastAsia="宋体" w:cs="宋体"/>
                <w:color w:val="auto"/>
                <w:szCs w:val="21"/>
              </w:rPr>
            </w:pPr>
          </w:p>
        </w:tc>
        <w:tc>
          <w:tcPr>
            <w:tcW w:w="892" w:type="pct"/>
            <w:gridSpan w:val="2"/>
            <w:vAlign w:val="center"/>
          </w:tcPr>
          <w:p w14:paraId="0CAD3FD0">
            <w:pPr>
              <w:jc w:val="center"/>
              <w:rPr>
                <w:rFonts w:hint="eastAsia" w:ascii="宋体" w:hAnsi="宋体" w:eastAsia="宋体" w:cs="宋体"/>
                <w:color w:val="auto"/>
                <w:szCs w:val="21"/>
              </w:rPr>
            </w:pPr>
          </w:p>
        </w:tc>
        <w:tc>
          <w:tcPr>
            <w:tcW w:w="1399" w:type="pct"/>
            <w:gridSpan w:val="3"/>
            <w:vAlign w:val="center"/>
          </w:tcPr>
          <w:p w14:paraId="6D75C0E0">
            <w:pPr>
              <w:jc w:val="center"/>
              <w:rPr>
                <w:rFonts w:hint="eastAsia" w:ascii="宋体" w:hAnsi="宋体" w:eastAsia="宋体" w:cs="宋体"/>
                <w:color w:val="auto"/>
                <w:szCs w:val="21"/>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hint="eastAsia" w:ascii="宋体" w:hAnsi="宋体" w:eastAsia="宋体" w:cs="宋体"/>
                <w:color w:val="auto"/>
                <w:szCs w:val="21"/>
              </w:rPr>
            </w:pPr>
          </w:p>
        </w:tc>
        <w:tc>
          <w:tcPr>
            <w:tcW w:w="962" w:type="pct"/>
            <w:gridSpan w:val="2"/>
            <w:vAlign w:val="center"/>
          </w:tcPr>
          <w:p w14:paraId="6C354A75">
            <w:pPr>
              <w:jc w:val="center"/>
              <w:rPr>
                <w:rFonts w:hint="eastAsia" w:ascii="宋体" w:hAnsi="宋体" w:eastAsia="宋体" w:cs="宋体"/>
                <w:color w:val="auto"/>
                <w:szCs w:val="21"/>
              </w:rPr>
            </w:pPr>
          </w:p>
        </w:tc>
        <w:tc>
          <w:tcPr>
            <w:tcW w:w="903" w:type="pct"/>
            <w:gridSpan w:val="4"/>
            <w:vAlign w:val="center"/>
          </w:tcPr>
          <w:p w14:paraId="5376537B">
            <w:pPr>
              <w:jc w:val="center"/>
              <w:rPr>
                <w:rFonts w:hint="eastAsia" w:ascii="宋体" w:hAnsi="宋体" w:eastAsia="宋体" w:cs="宋体"/>
                <w:color w:val="auto"/>
                <w:szCs w:val="21"/>
              </w:rPr>
            </w:pPr>
          </w:p>
        </w:tc>
        <w:tc>
          <w:tcPr>
            <w:tcW w:w="892" w:type="pct"/>
            <w:gridSpan w:val="2"/>
            <w:vAlign w:val="center"/>
          </w:tcPr>
          <w:p w14:paraId="7D6D7284">
            <w:pPr>
              <w:jc w:val="center"/>
              <w:rPr>
                <w:rFonts w:hint="eastAsia" w:ascii="宋体" w:hAnsi="宋体" w:eastAsia="宋体" w:cs="宋体"/>
                <w:color w:val="auto"/>
                <w:szCs w:val="21"/>
              </w:rPr>
            </w:pPr>
          </w:p>
        </w:tc>
        <w:tc>
          <w:tcPr>
            <w:tcW w:w="1399" w:type="pct"/>
            <w:gridSpan w:val="3"/>
            <w:vAlign w:val="center"/>
          </w:tcPr>
          <w:p w14:paraId="6ACF342D">
            <w:pPr>
              <w:jc w:val="center"/>
              <w:rPr>
                <w:rFonts w:hint="eastAsia" w:ascii="宋体" w:hAnsi="宋体" w:eastAsia="宋体" w:cs="宋体"/>
                <w:color w:val="auto"/>
                <w:szCs w:val="21"/>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hint="eastAsia" w:ascii="宋体" w:hAnsi="宋体" w:eastAsia="宋体" w:cs="宋体"/>
                <w:color w:val="auto"/>
                <w:szCs w:val="21"/>
              </w:rPr>
            </w:pPr>
          </w:p>
        </w:tc>
        <w:tc>
          <w:tcPr>
            <w:tcW w:w="962" w:type="pct"/>
            <w:gridSpan w:val="2"/>
            <w:vAlign w:val="center"/>
          </w:tcPr>
          <w:p w14:paraId="37FC9F82">
            <w:pPr>
              <w:jc w:val="center"/>
              <w:rPr>
                <w:rFonts w:hint="eastAsia" w:ascii="宋体" w:hAnsi="宋体" w:eastAsia="宋体" w:cs="宋体"/>
                <w:color w:val="auto"/>
                <w:szCs w:val="21"/>
              </w:rPr>
            </w:pPr>
          </w:p>
        </w:tc>
        <w:tc>
          <w:tcPr>
            <w:tcW w:w="903" w:type="pct"/>
            <w:gridSpan w:val="4"/>
            <w:vAlign w:val="center"/>
          </w:tcPr>
          <w:p w14:paraId="71801AC3">
            <w:pPr>
              <w:jc w:val="center"/>
              <w:rPr>
                <w:rFonts w:hint="eastAsia" w:ascii="宋体" w:hAnsi="宋体" w:eastAsia="宋体" w:cs="宋体"/>
                <w:color w:val="auto"/>
                <w:szCs w:val="21"/>
              </w:rPr>
            </w:pPr>
          </w:p>
        </w:tc>
        <w:tc>
          <w:tcPr>
            <w:tcW w:w="892" w:type="pct"/>
            <w:gridSpan w:val="2"/>
            <w:vAlign w:val="center"/>
          </w:tcPr>
          <w:p w14:paraId="5A8F9131">
            <w:pPr>
              <w:jc w:val="center"/>
              <w:rPr>
                <w:rFonts w:hint="eastAsia" w:ascii="宋体" w:hAnsi="宋体" w:eastAsia="宋体" w:cs="宋体"/>
                <w:color w:val="auto"/>
                <w:szCs w:val="21"/>
              </w:rPr>
            </w:pPr>
          </w:p>
        </w:tc>
        <w:tc>
          <w:tcPr>
            <w:tcW w:w="1399" w:type="pct"/>
            <w:gridSpan w:val="3"/>
            <w:vAlign w:val="center"/>
          </w:tcPr>
          <w:p w14:paraId="50C1E36F">
            <w:pPr>
              <w:jc w:val="center"/>
              <w:rPr>
                <w:rFonts w:hint="eastAsia" w:ascii="宋体" w:hAnsi="宋体" w:eastAsia="宋体" w:cs="宋体"/>
                <w:color w:val="auto"/>
                <w:szCs w:val="21"/>
              </w:rPr>
            </w:pPr>
          </w:p>
        </w:tc>
      </w:tr>
    </w:tbl>
    <w:p w14:paraId="1764458C">
      <w:pPr>
        <w:widowControl/>
        <w:spacing w:before="870" w:beforeLines="200" w:line="300" w:lineRule="auto"/>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7CCCC1E1">
      <w:pPr>
        <w:widowControl/>
        <w:spacing w:line="300" w:lineRule="auto"/>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7780EB6D">
      <w:pPr>
        <w:pageBreakBefore/>
        <w:rPr>
          <w:rFonts w:hint="eastAsia" w:ascii="宋体" w:hAnsi="宋体" w:eastAsia="宋体" w:cs="宋体"/>
          <w:color w:val="auto"/>
          <w:kern w:val="0"/>
          <w:sz w:val="20"/>
          <w:szCs w:val="20"/>
        </w:rPr>
      </w:pPr>
      <w:bookmarkStart w:id="49" w:name="_Toc169799799"/>
      <w:r>
        <w:rPr>
          <w:rFonts w:hint="eastAsia" w:ascii="宋体" w:hAnsi="宋体" w:eastAsia="宋体" w:cs="宋体"/>
          <w:b/>
          <w:bCs/>
          <w:color w:val="auto"/>
          <w:sz w:val="24"/>
          <w:szCs w:val="28"/>
        </w:rPr>
        <w:t>格式十</w:t>
      </w:r>
      <w:r>
        <w:rPr>
          <w:rFonts w:hint="eastAsia" w:ascii="宋体" w:hAnsi="宋体" w:eastAsia="宋体" w:cs="宋体"/>
          <w:b/>
          <w:bCs/>
          <w:color w:val="auto"/>
          <w:sz w:val="24"/>
          <w:szCs w:val="28"/>
          <w:lang w:val="en-US" w:eastAsia="zh-CN"/>
        </w:rPr>
        <w:t>六</w:t>
      </w:r>
      <w:r>
        <w:rPr>
          <w:rFonts w:hint="eastAsia" w:ascii="宋体" w:hAnsi="宋体" w:eastAsia="宋体" w:cs="宋体"/>
          <w:b/>
          <w:bCs/>
          <w:color w:val="auto"/>
          <w:sz w:val="24"/>
          <w:szCs w:val="28"/>
        </w:rPr>
        <w:t>：</w:t>
      </w:r>
      <w:bookmarkEnd w:id="49"/>
    </w:p>
    <w:p w14:paraId="27D4AAB0">
      <w:pPr>
        <w:widowControl/>
        <w:spacing w:after="217" w:afterLines="50"/>
        <w:jc w:val="center"/>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投标人业绩情况表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序号</w:t>
            </w:r>
          </w:p>
        </w:tc>
        <w:tc>
          <w:tcPr>
            <w:tcW w:w="644" w:type="pct"/>
            <w:vAlign w:val="center"/>
          </w:tcPr>
          <w:p w14:paraId="64230397">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客户名称</w:t>
            </w:r>
          </w:p>
        </w:tc>
        <w:tc>
          <w:tcPr>
            <w:tcW w:w="1113" w:type="pct"/>
            <w:vAlign w:val="center"/>
          </w:tcPr>
          <w:p w14:paraId="2E4DA03B">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项目名称</w:t>
            </w:r>
          </w:p>
        </w:tc>
        <w:tc>
          <w:tcPr>
            <w:tcW w:w="704" w:type="pct"/>
            <w:vAlign w:val="center"/>
          </w:tcPr>
          <w:p w14:paraId="7308D23E">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及合同金额（万元）</w:t>
            </w:r>
          </w:p>
        </w:tc>
        <w:tc>
          <w:tcPr>
            <w:tcW w:w="627" w:type="pct"/>
          </w:tcPr>
          <w:p w14:paraId="472A2F1D">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签订合同时间</w:t>
            </w:r>
          </w:p>
        </w:tc>
        <w:tc>
          <w:tcPr>
            <w:tcW w:w="705" w:type="pct"/>
            <w:vAlign w:val="center"/>
          </w:tcPr>
          <w:p w14:paraId="34769A6C">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竣工验收报告时间</w:t>
            </w:r>
          </w:p>
        </w:tc>
        <w:tc>
          <w:tcPr>
            <w:tcW w:w="855" w:type="pct"/>
            <w:vAlign w:val="center"/>
          </w:tcPr>
          <w:p w14:paraId="450EEB7D">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1</w:t>
            </w:r>
          </w:p>
        </w:tc>
        <w:tc>
          <w:tcPr>
            <w:tcW w:w="644" w:type="pct"/>
          </w:tcPr>
          <w:p w14:paraId="0A46D0CD">
            <w:pPr>
              <w:rPr>
                <w:rFonts w:hint="eastAsia" w:ascii="宋体" w:hAnsi="宋体" w:eastAsia="宋体" w:cs="宋体"/>
                <w:color w:val="auto"/>
                <w:szCs w:val="21"/>
              </w:rPr>
            </w:pPr>
          </w:p>
        </w:tc>
        <w:tc>
          <w:tcPr>
            <w:tcW w:w="1113" w:type="pct"/>
          </w:tcPr>
          <w:p w14:paraId="59C4F175">
            <w:pPr>
              <w:rPr>
                <w:rFonts w:hint="eastAsia" w:ascii="宋体" w:hAnsi="宋体" w:eastAsia="宋体" w:cs="宋体"/>
                <w:color w:val="auto"/>
                <w:szCs w:val="21"/>
              </w:rPr>
            </w:pPr>
          </w:p>
        </w:tc>
        <w:tc>
          <w:tcPr>
            <w:tcW w:w="704" w:type="pct"/>
          </w:tcPr>
          <w:p w14:paraId="736FFD0D">
            <w:pPr>
              <w:rPr>
                <w:rFonts w:hint="eastAsia" w:ascii="宋体" w:hAnsi="宋体" w:eastAsia="宋体" w:cs="宋体"/>
                <w:color w:val="auto"/>
                <w:szCs w:val="21"/>
              </w:rPr>
            </w:pPr>
          </w:p>
        </w:tc>
        <w:tc>
          <w:tcPr>
            <w:tcW w:w="627" w:type="pct"/>
          </w:tcPr>
          <w:p w14:paraId="11C97A5F">
            <w:pPr>
              <w:rPr>
                <w:rFonts w:hint="eastAsia" w:ascii="宋体" w:hAnsi="宋体" w:eastAsia="宋体" w:cs="宋体"/>
                <w:color w:val="auto"/>
                <w:szCs w:val="21"/>
              </w:rPr>
            </w:pPr>
          </w:p>
        </w:tc>
        <w:tc>
          <w:tcPr>
            <w:tcW w:w="705" w:type="pct"/>
          </w:tcPr>
          <w:p w14:paraId="2A4BDCFA">
            <w:pPr>
              <w:rPr>
                <w:rFonts w:hint="eastAsia" w:ascii="宋体" w:hAnsi="宋体" w:eastAsia="宋体" w:cs="宋体"/>
                <w:color w:val="auto"/>
                <w:szCs w:val="21"/>
              </w:rPr>
            </w:pPr>
          </w:p>
        </w:tc>
        <w:tc>
          <w:tcPr>
            <w:tcW w:w="855" w:type="pct"/>
          </w:tcPr>
          <w:p w14:paraId="3B692309">
            <w:pPr>
              <w:rPr>
                <w:rFonts w:hint="eastAsia" w:ascii="宋体" w:hAnsi="宋体" w:eastAsia="宋体" w:cs="宋体"/>
                <w:color w:val="auto"/>
                <w:szCs w:val="21"/>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2</w:t>
            </w:r>
          </w:p>
        </w:tc>
        <w:tc>
          <w:tcPr>
            <w:tcW w:w="644" w:type="pct"/>
          </w:tcPr>
          <w:p w14:paraId="39F74D8E">
            <w:pPr>
              <w:rPr>
                <w:rFonts w:hint="eastAsia" w:ascii="宋体" w:hAnsi="宋体" w:eastAsia="宋体" w:cs="宋体"/>
                <w:color w:val="auto"/>
                <w:szCs w:val="21"/>
              </w:rPr>
            </w:pPr>
          </w:p>
        </w:tc>
        <w:tc>
          <w:tcPr>
            <w:tcW w:w="1113" w:type="pct"/>
          </w:tcPr>
          <w:p w14:paraId="5F671B79">
            <w:pPr>
              <w:rPr>
                <w:rFonts w:hint="eastAsia" w:ascii="宋体" w:hAnsi="宋体" w:eastAsia="宋体" w:cs="宋体"/>
                <w:color w:val="auto"/>
                <w:szCs w:val="21"/>
              </w:rPr>
            </w:pPr>
          </w:p>
        </w:tc>
        <w:tc>
          <w:tcPr>
            <w:tcW w:w="704" w:type="pct"/>
          </w:tcPr>
          <w:p w14:paraId="1195D776">
            <w:pPr>
              <w:rPr>
                <w:rFonts w:hint="eastAsia" w:ascii="宋体" w:hAnsi="宋体" w:eastAsia="宋体" w:cs="宋体"/>
                <w:color w:val="auto"/>
                <w:szCs w:val="21"/>
              </w:rPr>
            </w:pPr>
          </w:p>
        </w:tc>
        <w:tc>
          <w:tcPr>
            <w:tcW w:w="627" w:type="pct"/>
          </w:tcPr>
          <w:p w14:paraId="315925D5">
            <w:pPr>
              <w:rPr>
                <w:rFonts w:hint="eastAsia" w:ascii="宋体" w:hAnsi="宋体" w:eastAsia="宋体" w:cs="宋体"/>
                <w:color w:val="auto"/>
                <w:szCs w:val="21"/>
              </w:rPr>
            </w:pPr>
          </w:p>
        </w:tc>
        <w:tc>
          <w:tcPr>
            <w:tcW w:w="705" w:type="pct"/>
          </w:tcPr>
          <w:p w14:paraId="3C778FED">
            <w:pPr>
              <w:rPr>
                <w:rFonts w:hint="eastAsia" w:ascii="宋体" w:hAnsi="宋体" w:eastAsia="宋体" w:cs="宋体"/>
                <w:color w:val="auto"/>
                <w:szCs w:val="21"/>
              </w:rPr>
            </w:pPr>
          </w:p>
        </w:tc>
        <w:tc>
          <w:tcPr>
            <w:tcW w:w="855" w:type="pct"/>
          </w:tcPr>
          <w:p w14:paraId="51D94A91">
            <w:pPr>
              <w:rPr>
                <w:rFonts w:hint="eastAsia" w:ascii="宋体" w:hAnsi="宋体" w:eastAsia="宋体" w:cs="宋体"/>
                <w:color w:val="auto"/>
                <w:szCs w:val="21"/>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3</w:t>
            </w:r>
          </w:p>
        </w:tc>
        <w:tc>
          <w:tcPr>
            <w:tcW w:w="644" w:type="pct"/>
          </w:tcPr>
          <w:p w14:paraId="1420AF0E">
            <w:pPr>
              <w:rPr>
                <w:rFonts w:hint="eastAsia" w:ascii="宋体" w:hAnsi="宋体" w:eastAsia="宋体" w:cs="宋体"/>
                <w:color w:val="auto"/>
                <w:szCs w:val="21"/>
              </w:rPr>
            </w:pPr>
          </w:p>
        </w:tc>
        <w:tc>
          <w:tcPr>
            <w:tcW w:w="1113" w:type="pct"/>
          </w:tcPr>
          <w:p w14:paraId="44E87058">
            <w:pPr>
              <w:rPr>
                <w:rFonts w:hint="eastAsia" w:ascii="宋体" w:hAnsi="宋体" w:eastAsia="宋体" w:cs="宋体"/>
                <w:color w:val="auto"/>
                <w:szCs w:val="21"/>
              </w:rPr>
            </w:pPr>
          </w:p>
        </w:tc>
        <w:tc>
          <w:tcPr>
            <w:tcW w:w="704" w:type="pct"/>
          </w:tcPr>
          <w:p w14:paraId="242ACC04">
            <w:pPr>
              <w:rPr>
                <w:rFonts w:hint="eastAsia" w:ascii="宋体" w:hAnsi="宋体" w:eastAsia="宋体" w:cs="宋体"/>
                <w:color w:val="auto"/>
                <w:szCs w:val="21"/>
              </w:rPr>
            </w:pPr>
          </w:p>
        </w:tc>
        <w:tc>
          <w:tcPr>
            <w:tcW w:w="627" w:type="pct"/>
          </w:tcPr>
          <w:p w14:paraId="46877AD0">
            <w:pPr>
              <w:rPr>
                <w:rFonts w:hint="eastAsia" w:ascii="宋体" w:hAnsi="宋体" w:eastAsia="宋体" w:cs="宋体"/>
                <w:color w:val="auto"/>
                <w:szCs w:val="21"/>
              </w:rPr>
            </w:pPr>
          </w:p>
        </w:tc>
        <w:tc>
          <w:tcPr>
            <w:tcW w:w="705" w:type="pct"/>
          </w:tcPr>
          <w:p w14:paraId="18E18C73">
            <w:pPr>
              <w:rPr>
                <w:rFonts w:hint="eastAsia" w:ascii="宋体" w:hAnsi="宋体" w:eastAsia="宋体" w:cs="宋体"/>
                <w:color w:val="auto"/>
                <w:szCs w:val="21"/>
              </w:rPr>
            </w:pPr>
          </w:p>
        </w:tc>
        <w:tc>
          <w:tcPr>
            <w:tcW w:w="855" w:type="pct"/>
          </w:tcPr>
          <w:p w14:paraId="1FD5C6D6">
            <w:pPr>
              <w:rPr>
                <w:rFonts w:hint="eastAsia" w:ascii="宋体" w:hAnsi="宋体" w:eastAsia="宋体" w:cs="宋体"/>
                <w:color w:val="auto"/>
                <w:szCs w:val="21"/>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4</w:t>
            </w:r>
          </w:p>
        </w:tc>
        <w:tc>
          <w:tcPr>
            <w:tcW w:w="644" w:type="pct"/>
          </w:tcPr>
          <w:p w14:paraId="4C217FE8">
            <w:pPr>
              <w:rPr>
                <w:rFonts w:hint="eastAsia" w:ascii="宋体" w:hAnsi="宋体" w:eastAsia="宋体" w:cs="宋体"/>
                <w:color w:val="auto"/>
                <w:szCs w:val="21"/>
              </w:rPr>
            </w:pPr>
          </w:p>
        </w:tc>
        <w:tc>
          <w:tcPr>
            <w:tcW w:w="1113" w:type="pct"/>
          </w:tcPr>
          <w:p w14:paraId="3C34C2FE">
            <w:pPr>
              <w:rPr>
                <w:rFonts w:hint="eastAsia" w:ascii="宋体" w:hAnsi="宋体" w:eastAsia="宋体" w:cs="宋体"/>
                <w:color w:val="auto"/>
                <w:szCs w:val="21"/>
              </w:rPr>
            </w:pPr>
          </w:p>
        </w:tc>
        <w:tc>
          <w:tcPr>
            <w:tcW w:w="704" w:type="pct"/>
          </w:tcPr>
          <w:p w14:paraId="4F2970B3">
            <w:pPr>
              <w:rPr>
                <w:rFonts w:hint="eastAsia" w:ascii="宋体" w:hAnsi="宋体" w:eastAsia="宋体" w:cs="宋体"/>
                <w:color w:val="auto"/>
                <w:szCs w:val="21"/>
              </w:rPr>
            </w:pPr>
          </w:p>
        </w:tc>
        <w:tc>
          <w:tcPr>
            <w:tcW w:w="627" w:type="pct"/>
          </w:tcPr>
          <w:p w14:paraId="6F850DDD">
            <w:pPr>
              <w:rPr>
                <w:rFonts w:hint="eastAsia" w:ascii="宋体" w:hAnsi="宋体" w:eastAsia="宋体" w:cs="宋体"/>
                <w:color w:val="auto"/>
                <w:szCs w:val="21"/>
              </w:rPr>
            </w:pPr>
          </w:p>
        </w:tc>
        <w:tc>
          <w:tcPr>
            <w:tcW w:w="705" w:type="pct"/>
          </w:tcPr>
          <w:p w14:paraId="03D5687C">
            <w:pPr>
              <w:rPr>
                <w:rFonts w:hint="eastAsia" w:ascii="宋体" w:hAnsi="宋体" w:eastAsia="宋体" w:cs="宋体"/>
                <w:color w:val="auto"/>
                <w:szCs w:val="21"/>
              </w:rPr>
            </w:pPr>
          </w:p>
        </w:tc>
        <w:tc>
          <w:tcPr>
            <w:tcW w:w="855" w:type="pct"/>
          </w:tcPr>
          <w:p w14:paraId="2D160E47">
            <w:pPr>
              <w:rPr>
                <w:rFonts w:hint="eastAsia" w:ascii="宋体" w:hAnsi="宋体" w:eastAsia="宋体" w:cs="宋体"/>
                <w:color w:val="auto"/>
                <w:szCs w:val="21"/>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w:t>
            </w:r>
          </w:p>
        </w:tc>
        <w:tc>
          <w:tcPr>
            <w:tcW w:w="644" w:type="pct"/>
          </w:tcPr>
          <w:p w14:paraId="7804D822">
            <w:pPr>
              <w:rPr>
                <w:rFonts w:hint="eastAsia" w:ascii="宋体" w:hAnsi="宋体" w:eastAsia="宋体" w:cs="宋体"/>
                <w:color w:val="auto"/>
                <w:szCs w:val="21"/>
              </w:rPr>
            </w:pPr>
          </w:p>
        </w:tc>
        <w:tc>
          <w:tcPr>
            <w:tcW w:w="1113" w:type="pct"/>
          </w:tcPr>
          <w:p w14:paraId="6CE47906">
            <w:pPr>
              <w:rPr>
                <w:rFonts w:hint="eastAsia" w:ascii="宋体" w:hAnsi="宋体" w:eastAsia="宋体" w:cs="宋体"/>
                <w:color w:val="auto"/>
                <w:szCs w:val="21"/>
              </w:rPr>
            </w:pPr>
          </w:p>
        </w:tc>
        <w:tc>
          <w:tcPr>
            <w:tcW w:w="704" w:type="pct"/>
          </w:tcPr>
          <w:p w14:paraId="1403D1F2">
            <w:pPr>
              <w:rPr>
                <w:rFonts w:hint="eastAsia" w:ascii="宋体" w:hAnsi="宋体" w:eastAsia="宋体" w:cs="宋体"/>
                <w:color w:val="auto"/>
                <w:szCs w:val="21"/>
              </w:rPr>
            </w:pPr>
          </w:p>
        </w:tc>
        <w:tc>
          <w:tcPr>
            <w:tcW w:w="627" w:type="pct"/>
          </w:tcPr>
          <w:p w14:paraId="4BA1DEFE">
            <w:pPr>
              <w:rPr>
                <w:rFonts w:hint="eastAsia" w:ascii="宋体" w:hAnsi="宋体" w:eastAsia="宋体" w:cs="宋体"/>
                <w:color w:val="auto"/>
                <w:szCs w:val="21"/>
              </w:rPr>
            </w:pPr>
          </w:p>
        </w:tc>
        <w:tc>
          <w:tcPr>
            <w:tcW w:w="705" w:type="pct"/>
          </w:tcPr>
          <w:p w14:paraId="7199E0A4">
            <w:pPr>
              <w:rPr>
                <w:rFonts w:hint="eastAsia" w:ascii="宋体" w:hAnsi="宋体" w:eastAsia="宋体" w:cs="宋体"/>
                <w:color w:val="auto"/>
                <w:szCs w:val="21"/>
              </w:rPr>
            </w:pPr>
          </w:p>
        </w:tc>
        <w:tc>
          <w:tcPr>
            <w:tcW w:w="855" w:type="pct"/>
          </w:tcPr>
          <w:p w14:paraId="374BE878">
            <w:pPr>
              <w:rPr>
                <w:rFonts w:hint="eastAsia" w:ascii="宋体" w:hAnsi="宋体" w:eastAsia="宋体" w:cs="宋体"/>
                <w:color w:val="auto"/>
                <w:szCs w:val="21"/>
              </w:rPr>
            </w:pPr>
          </w:p>
        </w:tc>
      </w:tr>
    </w:tbl>
    <w:p w14:paraId="1221276B">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根据上述业绩情况，按招标文件要求附销售或服务合同复印件及评审标准要求的证明材料。</w:t>
      </w:r>
    </w:p>
    <w:p w14:paraId="1CF1F00A">
      <w:pPr>
        <w:widowControl/>
        <w:jc w:val="left"/>
        <w:rPr>
          <w:rFonts w:hint="eastAsia" w:ascii="宋体" w:hAnsi="宋体" w:eastAsia="宋体" w:cs="宋体"/>
          <w:color w:val="auto"/>
          <w:kern w:val="0"/>
          <w:sz w:val="20"/>
          <w:szCs w:val="20"/>
          <w:lang w:eastAsia="zh-Hans"/>
        </w:rPr>
      </w:pPr>
    </w:p>
    <w:p w14:paraId="7E992DC3">
      <w:pPr>
        <w:widowControl/>
        <w:jc w:val="left"/>
        <w:rPr>
          <w:rFonts w:hint="eastAsia" w:ascii="宋体" w:hAnsi="宋体" w:eastAsia="宋体" w:cs="宋体"/>
          <w:color w:val="auto"/>
          <w:kern w:val="0"/>
          <w:sz w:val="20"/>
          <w:szCs w:val="20"/>
        </w:rPr>
      </w:pPr>
    </w:p>
    <w:p w14:paraId="5B3403C4">
      <w:pPr>
        <w:widowControl/>
        <w:spacing w:before="870" w:beforeLines="200" w:line="300" w:lineRule="auto"/>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4D0530F5">
      <w:pPr>
        <w:widowControl/>
        <w:jc w:val="left"/>
        <w:rPr>
          <w:rFonts w:hint="eastAsia" w:ascii="宋体" w:hAnsi="宋体" w:eastAsia="宋体" w:cs="宋体"/>
          <w:color w:val="auto"/>
          <w:kern w:val="0"/>
          <w:sz w:val="20"/>
          <w:szCs w:val="20"/>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08928401">
      <w:pPr>
        <w:pageBreakBefore/>
        <w:rPr>
          <w:rFonts w:hint="eastAsia" w:ascii="宋体" w:hAnsi="宋体" w:eastAsia="宋体" w:cs="宋体"/>
          <w:color w:val="auto"/>
          <w:kern w:val="0"/>
          <w:sz w:val="20"/>
          <w:szCs w:val="20"/>
          <w:lang w:eastAsia="zh-Hans"/>
        </w:rPr>
      </w:pPr>
      <w:bookmarkStart w:id="50" w:name="_Toc169799800"/>
      <w:r>
        <w:rPr>
          <w:rFonts w:hint="eastAsia" w:ascii="宋体" w:hAnsi="宋体" w:eastAsia="宋体" w:cs="宋体"/>
          <w:b/>
          <w:bCs/>
          <w:color w:val="auto"/>
          <w:sz w:val="24"/>
          <w:szCs w:val="28"/>
        </w:rPr>
        <w:t>格式十</w:t>
      </w:r>
      <w:r>
        <w:rPr>
          <w:rFonts w:hint="eastAsia" w:ascii="宋体" w:hAnsi="宋体" w:eastAsia="宋体" w:cs="宋体"/>
          <w:b/>
          <w:bCs/>
          <w:color w:val="auto"/>
          <w:sz w:val="24"/>
          <w:szCs w:val="28"/>
          <w:lang w:val="en-US" w:eastAsia="zh-CN"/>
        </w:rPr>
        <w:t>七</w:t>
      </w:r>
      <w:r>
        <w:rPr>
          <w:rFonts w:hint="eastAsia" w:ascii="宋体" w:hAnsi="宋体" w:eastAsia="宋体" w:cs="宋体"/>
          <w:b/>
          <w:bCs/>
          <w:color w:val="auto"/>
          <w:sz w:val="24"/>
          <w:szCs w:val="28"/>
        </w:rPr>
        <w:t>：</w:t>
      </w:r>
      <w:bookmarkEnd w:id="50"/>
    </w:p>
    <w:p w14:paraId="77DEE211">
      <w:pPr>
        <w:widowControl/>
        <w:spacing w:after="435" w:afterLines="100"/>
        <w:jc w:val="center"/>
        <w:outlineLvl w:val="3"/>
        <w:rPr>
          <w:rFonts w:hint="eastAsia" w:ascii="宋体" w:hAnsi="宋体" w:eastAsia="宋体" w:cs="宋体"/>
          <w:color w:val="auto"/>
          <w:kern w:val="0"/>
          <w:sz w:val="20"/>
          <w:szCs w:val="20"/>
        </w:rPr>
      </w:pPr>
      <w:r>
        <w:rPr>
          <w:rFonts w:hint="eastAsia" w:ascii="宋体" w:hAnsi="宋体" w:eastAsia="宋体" w:cs="宋体"/>
          <w:b/>
          <w:color w:val="auto"/>
          <w:kern w:val="0"/>
          <w:sz w:val="32"/>
          <w:lang w:eastAsia="zh-Hans"/>
        </w:rPr>
        <w:t>技术和服务要求响应表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序号</w:t>
            </w:r>
          </w:p>
        </w:tc>
        <w:tc>
          <w:tcPr>
            <w:tcW w:w="421" w:type="pct"/>
            <w:vAlign w:val="center"/>
          </w:tcPr>
          <w:p w14:paraId="7508CF8B">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参数性质</w:t>
            </w:r>
          </w:p>
        </w:tc>
        <w:tc>
          <w:tcPr>
            <w:tcW w:w="842" w:type="pct"/>
            <w:vAlign w:val="center"/>
          </w:tcPr>
          <w:p w14:paraId="6E0F01DA">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招标文件规定的技术和服务要求</w:t>
            </w:r>
          </w:p>
        </w:tc>
        <w:tc>
          <w:tcPr>
            <w:tcW w:w="673" w:type="pct"/>
            <w:vAlign w:val="center"/>
          </w:tcPr>
          <w:p w14:paraId="50C6F9DC">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投标文件响应的具体内容</w:t>
            </w:r>
          </w:p>
        </w:tc>
        <w:tc>
          <w:tcPr>
            <w:tcW w:w="673" w:type="pct"/>
            <w:vAlign w:val="center"/>
          </w:tcPr>
          <w:p w14:paraId="7C6C5BE3">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型号</w:t>
            </w:r>
          </w:p>
        </w:tc>
        <w:tc>
          <w:tcPr>
            <w:tcW w:w="757" w:type="pct"/>
            <w:vAlign w:val="center"/>
          </w:tcPr>
          <w:p w14:paraId="640E140A">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是否偏离</w:t>
            </w:r>
          </w:p>
        </w:tc>
        <w:tc>
          <w:tcPr>
            <w:tcW w:w="674" w:type="pct"/>
            <w:vAlign w:val="center"/>
          </w:tcPr>
          <w:p w14:paraId="0B23B826">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证明文件所在位置</w:t>
            </w:r>
          </w:p>
        </w:tc>
        <w:tc>
          <w:tcPr>
            <w:tcW w:w="455" w:type="pct"/>
            <w:vAlign w:val="center"/>
          </w:tcPr>
          <w:p w14:paraId="745C4E96">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1</w:t>
            </w:r>
          </w:p>
        </w:tc>
        <w:tc>
          <w:tcPr>
            <w:tcW w:w="421" w:type="pct"/>
          </w:tcPr>
          <w:p w14:paraId="32B30E9C">
            <w:pPr>
              <w:jc w:val="center"/>
              <w:rPr>
                <w:rFonts w:hint="eastAsia" w:ascii="宋体" w:hAnsi="宋体" w:eastAsia="宋体" w:cs="宋体"/>
                <w:color w:val="auto"/>
                <w:szCs w:val="24"/>
              </w:rPr>
            </w:pPr>
          </w:p>
        </w:tc>
        <w:tc>
          <w:tcPr>
            <w:tcW w:w="842" w:type="pct"/>
          </w:tcPr>
          <w:p w14:paraId="1A444041">
            <w:pPr>
              <w:jc w:val="center"/>
              <w:rPr>
                <w:rFonts w:hint="eastAsia" w:ascii="宋体" w:hAnsi="宋体" w:eastAsia="宋体" w:cs="宋体"/>
                <w:color w:val="auto"/>
                <w:szCs w:val="24"/>
              </w:rPr>
            </w:pPr>
          </w:p>
        </w:tc>
        <w:tc>
          <w:tcPr>
            <w:tcW w:w="673" w:type="pct"/>
          </w:tcPr>
          <w:p w14:paraId="4761BF53">
            <w:pPr>
              <w:jc w:val="center"/>
              <w:rPr>
                <w:rFonts w:hint="eastAsia" w:ascii="宋体" w:hAnsi="宋体" w:eastAsia="宋体" w:cs="宋体"/>
                <w:color w:val="auto"/>
                <w:szCs w:val="24"/>
              </w:rPr>
            </w:pPr>
          </w:p>
        </w:tc>
        <w:tc>
          <w:tcPr>
            <w:tcW w:w="673" w:type="pct"/>
          </w:tcPr>
          <w:p w14:paraId="0BF5B875">
            <w:pPr>
              <w:jc w:val="center"/>
              <w:rPr>
                <w:rFonts w:hint="eastAsia" w:ascii="宋体" w:hAnsi="宋体" w:eastAsia="宋体" w:cs="宋体"/>
                <w:color w:val="auto"/>
                <w:szCs w:val="24"/>
              </w:rPr>
            </w:pPr>
          </w:p>
        </w:tc>
        <w:tc>
          <w:tcPr>
            <w:tcW w:w="757" w:type="pct"/>
          </w:tcPr>
          <w:p w14:paraId="6CB22A28">
            <w:pPr>
              <w:jc w:val="center"/>
              <w:rPr>
                <w:rFonts w:hint="eastAsia" w:ascii="宋体" w:hAnsi="宋体" w:eastAsia="宋体" w:cs="宋体"/>
                <w:color w:val="auto"/>
                <w:szCs w:val="24"/>
              </w:rPr>
            </w:pPr>
          </w:p>
        </w:tc>
        <w:tc>
          <w:tcPr>
            <w:tcW w:w="674" w:type="pct"/>
          </w:tcPr>
          <w:p w14:paraId="0A082F94">
            <w:pPr>
              <w:jc w:val="center"/>
              <w:rPr>
                <w:rFonts w:hint="eastAsia" w:ascii="宋体" w:hAnsi="宋体" w:eastAsia="宋体" w:cs="宋体"/>
                <w:color w:val="auto"/>
                <w:szCs w:val="24"/>
              </w:rPr>
            </w:pPr>
          </w:p>
        </w:tc>
        <w:tc>
          <w:tcPr>
            <w:tcW w:w="455" w:type="pct"/>
          </w:tcPr>
          <w:p w14:paraId="7715FBBB">
            <w:pPr>
              <w:jc w:val="center"/>
              <w:rPr>
                <w:rFonts w:hint="eastAsia" w:ascii="宋体" w:hAnsi="宋体" w:eastAsia="宋体" w:cs="宋体"/>
                <w:color w:val="auto"/>
                <w:szCs w:val="24"/>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2</w:t>
            </w:r>
          </w:p>
        </w:tc>
        <w:tc>
          <w:tcPr>
            <w:tcW w:w="421" w:type="pct"/>
          </w:tcPr>
          <w:p w14:paraId="18A69C00">
            <w:pPr>
              <w:jc w:val="center"/>
              <w:rPr>
                <w:rFonts w:hint="eastAsia" w:ascii="宋体" w:hAnsi="宋体" w:eastAsia="宋体" w:cs="宋体"/>
                <w:color w:val="auto"/>
                <w:szCs w:val="24"/>
              </w:rPr>
            </w:pPr>
          </w:p>
        </w:tc>
        <w:tc>
          <w:tcPr>
            <w:tcW w:w="842" w:type="pct"/>
          </w:tcPr>
          <w:p w14:paraId="4ABB5D74">
            <w:pPr>
              <w:jc w:val="center"/>
              <w:rPr>
                <w:rFonts w:hint="eastAsia" w:ascii="宋体" w:hAnsi="宋体" w:eastAsia="宋体" w:cs="宋体"/>
                <w:color w:val="auto"/>
                <w:szCs w:val="24"/>
              </w:rPr>
            </w:pPr>
          </w:p>
        </w:tc>
        <w:tc>
          <w:tcPr>
            <w:tcW w:w="673" w:type="pct"/>
          </w:tcPr>
          <w:p w14:paraId="10FD007D">
            <w:pPr>
              <w:jc w:val="center"/>
              <w:rPr>
                <w:rFonts w:hint="eastAsia" w:ascii="宋体" w:hAnsi="宋体" w:eastAsia="宋体" w:cs="宋体"/>
                <w:color w:val="auto"/>
                <w:szCs w:val="24"/>
              </w:rPr>
            </w:pPr>
          </w:p>
        </w:tc>
        <w:tc>
          <w:tcPr>
            <w:tcW w:w="673" w:type="pct"/>
          </w:tcPr>
          <w:p w14:paraId="55086A9D">
            <w:pPr>
              <w:jc w:val="center"/>
              <w:rPr>
                <w:rFonts w:hint="eastAsia" w:ascii="宋体" w:hAnsi="宋体" w:eastAsia="宋体" w:cs="宋体"/>
                <w:color w:val="auto"/>
                <w:szCs w:val="24"/>
              </w:rPr>
            </w:pPr>
          </w:p>
        </w:tc>
        <w:tc>
          <w:tcPr>
            <w:tcW w:w="757" w:type="pct"/>
          </w:tcPr>
          <w:p w14:paraId="3EEEF382">
            <w:pPr>
              <w:jc w:val="center"/>
              <w:rPr>
                <w:rFonts w:hint="eastAsia" w:ascii="宋体" w:hAnsi="宋体" w:eastAsia="宋体" w:cs="宋体"/>
                <w:color w:val="auto"/>
                <w:szCs w:val="24"/>
              </w:rPr>
            </w:pPr>
          </w:p>
        </w:tc>
        <w:tc>
          <w:tcPr>
            <w:tcW w:w="674" w:type="pct"/>
          </w:tcPr>
          <w:p w14:paraId="7000A055">
            <w:pPr>
              <w:jc w:val="center"/>
              <w:rPr>
                <w:rFonts w:hint="eastAsia" w:ascii="宋体" w:hAnsi="宋体" w:eastAsia="宋体" w:cs="宋体"/>
                <w:color w:val="auto"/>
                <w:szCs w:val="24"/>
              </w:rPr>
            </w:pPr>
          </w:p>
        </w:tc>
        <w:tc>
          <w:tcPr>
            <w:tcW w:w="455" w:type="pct"/>
          </w:tcPr>
          <w:p w14:paraId="6313E279">
            <w:pPr>
              <w:jc w:val="center"/>
              <w:rPr>
                <w:rFonts w:hint="eastAsia" w:ascii="宋体" w:hAnsi="宋体" w:eastAsia="宋体" w:cs="宋体"/>
                <w:color w:val="auto"/>
                <w:szCs w:val="24"/>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3</w:t>
            </w:r>
          </w:p>
        </w:tc>
        <w:tc>
          <w:tcPr>
            <w:tcW w:w="421" w:type="pct"/>
          </w:tcPr>
          <w:p w14:paraId="0728229E">
            <w:pPr>
              <w:jc w:val="center"/>
              <w:rPr>
                <w:rFonts w:hint="eastAsia" w:ascii="宋体" w:hAnsi="宋体" w:eastAsia="宋体" w:cs="宋体"/>
                <w:color w:val="auto"/>
                <w:szCs w:val="24"/>
              </w:rPr>
            </w:pPr>
          </w:p>
        </w:tc>
        <w:tc>
          <w:tcPr>
            <w:tcW w:w="842" w:type="pct"/>
          </w:tcPr>
          <w:p w14:paraId="29C4B615">
            <w:pPr>
              <w:jc w:val="center"/>
              <w:rPr>
                <w:rFonts w:hint="eastAsia" w:ascii="宋体" w:hAnsi="宋体" w:eastAsia="宋体" w:cs="宋体"/>
                <w:color w:val="auto"/>
                <w:szCs w:val="24"/>
              </w:rPr>
            </w:pPr>
          </w:p>
        </w:tc>
        <w:tc>
          <w:tcPr>
            <w:tcW w:w="673" w:type="pct"/>
          </w:tcPr>
          <w:p w14:paraId="7A89FD52">
            <w:pPr>
              <w:jc w:val="center"/>
              <w:rPr>
                <w:rFonts w:hint="eastAsia" w:ascii="宋体" w:hAnsi="宋体" w:eastAsia="宋体" w:cs="宋体"/>
                <w:color w:val="auto"/>
                <w:szCs w:val="24"/>
              </w:rPr>
            </w:pPr>
          </w:p>
        </w:tc>
        <w:tc>
          <w:tcPr>
            <w:tcW w:w="673" w:type="pct"/>
          </w:tcPr>
          <w:p w14:paraId="1AC82DC0">
            <w:pPr>
              <w:jc w:val="center"/>
              <w:rPr>
                <w:rFonts w:hint="eastAsia" w:ascii="宋体" w:hAnsi="宋体" w:eastAsia="宋体" w:cs="宋体"/>
                <w:color w:val="auto"/>
                <w:szCs w:val="24"/>
              </w:rPr>
            </w:pPr>
          </w:p>
        </w:tc>
        <w:tc>
          <w:tcPr>
            <w:tcW w:w="757" w:type="pct"/>
          </w:tcPr>
          <w:p w14:paraId="0C8FD514">
            <w:pPr>
              <w:jc w:val="center"/>
              <w:rPr>
                <w:rFonts w:hint="eastAsia" w:ascii="宋体" w:hAnsi="宋体" w:eastAsia="宋体" w:cs="宋体"/>
                <w:color w:val="auto"/>
                <w:szCs w:val="24"/>
              </w:rPr>
            </w:pPr>
          </w:p>
        </w:tc>
        <w:tc>
          <w:tcPr>
            <w:tcW w:w="674" w:type="pct"/>
          </w:tcPr>
          <w:p w14:paraId="04EE07D5">
            <w:pPr>
              <w:jc w:val="center"/>
              <w:rPr>
                <w:rFonts w:hint="eastAsia" w:ascii="宋体" w:hAnsi="宋体" w:eastAsia="宋体" w:cs="宋体"/>
                <w:color w:val="auto"/>
                <w:szCs w:val="24"/>
              </w:rPr>
            </w:pPr>
          </w:p>
        </w:tc>
        <w:tc>
          <w:tcPr>
            <w:tcW w:w="455" w:type="pct"/>
          </w:tcPr>
          <w:p w14:paraId="3AAF2642">
            <w:pPr>
              <w:jc w:val="center"/>
              <w:rPr>
                <w:rFonts w:hint="eastAsia" w:ascii="宋体" w:hAnsi="宋体" w:eastAsia="宋体" w:cs="宋体"/>
                <w:color w:val="auto"/>
                <w:szCs w:val="24"/>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4</w:t>
            </w:r>
          </w:p>
        </w:tc>
        <w:tc>
          <w:tcPr>
            <w:tcW w:w="421" w:type="pct"/>
          </w:tcPr>
          <w:p w14:paraId="75E715A6">
            <w:pPr>
              <w:jc w:val="center"/>
              <w:rPr>
                <w:rFonts w:hint="eastAsia" w:ascii="宋体" w:hAnsi="宋体" w:eastAsia="宋体" w:cs="宋体"/>
                <w:color w:val="auto"/>
                <w:szCs w:val="24"/>
              </w:rPr>
            </w:pPr>
          </w:p>
        </w:tc>
        <w:tc>
          <w:tcPr>
            <w:tcW w:w="842" w:type="pct"/>
          </w:tcPr>
          <w:p w14:paraId="3D366722">
            <w:pPr>
              <w:jc w:val="center"/>
              <w:rPr>
                <w:rFonts w:hint="eastAsia" w:ascii="宋体" w:hAnsi="宋体" w:eastAsia="宋体" w:cs="宋体"/>
                <w:color w:val="auto"/>
                <w:szCs w:val="24"/>
              </w:rPr>
            </w:pPr>
          </w:p>
        </w:tc>
        <w:tc>
          <w:tcPr>
            <w:tcW w:w="673" w:type="pct"/>
          </w:tcPr>
          <w:p w14:paraId="6B1F577E">
            <w:pPr>
              <w:jc w:val="center"/>
              <w:rPr>
                <w:rFonts w:hint="eastAsia" w:ascii="宋体" w:hAnsi="宋体" w:eastAsia="宋体" w:cs="宋体"/>
                <w:color w:val="auto"/>
                <w:szCs w:val="24"/>
              </w:rPr>
            </w:pPr>
          </w:p>
        </w:tc>
        <w:tc>
          <w:tcPr>
            <w:tcW w:w="673" w:type="pct"/>
          </w:tcPr>
          <w:p w14:paraId="2C6C7C4E">
            <w:pPr>
              <w:jc w:val="center"/>
              <w:rPr>
                <w:rFonts w:hint="eastAsia" w:ascii="宋体" w:hAnsi="宋体" w:eastAsia="宋体" w:cs="宋体"/>
                <w:color w:val="auto"/>
                <w:szCs w:val="24"/>
              </w:rPr>
            </w:pPr>
          </w:p>
        </w:tc>
        <w:tc>
          <w:tcPr>
            <w:tcW w:w="757" w:type="pct"/>
          </w:tcPr>
          <w:p w14:paraId="58E975CE">
            <w:pPr>
              <w:jc w:val="center"/>
              <w:rPr>
                <w:rFonts w:hint="eastAsia" w:ascii="宋体" w:hAnsi="宋体" w:eastAsia="宋体" w:cs="宋体"/>
                <w:color w:val="auto"/>
                <w:szCs w:val="24"/>
              </w:rPr>
            </w:pPr>
          </w:p>
        </w:tc>
        <w:tc>
          <w:tcPr>
            <w:tcW w:w="674" w:type="pct"/>
          </w:tcPr>
          <w:p w14:paraId="0F5945E4">
            <w:pPr>
              <w:jc w:val="center"/>
              <w:rPr>
                <w:rFonts w:hint="eastAsia" w:ascii="宋体" w:hAnsi="宋体" w:eastAsia="宋体" w:cs="宋体"/>
                <w:color w:val="auto"/>
                <w:szCs w:val="24"/>
              </w:rPr>
            </w:pPr>
          </w:p>
        </w:tc>
        <w:tc>
          <w:tcPr>
            <w:tcW w:w="455" w:type="pct"/>
          </w:tcPr>
          <w:p w14:paraId="6EDAFE70">
            <w:pPr>
              <w:jc w:val="center"/>
              <w:rPr>
                <w:rFonts w:hint="eastAsia" w:ascii="宋体" w:hAnsi="宋体" w:eastAsia="宋体" w:cs="宋体"/>
                <w:color w:val="auto"/>
                <w:szCs w:val="24"/>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5</w:t>
            </w:r>
          </w:p>
        </w:tc>
        <w:tc>
          <w:tcPr>
            <w:tcW w:w="421" w:type="pct"/>
          </w:tcPr>
          <w:p w14:paraId="5303FFEA">
            <w:pPr>
              <w:jc w:val="center"/>
              <w:rPr>
                <w:rFonts w:hint="eastAsia" w:ascii="宋体" w:hAnsi="宋体" w:eastAsia="宋体" w:cs="宋体"/>
                <w:color w:val="auto"/>
                <w:szCs w:val="24"/>
              </w:rPr>
            </w:pPr>
          </w:p>
        </w:tc>
        <w:tc>
          <w:tcPr>
            <w:tcW w:w="842" w:type="pct"/>
          </w:tcPr>
          <w:p w14:paraId="5B7D9351">
            <w:pPr>
              <w:jc w:val="center"/>
              <w:rPr>
                <w:rFonts w:hint="eastAsia" w:ascii="宋体" w:hAnsi="宋体" w:eastAsia="宋体" w:cs="宋体"/>
                <w:color w:val="auto"/>
                <w:szCs w:val="24"/>
              </w:rPr>
            </w:pPr>
          </w:p>
        </w:tc>
        <w:tc>
          <w:tcPr>
            <w:tcW w:w="673" w:type="pct"/>
          </w:tcPr>
          <w:p w14:paraId="7B89660F">
            <w:pPr>
              <w:jc w:val="center"/>
              <w:rPr>
                <w:rFonts w:hint="eastAsia" w:ascii="宋体" w:hAnsi="宋体" w:eastAsia="宋体" w:cs="宋体"/>
                <w:color w:val="auto"/>
                <w:szCs w:val="24"/>
              </w:rPr>
            </w:pPr>
          </w:p>
        </w:tc>
        <w:tc>
          <w:tcPr>
            <w:tcW w:w="673" w:type="pct"/>
          </w:tcPr>
          <w:p w14:paraId="611D5345">
            <w:pPr>
              <w:jc w:val="center"/>
              <w:rPr>
                <w:rFonts w:hint="eastAsia" w:ascii="宋体" w:hAnsi="宋体" w:eastAsia="宋体" w:cs="宋体"/>
                <w:color w:val="auto"/>
                <w:szCs w:val="24"/>
              </w:rPr>
            </w:pPr>
          </w:p>
        </w:tc>
        <w:tc>
          <w:tcPr>
            <w:tcW w:w="757" w:type="pct"/>
          </w:tcPr>
          <w:p w14:paraId="3D1067CA">
            <w:pPr>
              <w:jc w:val="center"/>
              <w:rPr>
                <w:rFonts w:hint="eastAsia" w:ascii="宋体" w:hAnsi="宋体" w:eastAsia="宋体" w:cs="宋体"/>
                <w:color w:val="auto"/>
                <w:szCs w:val="24"/>
              </w:rPr>
            </w:pPr>
          </w:p>
        </w:tc>
        <w:tc>
          <w:tcPr>
            <w:tcW w:w="674" w:type="pct"/>
          </w:tcPr>
          <w:p w14:paraId="396A9589">
            <w:pPr>
              <w:jc w:val="center"/>
              <w:rPr>
                <w:rFonts w:hint="eastAsia" w:ascii="宋体" w:hAnsi="宋体" w:eastAsia="宋体" w:cs="宋体"/>
                <w:color w:val="auto"/>
                <w:szCs w:val="24"/>
              </w:rPr>
            </w:pPr>
          </w:p>
        </w:tc>
        <w:tc>
          <w:tcPr>
            <w:tcW w:w="455" w:type="pct"/>
          </w:tcPr>
          <w:p w14:paraId="48F78ADA">
            <w:pPr>
              <w:jc w:val="center"/>
              <w:rPr>
                <w:rFonts w:hint="eastAsia" w:ascii="宋体" w:hAnsi="宋体" w:eastAsia="宋体" w:cs="宋体"/>
                <w:color w:val="auto"/>
                <w:szCs w:val="24"/>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6</w:t>
            </w:r>
          </w:p>
        </w:tc>
        <w:tc>
          <w:tcPr>
            <w:tcW w:w="421" w:type="pct"/>
          </w:tcPr>
          <w:p w14:paraId="628F3EA5">
            <w:pPr>
              <w:jc w:val="center"/>
              <w:rPr>
                <w:rFonts w:hint="eastAsia" w:ascii="宋体" w:hAnsi="宋体" w:eastAsia="宋体" w:cs="宋体"/>
                <w:color w:val="auto"/>
                <w:szCs w:val="24"/>
              </w:rPr>
            </w:pPr>
          </w:p>
        </w:tc>
        <w:tc>
          <w:tcPr>
            <w:tcW w:w="842" w:type="pct"/>
          </w:tcPr>
          <w:p w14:paraId="2C632F24">
            <w:pPr>
              <w:jc w:val="center"/>
              <w:rPr>
                <w:rFonts w:hint="eastAsia" w:ascii="宋体" w:hAnsi="宋体" w:eastAsia="宋体" w:cs="宋体"/>
                <w:color w:val="auto"/>
                <w:szCs w:val="24"/>
              </w:rPr>
            </w:pPr>
          </w:p>
        </w:tc>
        <w:tc>
          <w:tcPr>
            <w:tcW w:w="673" w:type="pct"/>
          </w:tcPr>
          <w:p w14:paraId="74143178">
            <w:pPr>
              <w:jc w:val="center"/>
              <w:rPr>
                <w:rFonts w:hint="eastAsia" w:ascii="宋体" w:hAnsi="宋体" w:eastAsia="宋体" w:cs="宋体"/>
                <w:color w:val="auto"/>
                <w:szCs w:val="24"/>
              </w:rPr>
            </w:pPr>
          </w:p>
        </w:tc>
        <w:tc>
          <w:tcPr>
            <w:tcW w:w="673" w:type="pct"/>
          </w:tcPr>
          <w:p w14:paraId="45BACE0B">
            <w:pPr>
              <w:jc w:val="center"/>
              <w:rPr>
                <w:rFonts w:hint="eastAsia" w:ascii="宋体" w:hAnsi="宋体" w:eastAsia="宋体" w:cs="宋体"/>
                <w:color w:val="auto"/>
                <w:szCs w:val="24"/>
              </w:rPr>
            </w:pPr>
          </w:p>
        </w:tc>
        <w:tc>
          <w:tcPr>
            <w:tcW w:w="757" w:type="pct"/>
          </w:tcPr>
          <w:p w14:paraId="2A7F42CE">
            <w:pPr>
              <w:jc w:val="center"/>
              <w:rPr>
                <w:rFonts w:hint="eastAsia" w:ascii="宋体" w:hAnsi="宋体" w:eastAsia="宋体" w:cs="宋体"/>
                <w:color w:val="auto"/>
                <w:szCs w:val="24"/>
              </w:rPr>
            </w:pPr>
          </w:p>
        </w:tc>
        <w:tc>
          <w:tcPr>
            <w:tcW w:w="674" w:type="pct"/>
          </w:tcPr>
          <w:p w14:paraId="6F32A543">
            <w:pPr>
              <w:jc w:val="center"/>
              <w:rPr>
                <w:rFonts w:hint="eastAsia" w:ascii="宋体" w:hAnsi="宋体" w:eastAsia="宋体" w:cs="宋体"/>
                <w:color w:val="auto"/>
                <w:szCs w:val="24"/>
              </w:rPr>
            </w:pPr>
          </w:p>
        </w:tc>
        <w:tc>
          <w:tcPr>
            <w:tcW w:w="455" w:type="pct"/>
          </w:tcPr>
          <w:p w14:paraId="04FADFAC">
            <w:pPr>
              <w:jc w:val="center"/>
              <w:rPr>
                <w:rFonts w:hint="eastAsia" w:ascii="宋体" w:hAnsi="宋体" w:eastAsia="宋体" w:cs="宋体"/>
                <w:color w:val="auto"/>
                <w:szCs w:val="24"/>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hint="eastAsia"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w:t>
            </w:r>
          </w:p>
        </w:tc>
        <w:tc>
          <w:tcPr>
            <w:tcW w:w="421" w:type="pct"/>
          </w:tcPr>
          <w:p w14:paraId="4CE3F31D">
            <w:pPr>
              <w:jc w:val="center"/>
              <w:rPr>
                <w:rFonts w:hint="eastAsia" w:ascii="宋体" w:hAnsi="宋体" w:eastAsia="宋体" w:cs="宋体"/>
                <w:color w:val="auto"/>
                <w:szCs w:val="24"/>
              </w:rPr>
            </w:pPr>
          </w:p>
        </w:tc>
        <w:tc>
          <w:tcPr>
            <w:tcW w:w="842" w:type="pct"/>
          </w:tcPr>
          <w:p w14:paraId="5FF286DC">
            <w:pPr>
              <w:jc w:val="center"/>
              <w:rPr>
                <w:rFonts w:hint="eastAsia" w:ascii="宋体" w:hAnsi="宋体" w:eastAsia="宋体" w:cs="宋体"/>
                <w:color w:val="auto"/>
                <w:szCs w:val="24"/>
              </w:rPr>
            </w:pPr>
          </w:p>
        </w:tc>
        <w:tc>
          <w:tcPr>
            <w:tcW w:w="673" w:type="pct"/>
          </w:tcPr>
          <w:p w14:paraId="762C9244">
            <w:pPr>
              <w:jc w:val="center"/>
              <w:rPr>
                <w:rFonts w:hint="eastAsia" w:ascii="宋体" w:hAnsi="宋体" w:eastAsia="宋体" w:cs="宋体"/>
                <w:color w:val="auto"/>
                <w:szCs w:val="24"/>
              </w:rPr>
            </w:pPr>
          </w:p>
        </w:tc>
        <w:tc>
          <w:tcPr>
            <w:tcW w:w="673" w:type="pct"/>
          </w:tcPr>
          <w:p w14:paraId="26F42D92">
            <w:pPr>
              <w:jc w:val="center"/>
              <w:rPr>
                <w:rFonts w:hint="eastAsia" w:ascii="宋体" w:hAnsi="宋体" w:eastAsia="宋体" w:cs="宋体"/>
                <w:color w:val="auto"/>
                <w:szCs w:val="24"/>
              </w:rPr>
            </w:pPr>
          </w:p>
        </w:tc>
        <w:tc>
          <w:tcPr>
            <w:tcW w:w="757" w:type="pct"/>
          </w:tcPr>
          <w:p w14:paraId="0084FF0D">
            <w:pPr>
              <w:jc w:val="center"/>
              <w:rPr>
                <w:rFonts w:hint="eastAsia" w:ascii="宋体" w:hAnsi="宋体" w:eastAsia="宋体" w:cs="宋体"/>
                <w:color w:val="auto"/>
                <w:szCs w:val="24"/>
              </w:rPr>
            </w:pPr>
          </w:p>
        </w:tc>
        <w:tc>
          <w:tcPr>
            <w:tcW w:w="674" w:type="pct"/>
          </w:tcPr>
          <w:p w14:paraId="0939545E">
            <w:pPr>
              <w:jc w:val="center"/>
              <w:rPr>
                <w:rFonts w:hint="eastAsia" w:ascii="宋体" w:hAnsi="宋体" w:eastAsia="宋体" w:cs="宋体"/>
                <w:color w:val="auto"/>
                <w:szCs w:val="24"/>
              </w:rPr>
            </w:pPr>
          </w:p>
        </w:tc>
        <w:tc>
          <w:tcPr>
            <w:tcW w:w="455" w:type="pct"/>
          </w:tcPr>
          <w:p w14:paraId="776647EE">
            <w:pPr>
              <w:jc w:val="center"/>
              <w:rPr>
                <w:rFonts w:hint="eastAsia" w:ascii="宋体" w:hAnsi="宋体" w:eastAsia="宋体" w:cs="宋体"/>
                <w:color w:val="auto"/>
                <w:szCs w:val="24"/>
              </w:rPr>
            </w:pPr>
          </w:p>
        </w:tc>
      </w:tr>
    </w:tbl>
    <w:p w14:paraId="6BA86BFE">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说明：</w:t>
      </w:r>
    </w:p>
    <w:p w14:paraId="4BB1D7AB">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1.“招标文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2.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0AA621EE">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rPr>
        <w:t>3.</w:t>
      </w:r>
      <w:r>
        <w:rPr>
          <w:rFonts w:hint="eastAsia" w:ascii="宋体" w:hAnsi="宋体" w:eastAsia="宋体" w:cs="宋体"/>
          <w:color w:val="auto"/>
          <w:kern w:val="0"/>
          <w:szCs w:val="21"/>
          <w:lang w:eastAsia="zh-Hans"/>
        </w:rPr>
        <w:t>“型号”项，若无，填写：“</w:t>
      </w:r>
      <w:r>
        <w:rPr>
          <w:rFonts w:hint="eastAsia" w:ascii="宋体" w:hAnsi="宋体" w:eastAsia="宋体" w:cs="宋体"/>
          <w:color w:val="auto"/>
          <w:kern w:val="0"/>
          <w:szCs w:val="21"/>
        </w:rPr>
        <w:t xml:space="preserve"> </w:t>
      </w:r>
      <w:r>
        <w:rPr>
          <w:rStyle w:val="18"/>
          <w:rFonts w:hint="eastAsia" w:ascii="宋体" w:hAnsi="宋体" w:eastAsia="宋体" w:cs="宋体"/>
          <w:i w:val="0"/>
          <w:iCs w:val="0"/>
          <w:color w:val="auto"/>
          <w:szCs w:val="21"/>
          <w:shd w:val="clear" w:color="auto" w:fill="FFFFFF"/>
        </w:rPr>
        <w:t xml:space="preserve">/ </w:t>
      </w:r>
      <w:r>
        <w:rPr>
          <w:rFonts w:hint="eastAsia" w:ascii="宋体" w:hAnsi="宋体" w:eastAsia="宋体" w:cs="宋体"/>
          <w:color w:val="auto"/>
          <w:kern w:val="0"/>
          <w:szCs w:val="21"/>
          <w:lang w:eastAsia="zh-Hans"/>
        </w:rPr>
        <w:t>”</w:t>
      </w:r>
      <w:r>
        <w:rPr>
          <w:rStyle w:val="18"/>
          <w:rFonts w:hint="eastAsia" w:ascii="宋体" w:hAnsi="宋体" w:eastAsia="宋体" w:cs="宋体"/>
          <w:i w:val="0"/>
          <w:iCs w:val="0"/>
          <w:color w:val="auto"/>
          <w:szCs w:val="21"/>
          <w:shd w:val="clear" w:color="auto" w:fill="FFFFFF"/>
        </w:rPr>
        <w:t>。</w:t>
      </w:r>
    </w:p>
    <w:p w14:paraId="278EC07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rPr>
        <w:t>4</w:t>
      </w:r>
      <w:r>
        <w:rPr>
          <w:rFonts w:hint="eastAsia" w:ascii="宋体" w:hAnsi="宋体" w:eastAsia="宋体" w:cs="宋体"/>
          <w:color w:val="auto"/>
          <w:kern w:val="0"/>
          <w:szCs w:val="21"/>
          <w:lang w:eastAsia="zh-Hans"/>
        </w:rPr>
        <w:t>.“是否偏离”项下应按下列规定填写：优于的，填写“正偏离”；符合的，填写“无偏离”；低于的，填写“负偏离”。</w:t>
      </w:r>
    </w:p>
    <w:p w14:paraId="2A7B1AF5">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Cs w:val="21"/>
        </w:rPr>
        <w:t>5</w:t>
      </w:r>
      <w:r>
        <w:rPr>
          <w:rFonts w:hint="eastAsia" w:ascii="宋体" w:hAnsi="宋体" w:eastAsia="宋体" w:cs="宋体"/>
          <w:color w:val="auto"/>
          <w:kern w:val="0"/>
          <w:szCs w:val="21"/>
          <w:lang w:eastAsia="zh-Hans"/>
        </w:rPr>
        <w:t>.</w:t>
      </w:r>
      <w:bookmarkStart w:id="51" w:name="_Hlk169717981"/>
      <w:r>
        <w:rPr>
          <w:rFonts w:hint="eastAsia" w:ascii="宋体" w:hAnsi="宋体" w:eastAsia="宋体" w:cs="宋体"/>
          <w:color w:val="auto"/>
          <w:kern w:val="0"/>
          <w:szCs w:val="21"/>
          <w:lang w:eastAsia="zh-Hans"/>
        </w:rPr>
        <w:t>“备注”</w:t>
      </w:r>
      <w:bookmarkEnd w:id="51"/>
      <w:r>
        <w:rPr>
          <w:rFonts w:hint="eastAsia" w:ascii="宋体" w:hAnsi="宋体" w:eastAsia="宋体" w:cs="宋体"/>
          <w:color w:val="auto"/>
          <w:kern w:val="0"/>
          <w:szCs w:val="21"/>
          <w:lang w:eastAsia="zh-Hans"/>
        </w:rPr>
        <w:t>处可填写偏离情况的说明。</w:t>
      </w:r>
    </w:p>
    <w:p w14:paraId="4BA0B682">
      <w:pPr>
        <w:widowControl/>
        <w:spacing w:before="870" w:beforeLines="200" w:line="300" w:lineRule="auto"/>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4FC5EE89">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775CED2F">
      <w:pPr>
        <w:pageBreakBefore/>
        <w:rPr>
          <w:rFonts w:hint="eastAsia" w:ascii="宋体" w:hAnsi="宋体" w:eastAsia="宋体" w:cs="宋体"/>
          <w:color w:val="auto"/>
          <w:kern w:val="0"/>
          <w:sz w:val="20"/>
          <w:szCs w:val="20"/>
          <w:lang w:eastAsia="zh-Hans"/>
        </w:rPr>
      </w:pPr>
      <w:bookmarkStart w:id="52" w:name="_Toc169799801"/>
      <w:r>
        <w:rPr>
          <w:rFonts w:hint="eastAsia" w:ascii="宋体" w:hAnsi="宋体" w:eastAsia="宋体" w:cs="宋体"/>
          <w:b/>
          <w:bCs/>
          <w:color w:val="auto"/>
          <w:sz w:val="24"/>
          <w:szCs w:val="28"/>
        </w:rPr>
        <w:t>格式十</w:t>
      </w:r>
      <w:r>
        <w:rPr>
          <w:rFonts w:hint="eastAsia" w:ascii="宋体" w:hAnsi="宋体" w:eastAsia="宋体" w:cs="宋体"/>
          <w:b/>
          <w:bCs/>
          <w:color w:val="auto"/>
          <w:sz w:val="24"/>
          <w:szCs w:val="28"/>
          <w:lang w:val="en-US" w:eastAsia="zh-CN"/>
        </w:rPr>
        <w:t>八</w:t>
      </w:r>
      <w:r>
        <w:rPr>
          <w:rFonts w:hint="eastAsia" w:ascii="宋体" w:hAnsi="宋体" w:eastAsia="宋体" w:cs="宋体"/>
          <w:b/>
          <w:bCs/>
          <w:color w:val="auto"/>
          <w:sz w:val="24"/>
          <w:szCs w:val="28"/>
        </w:rPr>
        <w:t>：</w:t>
      </w:r>
      <w:bookmarkEnd w:id="52"/>
    </w:p>
    <w:p w14:paraId="43042819">
      <w:pPr>
        <w:widowControl/>
        <w:spacing w:after="435" w:afterLines="100"/>
        <w:jc w:val="center"/>
        <w:outlineLvl w:val="3"/>
        <w:rPr>
          <w:rFonts w:hint="eastAsia" w:ascii="宋体" w:hAnsi="宋体" w:eastAsia="宋体" w:cs="宋体"/>
          <w:color w:val="auto"/>
          <w:kern w:val="0"/>
          <w:sz w:val="20"/>
          <w:szCs w:val="20"/>
        </w:rPr>
      </w:pPr>
      <w:r>
        <w:rPr>
          <w:rFonts w:hint="eastAsia" w:ascii="宋体" w:hAnsi="宋体" w:eastAsia="宋体" w:cs="宋体"/>
          <w:b/>
          <w:color w:val="auto"/>
          <w:kern w:val="0"/>
          <w:sz w:val="32"/>
          <w:lang w:eastAsia="zh-Hans"/>
        </w:rPr>
        <w:t>商务条件响应表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序号</w:t>
            </w:r>
          </w:p>
        </w:tc>
        <w:tc>
          <w:tcPr>
            <w:tcW w:w="676" w:type="pct"/>
            <w:vAlign w:val="center"/>
          </w:tcPr>
          <w:p w14:paraId="6EE34BC8">
            <w:pPr>
              <w:widowControl/>
              <w:jc w:val="center"/>
              <w:rPr>
                <w:rFonts w:hint="eastAsia" w:ascii="宋体" w:hAnsi="宋体" w:eastAsia="宋体" w:cs="宋体"/>
                <w:b/>
                <w:bCs/>
                <w:color w:val="auto"/>
                <w:kern w:val="0"/>
                <w:szCs w:val="21"/>
              </w:rPr>
            </w:pPr>
            <w:r>
              <w:rPr>
                <w:rFonts w:hint="eastAsia" w:ascii="宋体" w:hAnsi="宋体" w:eastAsia="宋体" w:cs="宋体"/>
                <w:b/>
                <w:bCs/>
                <w:color w:val="auto"/>
                <w:kern w:val="0"/>
                <w:szCs w:val="21"/>
                <w:lang w:eastAsia="zh-Hans"/>
              </w:rPr>
              <w:t>参数性质</w:t>
            </w:r>
          </w:p>
        </w:tc>
        <w:tc>
          <w:tcPr>
            <w:tcW w:w="850" w:type="pct"/>
            <w:vAlign w:val="center"/>
          </w:tcPr>
          <w:p w14:paraId="20DF371D">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招标文件规定的商务条件</w:t>
            </w:r>
          </w:p>
        </w:tc>
        <w:tc>
          <w:tcPr>
            <w:tcW w:w="896" w:type="pct"/>
            <w:vAlign w:val="center"/>
          </w:tcPr>
          <w:p w14:paraId="2E5205F7">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投标文件响应的具体内容</w:t>
            </w:r>
          </w:p>
        </w:tc>
        <w:tc>
          <w:tcPr>
            <w:tcW w:w="712" w:type="pct"/>
            <w:vAlign w:val="center"/>
          </w:tcPr>
          <w:p w14:paraId="1BBB9193">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是否偏离</w:t>
            </w:r>
          </w:p>
        </w:tc>
        <w:tc>
          <w:tcPr>
            <w:tcW w:w="712" w:type="pct"/>
            <w:vAlign w:val="center"/>
          </w:tcPr>
          <w:p w14:paraId="05CC7AC4">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证明文件所在位置</w:t>
            </w:r>
          </w:p>
        </w:tc>
        <w:tc>
          <w:tcPr>
            <w:tcW w:w="712" w:type="pct"/>
            <w:vAlign w:val="center"/>
          </w:tcPr>
          <w:p w14:paraId="108E53D3">
            <w:pPr>
              <w:widowControl/>
              <w:jc w:val="center"/>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1</w:t>
            </w:r>
          </w:p>
        </w:tc>
        <w:tc>
          <w:tcPr>
            <w:tcW w:w="676" w:type="pct"/>
          </w:tcPr>
          <w:p w14:paraId="24F4A561">
            <w:pPr>
              <w:rPr>
                <w:rFonts w:hint="eastAsia" w:ascii="宋体" w:hAnsi="宋体" w:eastAsia="宋体" w:cs="宋体"/>
                <w:color w:val="auto"/>
                <w:szCs w:val="21"/>
              </w:rPr>
            </w:pPr>
          </w:p>
        </w:tc>
        <w:tc>
          <w:tcPr>
            <w:tcW w:w="850" w:type="pct"/>
          </w:tcPr>
          <w:p w14:paraId="587938BA">
            <w:pPr>
              <w:rPr>
                <w:rFonts w:hint="eastAsia" w:ascii="宋体" w:hAnsi="宋体" w:eastAsia="宋体" w:cs="宋体"/>
                <w:color w:val="auto"/>
                <w:szCs w:val="21"/>
              </w:rPr>
            </w:pPr>
          </w:p>
        </w:tc>
        <w:tc>
          <w:tcPr>
            <w:tcW w:w="896" w:type="pct"/>
          </w:tcPr>
          <w:p w14:paraId="3D822424">
            <w:pPr>
              <w:rPr>
                <w:rFonts w:hint="eastAsia" w:ascii="宋体" w:hAnsi="宋体" w:eastAsia="宋体" w:cs="宋体"/>
                <w:color w:val="auto"/>
                <w:szCs w:val="21"/>
              </w:rPr>
            </w:pPr>
          </w:p>
        </w:tc>
        <w:tc>
          <w:tcPr>
            <w:tcW w:w="712" w:type="pct"/>
          </w:tcPr>
          <w:p w14:paraId="44B15A7C">
            <w:pPr>
              <w:rPr>
                <w:rFonts w:hint="eastAsia" w:ascii="宋体" w:hAnsi="宋体" w:eastAsia="宋体" w:cs="宋体"/>
                <w:color w:val="auto"/>
                <w:szCs w:val="21"/>
              </w:rPr>
            </w:pPr>
          </w:p>
        </w:tc>
        <w:tc>
          <w:tcPr>
            <w:tcW w:w="712" w:type="pct"/>
          </w:tcPr>
          <w:p w14:paraId="62E925FB">
            <w:pPr>
              <w:rPr>
                <w:rFonts w:hint="eastAsia" w:ascii="宋体" w:hAnsi="宋体" w:eastAsia="宋体" w:cs="宋体"/>
                <w:color w:val="auto"/>
                <w:szCs w:val="21"/>
              </w:rPr>
            </w:pPr>
          </w:p>
        </w:tc>
        <w:tc>
          <w:tcPr>
            <w:tcW w:w="712" w:type="pct"/>
          </w:tcPr>
          <w:p w14:paraId="2562ED58">
            <w:pPr>
              <w:rPr>
                <w:rFonts w:hint="eastAsia" w:ascii="宋体" w:hAnsi="宋体" w:eastAsia="宋体" w:cs="宋体"/>
                <w:color w:val="auto"/>
                <w:szCs w:val="21"/>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2</w:t>
            </w:r>
          </w:p>
        </w:tc>
        <w:tc>
          <w:tcPr>
            <w:tcW w:w="676" w:type="pct"/>
          </w:tcPr>
          <w:p w14:paraId="457CB21D">
            <w:pPr>
              <w:rPr>
                <w:rFonts w:hint="eastAsia" w:ascii="宋体" w:hAnsi="宋体" w:eastAsia="宋体" w:cs="宋体"/>
                <w:color w:val="auto"/>
                <w:szCs w:val="21"/>
              </w:rPr>
            </w:pPr>
          </w:p>
        </w:tc>
        <w:tc>
          <w:tcPr>
            <w:tcW w:w="850" w:type="pct"/>
          </w:tcPr>
          <w:p w14:paraId="5BC9E0CB">
            <w:pPr>
              <w:rPr>
                <w:rFonts w:hint="eastAsia" w:ascii="宋体" w:hAnsi="宋体" w:eastAsia="宋体" w:cs="宋体"/>
                <w:color w:val="auto"/>
                <w:szCs w:val="21"/>
              </w:rPr>
            </w:pPr>
          </w:p>
        </w:tc>
        <w:tc>
          <w:tcPr>
            <w:tcW w:w="896" w:type="pct"/>
          </w:tcPr>
          <w:p w14:paraId="6AC1B8EA">
            <w:pPr>
              <w:rPr>
                <w:rFonts w:hint="eastAsia" w:ascii="宋体" w:hAnsi="宋体" w:eastAsia="宋体" w:cs="宋体"/>
                <w:color w:val="auto"/>
                <w:szCs w:val="21"/>
              </w:rPr>
            </w:pPr>
          </w:p>
        </w:tc>
        <w:tc>
          <w:tcPr>
            <w:tcW w:w="712" w:type="pct"/>
          </w:tcPr>
          <w:p w14:paraId="24DFDBCD">
            <w:pPr>
              <w:rPr>
                <w:rFonts w:hint="eastAsia" w:ascii="宋体" w:hAnsi="宋体" w:eastAsia="宋体" w:cs="宋体"/>
                <w:color w:val="auto"/>
                <w:szCs w:val="21"/>
              </w:rPr>
            </w:pPr>
          </w:p>
        </w:tc>
        <w:tc>
          <w:tcPr>
            <w:tcW w:w="712" w:type="pct"/>
          </w:tcPr>
          <w:p w14:paraId="3B000570">
            <w:pPr>
              <w:rPr>
                <w:rFonts w:hint="eastAsia" w:ascii="宋体" w:hAnsi="宋体" w:eastAsia="宋体" w:cs="宋体"/>
                <w:color w:val="auto"/>
                <w:szCs w:val="21"/>
              </w:rPr>
            </w:pPr>
          </w:p>
        </w:tc>
        <w:tc>
          <w:tcPr>
            <w:tcW w:w="712" w:type="pct"/>
          </w:tcPr>
          <w:p w14:paraId="0ADD7BD9">
            <w:pPr>
              <w:rPr>
                <w:rFonts w:hint="eastAsia" w:ascii="宋体" w:hAnsi="宋体" w:eastAsia="宋体" w:cs="宋体"/>
                <w:color w:val="auto"/>
                <w:szCs w:val="21"/>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3</w:t>
            </w:r>
          </w:p>
        </w:tc>
        <w:tc>
          <w:tcPr>
            <w:tcW w:w="676" w:type="pct"/>
          </w:tcPr>
          <w:p w14:paraId="091DBBBF">
            <w:pPr>
              <w:rPr>
                <w:rFonts w:hint="eastAsia" w:ascii="宋体" w:hAnsi="宋体" w:eastAsia="宋体" w:cs="宋体"/>
                <w:color w:val="auto"/>
                <w:szCs w:val="21"/>
              </w:rPr>
            </w:pPr>
          </w:p>
        </w:tc>
        <w:tc>
          <w:tcPr>
            <w:tcW w:w="850" w:type="pct"/>
          </w:tcPr>
          <w:p w14:paraId="54B852DF">
            <w:pPr>
              <w:rPr>
                <w:rFonts w:hint="eastAsia" w:ascii="宋体" w:hAnsi="宋体" w:eastAsia="宋体" w:cs="宋体"/>
                <w:color w:val="auto"/>
                <w:szCs w:val="21"/>
              </w:rPr>
            </w:pPr>
          </w:p>
        </w:tc>
        <w:tc>
          <w:tcPr>
            <w:tcW w:w="896" w:type="pct"/>
          </w:tcPr>
          <w:p w14:paraId="3E501B1A">
            <w:pPr>
              <w:rPr>
                <w:rFonts w:hint="eastAsia" w:ascii="宋体" w:hAnsi="宋体" w:eastAsia="宋体" w:cs="宋体"/>
                <w:color w:val="auto"/>
                <w:szCs w:val="21"/>
              </w:rPr>
            </w:pPr>
          </w:p>
        </w:tc>
        <w:tc>
          <w:tcPr>
            <w:tcW w:w="712" w:type="pct"/>
          </w:tcPr>
          <w:p w14:paraId="222C8DC3">
            <w:pPr>
              <w:rPr>
                <w:rFonts w:hint="eastAsia" w:ascii="宋体" w:hAnsi="宋体" w:eastAsia="宋体" w:cs="宋体"/>
                <w:color w:val="auto"/>
                <w:szCs w:val="21"/>
              </w:rPr>
            </w:pPr>
          </w:p>
        </w:tc>
        <w:tc>
          <w:tcPr>
            <w:tcW w:w="712" w:type="pct"/>
          </w:tcPr>
          <w:p w14:paraId="22473919">
            <w:pPr>
              <w:rPr>
                <w:rFonts w:hint="eastAsia" w:ascii="宋体" w:hAnsi="宋体" w:eastAsia="宋体" w:cs="宋体"/>
                <w:color w:val="auto"/>
                <w:szCs w:val="21"/>
              </w:rPr>
            </w:pPr>
          </w:p>
        </w:tc>
        <w:tc>
          <w:tcPr>
            <w:tcW w:w="712" w:type="pct"/>
          </w:tcPr>
          <w:p w14:paraId="216643F5">
            <w:pPr>
              <w:rPr>
                <w:rFonts w:hint="eastAsia" w:ascii="宋体" w:hAnsi="宋体" w:eastAsia="宋体" w:cs="宋体"/>
                <w:color w:val="auto"/>
                <w:szCs w:val="21"/>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4</w:t>
            </w:r>
          </w:p>
        </w:tc>
        <w:tc>
          <w:tcPr>
            <w:tcW w:w="676" w:type="pct"/>
          </w:tcPr>
          <w:p w14:paraId="7CEB763D">
            <w:pPr>
              <w:rPr>
                <w:rFonts w:hint="eastAsia" w:ascii="宋体" w:hAnsi="宋体" w:eastAsia="宋体" w:cs="宋体"/>
                <w:color w:val="auto"/>
                <w:szCs w:val="21"/>
              </w:rPr>
            </w:pPr>
          </w:p>
        </w:tc>
        <w:tc>
          <w:tcPr>
            <w:tcW w:w="850" w:type="pct"/>
          </w:tcPr>
          <w:p w14:paraId="7023FC4A">
            <w:pPr>
              <w:rPr>
                <w:rFonts w:hint="eastAsia" w:ascii="宋体" w:hAnsi="宋体" w:eastAsia="宋体" w:cs="宋体"/>
                <w:color w:val="auto"/>
                <w:szCs w:val="21"/>
              </w:rPr>
            </w:pPr>
          </w:p>
        </w:tc>
        <w:tc>
          <w:tcPr>
            <w:tcW w:w="896" w:type="pct"/>
          </w:tcPr>
          <w:p w14:paraId="2F92A615">
            <w:pPr>
              <w:rPr>
                <w:rFonts w:hint="eastAsia" w:ascii="宋体" w:hAnsi="宋体" w:eastAsia="宋体" w:cs="宋体"/>
                <w:color w:val="auto"/>
                <w:szCs w:val="21"/>
              </w:rPr>
            </w:pPr>
          </w:p>
        </w:tc>
        <w:tc>
          <w:tcPr>
            <w:tcW w:w="712" w:type="pct"/>
          </w:tcPr>
          <w:p w14:paraId="27FA4F91">
            <w:pPr>
              <w:rPr>
                <w:rFonts w:hint="eastAsia" w:ascii="宋体" w:hAnsi="宋体" w:eastAsia="宋体" w:cs="宋体"/>
                <w:color w:val="auto"/>
                <w:szCs w:val="21"/>
              </w:rPr>
            </w:pPr>
          </w:p>
        </w:tc>
        <w:tc>
          <w:tcPr>
            <w:tcW w:w="712" w:type="pct"/>
          </w:tcPr>
          <w:p w14:paraId="48CB42A5">
            <w:pPr>
              <w:rPr>
                <w:rFonts w:hint="eastAsia" w:ascii="宋体" w:hAnsi="宋体" w:eastAsia="宋体" w:cs="宋体"/>
                <w:color w:val="auto"/>
                <w:szCs w:val="21"/>
              </w:rPr>
            </w:pPr>
          </w:p>
        </w:tc>
        <w:tc>
          <w:tcPr>
            <w:tcW w:w="712" w:type="pct"/>
          </w:tcPr>
          <w:p w14:paraId="38C88D08">
            <w:pPr>
              <w:rPr>
                <w:rFonts w:hint="eastAsia" w:ascii="宋体" w:hAnsi="宋体" w:eastAsia="宋体" w:cs="宋体"/>
                <w:color w:val="auto"/>
                <w:szCs w:val="21"/>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5</w:t>
            </w:r>
          </w:p>
        </w:tc>
        <w:tc>
          <w:tcPr>
            <w:tcW w:w="676" w:type="pct"/>
          </w:tcPr>
          <w:p w14:paraId="3BB91E7B">
            <w:pPr>
              <w:rPr>
                <w:rFonts w:hint="eastAsia" w:ascii="宋体" w:hAnsi="宋体" w:eastAsia="宋体" w:cs="宋体"/>
                <w:color w:val="auto"/>
                <w:szCs w:val="21"/>
              </w:rPr>
            </w:pPr>
          </w:p>
        </w:tc>
        <w:tc>
          <w:tcPr>
            <w:tcW w:w="850" w:type="pct"/>
          </w:tcPr>
          <w:p w14:paraId="47D328C1">
            <w:pPr>
              <w:rPr>
                <w:rFonts w:hint="eastAsia" w:ascii="宋体" w:hAnsi="宋体" w:eastAsia="宋体" w:cs="宋体"/>
                <w:color w:val="auto"/>
                <w:szCs w:val="21"/>
              </w:rPr>
            </w:pPr>
          </w:p>
        </w:tc>
        <w:tc>
          <w:tcPr>
            <w:tcW w:w="896" w:type="pct"/>
          </w:tcPr>
          <w:p w14:paraId="0ACF4650">
            <w:pPr>
              <w:rPr>
                <w:rFonts w:hint="eastAsia" w:ascii="宋体" w:hAnsi="宋体" w:eastAsia="宋体" w:cs="宋体"/>
                <w:color w:val="auto"/>
                <w:szCs w:val="21"/>
              </w:rPr>
            </w:pPr>
          </w:p>
        </w:tc>
        <w:tc>
          <w:tcPr>
            <w:tcW w:w="712" w:type="pct"/>
          </w:tcPr>
          <w:p w14:paraId="4CC92881">
            <w:pPr>
              <w:rPr>
                <w:rFonts w:hint="eastAsia" w:ascii="宋体" w:hAnsi="宋体" w:eastAsia="宋体" w:cs="宋体"/>
                <w:color w:val="auto"/>
                <w:szCs w:val="21"/>
              </w:rPr>
            </w:pPr>
          </w:p>
        </w:tc>
        <w:tc>
          <w:tcPr>
            <w:tcW w:w="712" w:type="pct"/>
          </w:tcPr>
          <w:p w14:paraId="5C23B49A">
            <w:pPr>
              <w:rPr>
                <w:rFonts w:hint="eastAsia" w:ascii="宋体" w:hAnsi="宋体" w:eastAsia="宋体" w:cs="宋体"/>
                <w:color w:val="auto"/>
                <w:szCs w:val="21"/>
              </w:rPr>
            </w:pPr>
          </w:p>
        </w:tc>
        <w:tc>
          <w:tcPr>
            <w:tcW w:w="712" w:type="pct"/>
          </w:tcPr>
          <w:p w14:paraId="60D46CAF">
            <w:pPr>
              <w:rPr>
                <w:rFonts w:hint="eastAsia" w:ascii="宋体" w:hAnsi="宋体" w:eastAsia="宋体" w:cs="宋体"/>
                <w:color w:val="auto"/>
                <w:szCs w:val="21"/>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6</w:t>
            </w:r>
          </w:p>
        </w:tc>
        <w:tc>
          <w:tcPr>
            <w:tcW w:w="676" w:type="pct"/>
          </w:tcPr>
          <w:p w14:paraId="0EE75553">
            <w:pPr>
              <w:rPr>
                <w:rFonts w:hint="eastAsia" w:ascii="宋体" w:hAnsi="宋体" w:eastAsia="宋体" w:cs="宋体"/>
                <w:color w:val="auto"/>
                <w:szCs w:val="21"/>
              </w:rPr>
            </w:pPr>
          </w:p>
        </w:tc>
        <w:tc>
          <w:tcPr>
            <w:tcW w:w="850" w:type="pct"/>
          </w:tcPr>
          <w:p w14:paraId="5BC0F843">
            <w:pPr>
              <w:rPr>
                <w:rFonts w:hint="eastAsia" w:ascii="宋体" w:hAnsi="宋体" w:eastAsia="宋体" w:cs="宋体"/>
                <w:color w:val="auto"/>
                <w:szCs w:val="21"/>
              </w:rPr>
            </w:pPr>
          </w:p>
        </w:tc>
        <w:tc>
          <w:tcPr>
            <w:tcW w:w="896" w:type="pct"/>
          </w:tcPr>
          <w:p w14:paraId="15011B80">
            <w:pPr>
              <w:rPr>
                <w:rFonts w:hint="eastAsia" w:ascii="宋体" w:hAnsi="宋体" w:eastAsia="宋体" w:cs="宋体"/>
                <w:color w:val="auto"/>
                <w:szCs w:val="21"/>
              </w:rPr>
            </w:pPr>
          </w:p>
        </w:tc>
        <w:tc>
          <w:tcPr>
            <w:tcW w:w="712" w:type="pct"/>
          </w:tcPr>
          <w:p w14:paraId="6688CC53">
            <w:pPr>
              <w:rPr>
                <w:rFonts w:hint="eastAsia" w:ascii="宋体" w:hAnsi="宋体" w:eastAsia="宋体" w:cs="宋体"/>
                <w:color w:val="auto"/>
                <w:szCs w:val="21"/>
              </w:rPr>
            </w:pPr>
          </w:p>
        </w:tc>
        <w:tc>
          <w:tcPr>
            <w:tcW w:w="712" w:type="pct"/>
          </w:tcPr>
          <w:p w14:paraId="2913694A">
            <w:pPr>
              <w:rPr>
                <w:rFonts w:hint="eastAsia" w:ascii="宋体" w:hAnsi="宋体" w:eastAsia="宋体" w:cs="宋体"/>
                <w:color w:val="auto"/>
                <w:szCs w:val="21"/>
              </w:rPr>
            </w:pPr>
          </w:p>
        </w:tc>
        <w:tc>
          <w:tcPr>
            <w:tcW w:w="712" w:type="pct"/>
          </w:tcPr>
          <w:p w14:paraId="68BB0D41">
            <w:pPr>
              <w:rPr>
                <w:rFonts w:hint="eastAsia" w:ascii="宋体" w:hAnsi="宋体" w:eastAsia="宋体" w:cs="宋体"/>
                <w:color w:val="auto"/>
                <w:szCs w:val="21"/>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7</w:t>
            </w:r>
          </w:p>
        </w:tc>
        <w:tc>
          <w:tcPr>
            <w:tcW w:w="676" w:type="pct"/>
          </w:tcPr>
          <w:p w14:paraId="2998C94D">
            <w:pPr>
              <w:rPr>
                <w:rFonts w:hint="eastAsia" w:ascii="宋体" w:hAnsi="宋体" w:eastAsia="宋体" w:cs="宋体"/>
                <w:color w:val="auto"/>
                <w:szCs w:val="21"/>
              </w:rPr>
            </w:pPr>
          </w:p>
        </w:tc>
        <w:tc>
          <w:tcPr>
            <w:tcW w:w="850" w:type="pct"/>
          </w:tcPr>
          <w:p w14:paraId="656F6909">
            <w:pPr>
              <w:rPr>
                <w:rFonts w:hint="eastAsia" w:ascii="宋体" w:hAnsi="宋体" w:eastAsia="宋体" w:cs="宋体"/>
                <w:color w:val="auto"/>
                <w:szCs w:val="21"/>
              </w:rPr>
            </w:pPr>
          </w:p>
        </w:tc>
        <w:tc>
          <w:tcPr>
            <w:tcW w:w="896" w:type="pct"/>
          </w:tcPr>
          <w:p w14:paraId="7E1D64D8">
            <w:pPr>
              <w:rPr>
                <w:rFonts w:hint="eastAsia" w:ascii="宋体" w:hAnsi="宋体" w:eastAsia="宋体" w:cs="宋体"/>
                <w:color w:val="auto"/>
                <w:szCs w:val="21"/>
              </w:rPr>
            </w:pPr>
          </w:p>
        </w:tc>
        <w:tc>
          <w:tcPr>
            <w:tcW w:w="712" w:type="pct"/>
          </w:tcPr>
          <w:p w14:paraId="48B2A5DC">
            <w:pPr>
              <w:rPr>
                <w:rFonts w:hint="eastAsia" w:ascii="宋体" w:hAnsi="宋体" w:eastAsia="宋体" w:cs="宋体"/>
                <w:color w:val="auto"/>
                <w:szCs w:val="21"/>
              </w:rPr>
            </w:pPr>
          </w:p>
        </w:tc>
        <w:tc>
          <w:tcPr>
            <w:tcW w:w="712" w:type="pct"/>
          </w:tcPr>
          <w:p w14:paraId="0891B846">
            <w:pPr>
              <w:rPr>
                <w:rFonts w:hint="eastAsia" w:ascii="宋体" w:hAnsi="宋体" w:eastAsia="宋体" w:cs="宋体"/>
                <w:color w:val="auto"/>
                <w:szCs w:val="21"/>
              </w:rPr>
            </w:pPr>
          </w:p>
        </w:tc>
        <w:tc>
          <w:tcPr>
            <w:tcW w:w="712" w:type="pct"/>
          </w:tcPr>
          <w:p w14:paraId="5957169E">
            <w:pPr>
              <w:rPr>
                <w:rFonts w:hint="eastAsia" w:ascii="宋体" w:hAnsi="宋体" w:eastAsia="宋体" w:cs="宋体"/>
                <w:color w:val="auto"/>
                <w:szCs w:val="21"/>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8</w:t>
            </w:r>
          </w:p>
        </w:tc>
        <w:tc>
          <w:tcPr>
            <w:tcW w:w="676" w:type="pct"/>
          </w:tcPr>
          <w:p w14:paraId="269AFD3D">
            <w:pPr>
              <w:rPr>
                <w:rFonts w:hint="eastAsia" w:ascii="宋体" w:hAnsi="宋体" w:eastAsia="宋体" w:cs="宋体"/>
                <w:color w:val="auto"/>
                <w:szCs w:val="21"/>
              </w:rPr>
            </w:pPr>
          </w:p>
        </w:tc>
        <w:tc>
          <w:tcPr>
            <w:tcW w:w="850" w:type="pct"/>
          </w:tcPr>
          <w:p w14:paraId="22F1E0A2">
            <w:pPr>
              <w:rPr>
                <w:rFonts w:hint="eastAsia" w:ascii="宋体" w:hAnsi="宋体" w:eastAsia="宋体" w:cs="宋体"/>
                <w:color w:val="auto"/>
                <w:szCs w:val="21"/>
              </w:rPr>
            </w:pPr>
          </w:p>
        </w:tc>
        <w:tc>
          <w:tcPr>
            <w:tcW w:w="896" w:type="pct"/>
          </w:tcPr>
          <w:p w14:paraId="344367AA">
            <w:pPr>
              <w:rPr>
                <w:rFonts w:hint="eastAsia" w:ascii="宋体" w:hAnsi="宋体" w:eastAsia="宋体" w:cs="宋体"/>
                <w:color w:val="auto"/>
                <w:szCs w:val="21"/>
              </w:rPr>
            </w:pPr>
          </w:p>
        </w:tc>
        <w:tc>
          <w:tcPr>
            <w:tcW w:w="712" w:type="pct"/>
          </w:tcPr>
          <w:p w14:paraId="18ECC32C">
            <w:pPr>
              <w:rPr>
                <w:rFonts w:hint="eastAsia" w:ascii="宋体" w:hAnsi="宋体" w:eastAsia="宋体" w:cs="宋体"/>
                <w:color w:val="auto"/>
                <w:szCs w:val="21"/>
              </w:rPr>
            </w:pPr>
          </w:p>
        </w:tc>
        <w:tc>
          <w:tcPr>
            <w:tcW w:w="712" w:type="pct"/>
          </w:tcPr>
          <w:p w14:paraId="4E081D5D">
            <w:pPr>
              <w:rPr>
                <w:rFonts w:hint="eastAsia" w:ascii="宋体" w:hAnsi="宋体" w:eastAsia="宋体" w:cs="宋体"/>
                <w:color w:val="auto"/>
                <w:szCs w:val="21"/>
              </w:rPr>
            </w:pPr>
          </w:p>
        </w:tc>
        <w:tc>
          <w:tcPr>
            <w:tcW w:w="712" w:type="pct"/>
          </w:tcPr>
          <w:p w14:paraId="285B6356">
            <w:pPr>
              <w:rPr>
                <w:rFonts w:hint="eastAsia" w:ascii="宋体" w:hAnsi="宋体" w:eastAsia="宋体" w:cs="宋体"/>
                <w:color w:val="auto"/>
                <w:szCs w:val="21"/>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9</w:t>
            </w:r>
          </w:p>
        </w:tc>
        <w:tc>
          <w:tcPr>
            <w:tcW w:w="676" w:type="pct"/>
          </w:tcPr>
          <w:p w14:paraId="71DCB5F0">
            <w:pPr>
              <w:rPr>
                <w:rFonts w:hint="eastAsia" w:ascii="宋体" w:hAnsi="宋体" w:eastAsia="宋体" w:cs="宋体"/>
                <w:color w:val="auto"/>
                <w:szCs w:val="21"/>
              </w:rPr>
            </w:pPr>
          </w:p>
        </w:tc>
        <w:tc>
          <w:tcPr>
            <w:tcW w:w="850" w:type="pct"/>
          </w:tcPr>
          <w:p w14:paraId="3B3CBE9C">
            <w:pPr>
              <w:rPr>
                <w:rFonts w:hint="eastAsia" w:ascii="宋体" w:hAnsi="宋体" w:eastAsia="宋体" w:cs="宋体"/>
                <w:color w:val="auto"/>
                <w:szCs w:val="21"/>
              </w:rPr>
            </w:pPr>
          </w:p>
        </w:tc>
        <w:tc>
          <w:tcPr>
            <w:tcW w:w="896" w:type="pct"/>
          </w:tcPr>
          <w:p w14:paraId="24693B6B">
            <w:pPr>
              <w:rPr>
                <w:rFonts w:hint="eastAsia" w:ascii="宋体" w:hAnsi="宋体" w:eastAsia="宋体" w:cs="宋体"/>
                <w:color w:val="auto"/>
                <w:szCs w:val="21"/>
              </w:rPr>
            </w:pPr>
          </w:p>
        </w:tc>
        <w:tc>
          <w:tcPr>
            <w:tcW w:w="712" w:type="pct"/>
          </w:tcPr>
          <w:p w14:paraId="74193C0E">
            <w:pPr>
              <w:rPr>
                <w:rFonts w:hint="eastAsia" w:ascii="宋体" w:hAnsi="宋体" w:eastAsia="宋体" w:cs="宋体"/>
                <w:color w:val="auto"/>
                <w:szCs w:val="21"/>
              </w:rPr>
            </w:pPr>
          </w:p>
        </w:tc>
        <w:tc>
          <w:tcPr>
            <w:tcW w:w="712" w:type="pct"/>
          </w:tcPr>
          <w:p w14:paraId="0721CA2B">
            <w:pPr>
              <w:rPr>
                <w:rFonts w:hint="eastAsia" w:ascii="宋体" w:hAnsi="宋体" w:eastAsia="宋体" w:cs="宋体"/>
                <w:color w:val="auto"/>
                <w:szCs w:val="21"/>
              </w:rPr>
            </w:pPr>
          </w:p>
        </w:tc>
        <w:tc>
          <w:tcPr>
            <w:tcW w:w="712" w:type="pct"/>
          </w:tcPr>
          <w:p w14:paraId="36558872">
            <w:pPr>
              <w:rPr>
                <w:rFonts w:hint="eastAsia" w:ascii="宋体" w:hAnsi="宋体" w:eastAsia="宋体" w:cs="宋体"/>
                <w:color w:val="auto"/>
                <w:szCs w:val="21"/>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w:t>
            </w:r>
          </w:p>
        </w:tc>
        <w:tc>
          <w:tcPr>
            <w:tcW w:w="676" w:type="pct"/>
          </w:tcPr>
          <w:p w14:paraId="785D0ABC">
            <w:pPr>
              <w:rPr>
                <w:rFonts w:hint="eastAsia" w:ascii="宋体" w:hAnsi="宋体" w:eastAsia="宋体" w:cs="宋体"/>
                <w:color w:val="auto"/>
                <w:szCs w:val="21"/>
              </w:rPr>
            </w:pPr>
          </w:p>
        </w:tc>
        <w:tc>
          <w:tcPr>
            <w:tcW w:w="850" w:type="pct"/>
          </w:tcPr>
          <w:p w14:paraId="2471CDC0">
            <w:pPr>
              <w:rPr>
                <w:rFonts w:hint="eastAsia" w:ascii="宋体" w:hAnsi="宋体" w:eastAsia="宋体" w:cs="宋体"/>
                <w:color w:val="auto"/>
                <w:szCs w:val="21"/>
              </w:rPr>
            </w:pPr>
          </w:p>
        </w:tc>
        <w:tc>
          <w:tcPr>
            <w:tcW w:w="896" w:type="pct"/>
          </w:tcPr>
          <w:p w14:paraId="3CEF178A">
            <w:pPr>
              <w:rPr>
                <w:rFonts w:hint="eastAsia" w:ascii="宋体" w:hAnsi="宋体" w:eastAsia="宋体" w:cs="宋体"/>
                <w:color w:val="auto"/>
                <w:szCs w:val="21"/>
              </w:rPr>
            </w:pPr>
          </w:p>
        </w:tc>
        <w:tc>
          <w:tcPr>
            <w:tcW w:w="712" w:type="pct"/>
          </w:tcPr>
          <w:p w14:paraId="3B66EC57">
            <w:pPr>
              <w:rPr>
                <w:rFonts w:hint="eastAsia" w:ascii="宋体" w:hAnsi="宋体" w:eastAsia="宋体" w:cs="宋体"/>
                <w:color w:val="auto"/>
                <w:szCs w:val="21"/>
              </w:rPr>
            </w:pPr>
          </w:p>
        </w:tc>
        <w:tc>
          <w:tcPr>
            <w:tcW w:w="712" w:type="pct"/>
          </w:tcPr>
          <w:p w14:paraId="76858BF6">
            <w:pPr>
              <w:rPr>
                <w:rFonts w:hint="eastAsia" w:ascii="宋体" w:hAnsi="宋体" w:eastAsia="宋体" w:cs="宋体"/>
                <w:color w:val="auto"/>
                <w:szCs w:val="21"/>
              </w:rPr>
            </w:pPr>
          </w:p>
        </w:tc>
        <w:tc>
          <w:tcPr>
            <w:tcW w:w="712" w:type="pct"/>
          </w:tcPr>
          <w:p w14:paraId="7C574BB5">
            <w:pPr>
              <w:rPr>
                <w:rFonts w:hint="eastAsia" w:ascii="宋体" w:hAnsi="宋体" w:eastAsia="宋体" w:cs="宋体"/>
                <w:color w:val="auto"/>
                <w:szCs w:val="21"/>
              </w:rPr>
            </w:pPr>
          </w:p>
        </w:tc>
      </w:tr>
    </w:tbl>
    <w:p w14:paraId="74D4B3EC">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说明：</w:t>
      </w:r>
    </w:p>
    <w:p w14:paraId="1F07507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1.“招标文件规定的商务条件”项下填写的内容应与招标文件中采购需求的“商务要求”的内容保持一致。</w:t>
      </w:r>
    </w:p>
    <w:p w14:paraId="76A76050">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3.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022900DE">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4.“是否偏离”项下应按下列规定填写：优于的，填写“正偏离”；符合的，填写“无偏离”；低于的，填写“负偏离”。</w:t>
      </w:r>
    </w:p>
    <w:p w14:paraId="7A12FB0B">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5.“备注”处可填写偏离情况的说明。</w:t>
      </w:r>
    </w:p>
    <w:p w14:paraId="7C2AD033">
      <w:pPr>
        <w:widowControl/>
        <w:spacing w:before="435" w:beforeLines="100" w:line="300" w:lineRule="auto"/>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29B70F4B">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6ED281EA">
      <w:pPr>
        <w:pageBreakBefore/>
        <w:rPr>
          <w:rFonts w:hint="eastAsia" w:ascii="宋体" w:hAnsi="宋体" w:eastAsia="宋体" w:cs="宋体"/>
          <w:color w:val="auto"/>
          <w:kern w:val="0"/>
          <w:sz w:val="20"/>
          <w:szCs w:val="20"/>
          <w:lang w:eastAsia="zh-Hans"/>
        </w:rPr>
      </w:pPr>
      <w:bookmarkStart w:id="53" w:name="_Toc169799802"/>
      <w:r>
        <w:rPr>
          <w:rFonts w:hint="eastAsia" w:ascii="宋体" w:hAnsi="宋体" w:eastAsia="宋体" w:cs="宋体"/>
          <w:b/>
          <w:bCs/>
          <w:color w:val="auto"/>
          <w:sz w:val="24"/>
          <w:szCs w:val="28"/>
        </w:rPr>
        <w:t>格式十</w:t>
      </w:r>
      <w:r>
        <w:rPr>
          <w:rFonts w:hint="eastAsia" w:ascii="宋体" w:hAnsi="宋体" w:eastAsia="宋体" w:cs="宋体"/>
          <w:b/>
          <w:bCs/>
          <w:color w:val="auto"/>
          <w:sz w:val="24"/>
          <w:szCs w:val="28"/>
          <w:lang w:val="en-US" w:eastAsia="zh-CN"/>
        </w:rPr>
        <w:t>九</w:t>
      </w:r>
      <w:r>
        <w:rPr>
          <w:rFonts w:hint="eastAsia" w:ascii="宋体" w:hAnsi="宋体" w:eastAsia="宋体" w:cs="宋体"/>
          <w:b/>
          <w:bCs/>
          <w:color w:val="auto"/>
          <w:sz w:val="24"/>
          <w:szCs w:val="28"/>
        </w:rPr>
        <w:t>：</w:t>
      </w:r>
      <w:bookmarkEnd w:id="53"/>
    </w:p>
    <w:p w14:paraId="1CCEEDC3">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（以下格式文件由供应商根据需要选用）</w:t>
      </w:r>
    </w:p>
    <w:p w14:paraId="49842024">
      <w:pPr>
        <w:widowControl/>
        <w:spacing w:before="217" w:beforeLines="50" w:after="435" w:afterLines="100"/>
        <w:jc w:val="center"/>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各类证明材料</w:t>
      </w:r>
    </w:p>
    <w:p w14:paraId="6CD1D7C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1.招标文件要求提供的其他资料。</w:t>
      </w:r>
    </w:p>
    <w:p w14:paraId="49509B54">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2.投标人认为需提供的其他资料。</w:t>
      </w:r>
    </w:p>
    <w:p w14:paraId="3463C6D9">
      <w:pPr>
        <w:widowControl/>
        <w:jc w:val="left"/>
        <w:rPr>
          <w:rFonts w:hint="eastAsia" w:ascii="宋体" w:hAnsi="宋体" w:eastAsia="宋体" w:cs="宋体"/>
          <w:color w:val="auto"/>
          <w:kern w:val="0"/>
          <w:sz w:val="20"/>
          <w:szCs w:val="20"/>
          <w:lang w:eastAsia="zh-Hans"/>
        </w:rPr>
      </w:pPr>
    </w:p>
    <w:p w14:paraId="72D04ACC">
      <w:pPr>
        <w:pageBreakBefore/>
        <w:rPr>
          <w:rFonts w:hint="eastAsia" w:ascii="宋体" w:hAnsi="宋体" w:eastAsia="宋体" w:cs="宋体"/>
          <w:color w:val="auto"/>
          <w:kern w:val="0"/>
          <w:sz w:val="20"/>
          <w:szCs w:val="20"/>
          <w:lang w:eastAsia="zh-Hans"/>
        </w:rPr>
      </w:pPr>
      <w:bookmarkStart w:id="54" w:name="_Toc169799803"/>
      <w:r>
        <w:rPr>
          <w:rFonts w:hint="eastAsia" w:ascii="宋体" w:hAnsi="宋体" w:eastAsia="宋体" w:cs="宋体"/>
          <w:b/>
          <w:bCs/>
          <w:color w:val="auto"/>
          <w:sz w:val="24"/>
          <w:szCs w:val="28"/>
        </w:rPr>
        <w:t>格式二十：</w:t>
      </w:r>
      <w:bookmarkEnd w:id="54"/>
    </w:p>
    <w:p w14:paraId="3BD25764">
      <w:pPr>
        <w:widowControl/>
        <w:jc w:val="center"/>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采购代理服务费支付承诺书</w:t>
      </w:r>
    </w:p>
    <w:p w14:paraId="0F6F64BB">
      <w:pPr>
        <w:widowControl/>
        <w:spacing w:before="217" w:beforeLines="50" w:after="217" w:afterLines="50"/>
        <w:jc w:val="left"/>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广东智汇城市招标采购有限公司</w:t>
      </w:r>
    </w:p>
    <w:p w14:paraId="3F7825C3">
      <w:pPr>
        <w:widowControl/>
        <w:ind w:firstLine="420" w:firstLineChars="20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如果我方在贵采购代理机构组织的</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u w:val="single"/>
          <w:lang w:eastAsia="zh-Hans"/>
        </w:rPr>
        <w:t>（采购项目名称）</w:t>
      </w:r>
      <w:r>
        <w:rPr>
          <w:rFonts w:hint="eastAsia" w:ascii="宋体" w:hAnsi="宋体" w:eastAsia="宋体" w:cs="宋体"/>
          <w:color w:val="auto"/>
          <w:kern w:val="0"/>
          <w:szCs w:val="21"/>
          <w:u w:val="single"/>
        </w:rPr>
        <w:t>、（项目编号：   ）</w:t>
      </w:r>
      <w:r>
        <w:rPr>
          <w:rFonts w:hint="eastAsia" w:ascii="宋体" w:hAnsi="宋体" w:eastAsia="宋体" w:cs="宋体"/>
          <w:color w:val="auto"/>
          <w:kern w:val="0"/>
          <w:szCs w:val="21"/>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特此承诺！</w:t>
      </w:r>
    </w:p>
    <w:p w14:paraId="076C58B4">
      <w:pPr>
        <w:widowControl/>
        <w:spacing w:before="1087" w:beforeLines="250"/>
        <w:ind w:firstLine="3542" w:firstLineChars="1687"/>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投标人名称（公章）：</w:t>
      </w:r>
    </w:p>
    <w:p w14:paraId="6293AB15">
      <w:pPr>
        <w:widowControl/>
        <w:ind w:firstLine="3542" w:firstLineChars="1687"/>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投标人地址：</w:t>
      </w:r>
    </w:p>
    <w:p w14:paraId="56173F96">
      <w:pPr>
        <w:widowControl/>
        <w:ind w:firstLine="3542" w:firstLineChars="1687"/>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投标人授权代表（签字或盖私章）：</w:t>
      </w:r>
    </w:p>
    <w:p w14:paraId="54EF3A1A">
      <w:pPr>
        <w:widowControl/>
        <w:ind w:firstLine="3542" w:firstLineChars="1687"/>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电 话：</w:t>
      </w:r>
    </w:p>
    <w:p w14:paraId="03190D92">
      <w:pPr>
        <w:widowControl/>
        <w:ind w:firstLine="3542" w:firstLineChars="1687"/>
        <w:jc w:val="left"/>
        <w:rPr>
          <w:rFonts w:hint="eastAsia" w:ascii="宋体" w:hAnsi="宋体" w:eastAsia="宋体" w:cs="宋体"/>
          <w:color w:val="auto"/>
          <w:kern w:val="0"/>
          <w:sz w:val="20"/>
          <w:szCs w:val="20"/>
        </w:rPr>
      </w:pPr>
      <w:r>
        <w:rPr>
          <w:rFonts w:hint="eastAsia" w:ascii="宋体" w:hAnsi="宋体" w:eastAsia="宋体" w:cs="宋体"/>
          <w:color w:val="auto"/>
          <w:kern w:val="0"/>
          <w:szCs w:val="21"/>
          <w:lang w:eastAsia="zh-Hans"/>
        </w:rPr>
        <w:t>承诺日期：</w:t>
      </w:r>
    </w:p>
    <w:p w14:paraId="7A1D1B5B">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 xml:space="preserve"> </w:t>
      </w:r>
    </w:p>
    <w:p w14:paraId="49AF5F61">
      <w:pPr>
        <w:pageBreakBefore/>
        <w:rPr>
          <w:rFonts w:hint="eastAsia" w:ascii="宋体" w:hAnsi="宋体" w:eastAsia="宋体" w:cs="宋体"/>
          <w:color w:val="auto"/>
          <w:kern w:val="0"/>
          <w:sz w:val="20"/>
          <w:szCs w:val="20"/>
          <w:lang w:eastAsia="zh-Hans"/>
        </w:rPr>
      </w:pPr>
      <w:bookmarkStart w:id="55" w:name="_Toc169799804"/>
      <w:r>
        <w:rPr>
          <w:rFonts w:hint="eastAsia" w:ascii="宋体" w:hAnsi="宋体" w:eastAsia="宋体" w:cs="宋体"/>
          <w:b/>
          <w:bCs/>
          <w:color w:val="auto"/>
          <w:sz w:val="24"/>
          <w:szCs w:val="28"/>
        </w:rPr>
        <w:t>格式二十</w:t>
      </w:r>
      <w:r>
        <w:rPr>
          <w:rFonts w:hint="eastAsia" w:ascii="宋体" w:hAnsi="宋体" w:eastAsia="宋体" w:cs="宋体"/>
          <w:b/>
          <w:bCs/>
          <w:color w:val="auto"/>
          <w:sz w:val="24"/>
          <w:szCs w:val="28"/>
          <w:lang w:val="en-US" w:eastAsia="zh-CN"/>
        </w:rPr>
        <w:t>一</w:t>
      </w:r>
      <w:r>
        <w:rPr>
          <w:rFonts w:hint="eastAsia" w:ascii="宋体" w:hAnsi="宋体" w:eastAsia="宋体" w:cs="宋体"/>
          <w:b/>
          <w:bCs/>
          <w:color w:val="auto"/>
          <w:sz w:val="24"/>
          <w:szCs w:val="28"/>
        </w:rPr>
        <w:t>：</w:t>
      </w:r>
      <w:bookmarkEnd w:id="55"/>
    </w:p>
    <w:p w14:paraId="67EAE6AD">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（以下格式文件由供应商根据需要选用）</w:t>
      </w:r>
    </w:p>
    <w:p w14:paraId="39A05DE7">
      <w:pPr>
        <w:widowControl/>
        <w:spacing w:before="435" w:beforeLines="100" w:after="217" w:afterLines="50"/>
        <w:jc w:val="center"/>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询问函、质疑函、投诉书格式</w:t>
      </w:r>
    </w:p>
    <w:p w14:paraId="583F45B3">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询问函</w:t>
      </w:r>
    </w:p>
    <w:p w14:paraId="5B32EBFA">
      <w:pPr>
        <w:widowControl/>
        <w:spacing w:after="217" w:afterLines="50"/>
        <w:jc w:val="left"/>
        <w:rPr>
          <w:rFonts w:hint="eastAsia"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广东智汇城市招标采购有限公司</w:t>
      </w:r>
    </w:p>
    <w:p w14:paraId="5BAB6C7E">
      <w:pPr>
        <w:widowControl/>
        <w:tabs>
          <w:tab w:val="left" w:pos="6300"/>
        </w:tabs>
        <w:adjustRightInd w:val="0"/>
        <w:spacing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我单位已获取招标文件并准备参与</w:t>
      </w:r>
      <w:r>
        <w:rPr>
          <w:rFonts w:hint="eastAsia" w:ascii="宋体" w:hAnsi="宋体" w:eastAsia="宋体" w:cs="宋体"/>
          <w:i/>
          <w:color w:val="auto"/>
          <w:szCs w:val="21"/>
          <w:u w:val="single"/>
        </w:rPr>
        <w:t xml:space="preserve">           </w:t>
      </w:r>
      <w:r>
        <w:rPr>
          <w:rFonts w:hint="eastAsia" w:ascii="宋体" w:hAnsi="宋体" w:eastAsia="宋体" w:cs="宋体"/>
          <w:color w:val="auto"/>
          <w:szCs w:val="21"/>
        </w:rPr>
        <w:t>项目（项目编号</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一、</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（事项一）</w:t>
      </w:r>
      <w:r>
        <w:rPr>
          <w:rFonts w:hint="eastAsia" w:ascii="宋体" w:hAnsi="宋体" w:eastAsia="宋体" w:cs="宋体"/>
          <w:color w:val="auto"/>
          <w:szCs w:val="21"/>
        </w:rPr>
        <w:tab/>
      </w:r>
    </w:p>
    <w:p w14:paraId="48D7E72A">
      <w:pPr>
        <w:widowControl/>
        <w:tabs>
          <w:tab w:val="left" w:pos="6300"/>
        </w:tabs>
        <w:adjustRightInd w:val="0"/>
        <w:spacing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（问题或条款内容）</w:t>
      </w:r>
    </w:p>
    <w:p w14:paraId="1DCBFF8A">
      <w:pPr>
        <w:widowControl/>
        <w:tabs>
          <w:tab w:val="left" w:pos="6300"/>
        </w:tabs>
        <w:adjustRightInd w:val="0"/>
        <w:spacing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（说明疑问或无法理解原因）</w:t>
      </w:r>
    </w:p>
    <w:p w14:paraId="36171D56">
      <w:pPr>
        <w:widowControl/>
        <w:tabs>
          <w:tab w:val="left" w:pos="6300"/>
        </w:tabs>
        <w:adjustRightInd w:val="0"/>
        <w:spacing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（建议）</w:t>
      </w:r>
    </w:p>
    <w:p w14:paraId="2FCD3BAB">
      <w:pPr>
        <w:widowControl/>
        <w:tabs>
          <w:tab w:val="left" w:pos="6300"/>
        </w:tabs>
        <w:adjustRightInd w:val="0"/>
        <w:spacing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二、</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（事项二）</w:t>
      </w:r>
    </w:p>
    <w:p w14:paraId="6F76D746">
      <w:pPr>
        <w:widowControl/>
        <w:tabs>
          <w:tab w:val="left" w:pos="6300"/>
        </w:tabs>
        <w:adjustRightInd w:val="0"/>
        <w:spacing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w:t>
      </w:r>
    </w:p>
    <w:p w14:paraId="3D2D958F">
      <w:pPr>
        <w:widowControl/>
        <w:tabs>
          <w:tab w:val="left" w:pos="6300"/>
        </w:tabs>
        <w:adjustRightInd w:val="0"/>
        <w:spacing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随附相关证明材料如下：（目录）。</w:t>
      </w:r>
    </w:p>
    <w:p w14:paraId="18CF75FA">
      <w:pPr>
        <w:widowControl/>
        <w:tabs>
          <w:tab w:val="left" w:pos="6300"/>
        </w:tabs>
        <w:adjustRightInd w:val="0"/>
        <w:spacing w:line="360" w:lineRule="auto"/>
        <w:ind w:firstLine="1260" w:firstLineChars="600"/>
        <w:rPr>
          <w:rFonts w:hint="eastAsia" w:ascii="宋体" w:hAnsi="宋体" w:eastAsia="宋体" w:cs="宋体"/>
          <w:color w:val="auto"/>
          <w:szCs w:val="21"/>
        </w:rPr>
      </w:pPr>
      <w:r>
        <w:rPr>
          <w:rFonts w:hint="eastAsia" w:ascii="宋体" w:hAnsi="宋体" w:eastAsia="宋体" w:cs="宋体"/>
          <w:color w:val="auto"/>
          <w:szCs w:val="21"/>
        </w:rPr>
        <w:t>询问人：（公章）</w:t>
      </w:r>
    </w:p>
    <w:p w14:paraId="69EDC84B">
      <w:pPr>
        <w:widowControl/>
        <w:tabs>
          <w:tab w:val="left" w:pos="6300"/>
        </w:tabs>
        <w:adjustRightInd w:val="0"/>
        <w:spacing w:line="360" w:lineRule="auto"/>
        <w:ind w:firstLine="1260" w:firstLineChars="600"/>
        <w:rPr>
          <w:rFonts w:hint="eastAsia" w:ascii="宋体" w:hAnsi="宋体" w:eastAsia="宋体" w:cs="宋体"/>
          <w:color w:val="auto"/>
          <w:szCs w:val="21"/>
        </w:rPr>
      </w:pPr>
      <w:r>
        <w:rPr>
          <w:rFonts w:hint="eastAsia" w:ascii="宋体" w:hAnsi="宋体" w:eastAsia="宋体" w:cs="宋体"/>
          <w:color w:val="auto"/>
          <w:szCs w:val="21"/>
        </w:rPr>
        <w:t>法定代表人（授权代表）：</w:t>
      </w:r>
    </w:p>
    <w:p w14:paraId="6229C23B">
      <w:pPr>
        <w:tabs>
          <w:tab w:val="left" w:pos="6300"/>
        </w:tabs>
        <w:adjustRightInd w:val="0"/>
        <w:spacing w:line="360" w:lineRule="auto"/>
        <w:ind w:firstLine="1260" w:firstLineChars="600"/>
        <w:rPr>
          <w:rFonts w:hint="eastAsia" w:ascii="宋体" w:hAnsi="宋体" w:eastAsia="宋体" w:cs="宋体"/>
          <w:color w:val="auto"/>
          <w:szCs w:val="21"/>
        </w:rPr>
      </w:pPr>
      <w:r>
        <w:rPr>
          <w:rFonts w:hint="eastAsia" w:ascii="宋体" w:hAnsi="宋体" w:eastAsia="宋体" w:cs="宋体"/>
          <w:color w:val="auto"/>
          <w:szCs w:val="21"/>
        </w:rPr>
        <w:t>地址/邮编：</w:t>
      </w:r>
    </w:p>
    <w:p w14:paraId="770D3B3B">
      <w:pPr>
        <w:tabs>
          <w:tab w:val="left" w:pos="6300"/>
        </w:tabs>
        <w:adjustRightInd w:val="0"/>
        <w:spacing w:line="360" w:lineRule="auto"/>
        <w:ind w:firstLine="1260" w:firstLineChars="600"/>
        <w:rPr>
          <w:rFonts w:hint="eastAsia" w:ascii="宋体" w:hAnsi="宋体" w:eastAsia="宋体" w:cs="宋体"/>
          <w:color w:val="auto"/>
          <w:szCs w:val="21"/>
        </w:rPr>
      </w:pPr>
      <w:r>
        <w:rPr>
          <w:rFonts w:hint="eastAsia" w:ascii="宋体" w:hAnsi="宋体" w:eastAsia="宋体" w:cs="宋体"/>
          <w:color w:val="auto"/>
          <w:szCs w:val="21"/>
        </w:rPr>
        <w:t>电话/传真：</w:t>
      </w:r>
    </w:p>
    <w:p w14:paraId="51A6328E">
      <w:pPr>
        <w:adjustRightInd w:val="0"/>
        <w:spacing w:before="435" w:beforeLines="100" w:line="360" w:lineRule="auto"/>
        <w:jc w:val="right"/>
        <w:rPr>
          <w:rFonts w:hint="eastAsia" w:ascii="宋体" w:hAnsi="宋体" w:eastAsia="宋体" w:cs="宋体"/>
          <w:color w:val="auto"/>
          <w:szCs w:val="21"/>
        </w:rPr>
      </w:pPr>
      <w:r>
        <w:rPr>
          <w:rFonts w:hint="eastAsia" w:ascii="宋体" w:hAnsi="宋体" w:eastAsia="宋体" w:cs="宋体"/>
          <w:color w:val="auto"/>
          <w:szCs w:val="21"/>
        </w:rPr>
        <w:t>年     月     日</w:t>
      </w:r>
    </w:p>
    <w:p w14:paraId="01286613">
      <w:pPr>
        <w:pageBreakBefore/>
        <w:spacing w:after="217" w:afterLines="50"/>
        <w:jc w:val="center"/>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质疑函</w:t>
      </w:r>
    </w:p>
    <w:p w14:paraId="05E0A0E7">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一、质疑供应商基本信息</w:t>
      </w:r>
    </w:p>
    <w:p w14:paraId="158961AA">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质疑供应商：</w:t>
      </w:r>
    </w:p>
    <w:p w14:paraId="52746805">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地址：</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邮编：</w:t>
      </w:r>
      <w:r>
        <w:rPr>
          <w:rFonts w:hint="eastAsia" w:ascii="宋体" w:hAnsi="宋体" w:eastAsia="宋体" w:cs="宋体"/>
          <w:color w:val="auto"/>
          <w:kern w:val="0"/>
          <w:szCs w:val="21"/>
          <w:u w:val="single"/>
        </w:rPr>
        <w:t xml:space="preserve">                               </w:t>
      </w:r>
    </w:p>
    <w:p w14:paraId="56C7574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联系：</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联系电话：</w:t>
      </w:r>
      <w:r>
        <w:rPr>
          <w:rFonts w:hint="eastAsia" w:ascii="宋体" w:hAnsi="宋体" w:eastAsia="宋体" w:cs="宋体"/>
          <w:color w:val="auto"/>
          <w:kern w:val="0"/>
          <w:szCs w:val="21"/>
          <w:u w:val="single"/>
        </w:rPr>
        <w:t xml:space="preserve">                           </w:t>
      </w:r>
    </w:p>
    <w:p w14:paraId="11ADF3E7">
      <w:pPr>
        <w:widowControl/>
        <w:jc w:val="left"/>
        <w:rPr>
          <w:rFonts w:hint="eastAsia" w:ascii="宋体" w:hAnsi="宋体" w:eastAsia="宋体" w:cs="宋体"/>
          <w:color w:val="auto"/>
          <w:kern w:val="0"/>
          <w:szCs w:val="21"/>
          <w:u w:val="single"/>
        </w:rPr>
      </w:pPr>
      <w:r>
        <w:rPr>
          <w:rFonts w:hint="eastAsia" w:ascii="宋体" w:hAnsi="宋体" w:eastAsia="宋体" w:cs="宋体"/>
          <w:color w:val="auto"/>
          <w:kern w:val="0"/>
          <w:szCs w:val="21"/>
          <w:lang w:eastAsia="zh-Hans"/>
        </w:rPr>
        <w:t>授权代表：</w:t>
      </w:r>
      <w:r>
        <w:rPr>
          <w:rFonts w:hint="eastAsia" w:ascii="宋体" w:hAnsi="宋体" w:eastAsia="宋体" w:cs="宋体"/>
          <w:color w:val="auto"/>
          <w:kern w:val="0"/>
          <w:szCs w:val="21"/>
          <w:u w:val="single"/>
        </w:rPr>
        <w:t xml:space="preserve">                        </w:t>
      </w:r>
    </w:p>
    <w:p w14:paraId="424B4A5D">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联系电话：</w:t>
      </w:r>
      <w:r>
        <w:rPr>
          <w:rFonts w:hint="eastAsia" w:ascii="宋体" w:hAnsi="宋体" w:eastAsia="宋体" w:cs="宋体"/>
          <w:color w:val="auto"/>
          <w:kern w:val="0"/>
          <w:szCs w:val="21"/>
          <w:u w:val="single"/>
        </w:rPr>
        <w:t xml:space="preserve">                        </w:t>
      </w:r>
    </w:p>
    <w:p w14:paraId="5D70AE52">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地址：</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邮编：</w:t>
      </w:r>
      <w:r>
        <w:rPr>
          <w:rFonts w:hint="eastAsia" w:ascii="宋体" w:hAnsi="宋体" w:eastAsia="宋体" w:cs="宋体"/>
          <w:color w:val="auto"/>
          <w:kern w:val="0"/>
          <w:szCs w:val="21"/>
          <w:u w:val="single"/>
        </w:rPr>
        <w:t xml:space="preserve">                           </w:t>
      </w:r>
    </w:p>
    <w:p w14:paraId="46DC6624">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二、质疑项目基本情况</w:t>
      </w:r>
    </w:p>
    <w:p w14:paraId="10475191">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质疑项目的名称：</w:t>
      </w:r>
      <w:r>
        <w:rPr>
          <w:rFonts w:hint="eastAsia" w:ascii="宋体" w:hAnsi="宋体" w:eastAsia="宋体" w:cs="宋体"/>
          <w:color w:val="auto"/>
          <w:kern w:val="0"/>
          <w:szCs w:val="21"/>
          <w:u w:val="single"/>
        </w:rPr>
        <w:t xml:space="preserve">                                                        </w:t>
      </w:r>
    </w:p>
    <w:p w14:paraId="1B10DD07">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质疑项目的编号：</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包号：</w:t>
      </w:r>
      <w:r>
        <w:rPr>
          <w:rFonts w:hint="eastAsia" w:ascii="宋体" w:hAnsi="宋体" w:eastAsia="宋体" w:cs="宋体"/>
          <w:color w:val="auto"/>
          <w:kern w:val="0"/>
          <w:szCs w:val="21"/>
          <w:u w:val="single"/>
        </w:rPr>
        <w:t xml:space="preserve">                       </w:t>
      </w:r>
    </w:p>
    <w:p w14:paraId="70FC159B">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采购人名称：</w:t>
      </w:r>
      <w:r>
        <w:rPr>
          <w:rFonts w:hint="eastAsia" w:ascii="宋体" w:hAnsi="宋体" w:eastAsia="宋体" w:cs="宋体"/>
          <w:color w:val="auto"/>
          <w:kern w:val="0"/>
          <w:szCs w:val="21"/>
          <w:u w:val="single"/>
        </w:rPr>
        <w:t xml:space="preserve">                                                            </w:t>
      </w:r>
    </w:p>
    <w:p w14:paraId="11D5C0C4">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采购文件获取日期：</w:t>
      </w:r>
      <w:r>
        <w:rPr>
          <w:rFonts w:hint="eastAsia" w:ascii="宋体" w:hAnsi="宋体" w:eastAsia="宋体" w:cs="宋体"/>
          <w:color w:val="auto"/>
          <w:kern w:val="0"/>
          <w:szCs w:val="21"/>
          <w:u w:val="single"/>
        </w:rPr>
        <w:t xml:space="preserve">                                                      </w:t>
      </w:r>
    </w:p>
    <w:p w14:paraId="5050D095">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三、质疑事项具体内容</w:t>
      </w:r>
    </w:p>
    <w:p w14:paraId="475EB281">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质疑事项1：</w:t>
      </w:r>
      <w:r>
        <w:rPr>
          <w:rFonts w:hint="eastAsia" w:ascii="宋体" w:hAnsi="宋体" w:eastAsia="宋体" w:cs="宋体"/>
          <w:color w:val="auto"/>
          <w:kern w:val="0"/>
          <w:szCs w:val="21"/>
          <w:u w:val="single"/>
        </w:rPr>
        <w:t xml:space="preserve">                                                             </w:t>
      </w:r>
    </w:p>
    <w:p w14:paraId="16F2D88E">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事实依据：</w:t>
      </w:r>
      <w:r>
        <w:rPr>
          <w:rFonts w:hint="eastAsia" w:ascii="宋体" w:hAnsi="宋体" w:eastAsia="宋体" w:cs="宋体"/>
          <w:color w:val="auto"/>
          <w:kern w:val="0"/>
          <w:szCs w:val="21"/>
          <w:u w:val="single"/>
        </w:rPr>
        <w:t xml:space="preserve">                                                               </w:t>
      </w:r>
    </w:p>
    <w:p w14:paraId="7D6A8351">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法律依据：</w:t>
      </w:r>
      <w:r>
        <w:rPr>
          <w:rFonts w:hint="eastAsia" w:ascii="宋体" w:hAnsi="宋体" w:eastAsia="宋体" w:cs="宋体"/>
          <w:color w:val="auto"/>
          <w:kern w:val="0"/>
          <w:szCs w:val="21"/>
          <w:u w:val="single"/>
        </w:rPr>
        <w:t xml:space="preserve">                                                               </w:t>
      </w:r>
    </w:p>
    <w:p w14:paraId="7A3CC26B">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质疑事项2：</w:t>
      </w:r>
      <w:r>
        <w:rPr>
          <w:rFonts w:hint="eastAsia" w:ascii="宋体" w:hAnsi="宋体" w:eastAsia="宋体" w:cs="宋体"/>
          <w:color w:val="auto"/>
          <w:kern w:val="0"/>
          <w:szCs w:val="21"/>
          <w:u w:val="single"/>
        </w:rPr>
        <w:t xml:space="preserve">                                                              </w:t>
      </w:r>
    </w:p>
    <w:p w14:paraId="07FB76CA">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w:t>
      </w:r>
    </w:p>
    <w:p w14:paraId="5508D6D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四、与质疑事项相关的质疑请求</w:t>
      </w:r>
    </w:p>
    <w:p w14:paraId="4F278798">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请求：</w:t>
      </w:r>
      <w:r>
        <w:rPr>
          <w:rFonts w:hint="eastAsia" w:ascii="宋体" w:hAnsi="宋体" w:eastAsia="宋体" w:cs="宋体"/>
          <w:color w:val="auto"/>
          <w:kern w:val="0"/>
          <w:szCs w:val="21"/>
          <w:u w:val="single"/>
        </w:rPr>
        <w:t xml:space="preserve">                                                                   </w:t>
      </w:r>
    </w:p>
    <w:p w14:paraId="3A89AB9C">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签字(签章)：</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 xml:space="preserve"> 公章：</w:t>
      </w:r>
      <w:r>
        <w:rPr>
          <w:rFonts w:hint="eastAsia" w:ascii="宋体" w:hAnsi="宋体" w:eastAsia="宋体" w:cs="宋体"/>
          <w:color w:val="auto"/>
          <w:kern w:val="0"/>
          <w:szCs w:val="21"/>
          <w:u w:val="single"/>
        </w:rPr>
        <w:t xml:space="preserve">                           </w:t>
      </w:r>
    </w:p>
    <w:p w14:paraId="4E894DE5">
      <w:pPr>
        <w:widowControl/>
        <w:spacing w:before="217" w:beforeLines="50"/>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日期： 年 月 日</w:t>
      </w:r>
    </w:p>
    <w:p w14:paraId="047E3C50">
      <w:pPr>
        <w:widowControl/>
        <w:spacing w:before="217" w:beforeLines="5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质疑函制作说明：</w:t>
      </w:r>
    </w:p>
    <w:p w14:paraId="79DC6EA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1.供应商提出质疑时，应提交质疑函和必要的证明材料。</w:t>
      </w:r>
    </w:p>
    <w:p w14:paraId="188EC3B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3.质疑供应商若对项目的某一分包进行质疑，质疑函中应列明具体采购包号。</w:t>
      </w:r>
    </w:p>
    <w:p w14:paraId="346264A8">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4.质疑函的质疑事项应具体、明确，并有必要的事实依据和法律依据。</w:t>
      </w:r>
    </w:p>
    <w:p w14:paraId="3DBC47FD">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5.质疑函的质疑请求应与质疑事项相关。</w:t>
      </w:r>
    </w:p>
    <w:p w14:paraId="7B228F45">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hint="eastAsia" w:ascii="宋体" w:hAnsi="宋体" w:eastAsia="宋体" w:cs="宋体"/>
          <w:color w:val="auto"/>
          <w:kern w:val="0"/>
          <w:szCs w:val="21"/>
          <w:lang w:eastAsia="zh-Hans"/>
        </w:rPr>
      </w:pPr>
      <w:r>
        <w:rPr>
          <w:rFonts w:hint="eastAsia" w:ascii="宋体" w:hAnsi="宋体" w:eastAsia="宋体" w:cs="宋体"/>
          <w:b/>
          <w:color w:val="auto"/>
          <w:kern w:val="0"/>
          <w:sz w:val="32"/>
          <w:lang w:eastAsia="zh-Hans"/>
        </w:rPr>
        <w:t>投诉书</w:t>
      </w:r>
    </w:p>
    <w:p w14:paraId="7CB916B6">
      <w:pPr>
        <w:widowControl/>
        <w:jc w:val="left"/>
        <w:rPr>
          <w:rFonts w:hint="eastAsia" w:ascii="宋体" w:hAnsi="宋体" w:eastAsia="宋体" w:cs="宋体"/>
          <w:color w:val="auto"/>
          <w:kern w:val="0"/>
          <w:szCs w:val="21"/>
          <w:lang w:eastAsia="zh-Hans"/>
        </w:rPr>
      </w:pPr>
      <w:bookmarkStart w:id="56" w:name="_Hlk170136144"/>
      <w:r>
        <w:rPr>
          <w:rFonts w:hint="eastAsia" w:ascii="宋体" w:hAnsi="宋体" w:eastAsia="宋体" w:cs="宋体"/>
          <w:color w:val="auto"/>
          <w:kern w:val="0"/>
          <w:szCs w:val="21"/>
          <w:lang w:eastAsia="zh-Hans"/>
        </w:rPr>
        <w:t>一、投诉相关主体基本情况</w:t>
      </w:r>
    </w:p>
    <w:p w14:paraId="63A946CA">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投诉人：</w:t>
      </w:r>
      <w:r>
        <w:rPr>
          <w:rFonts w:hint="eastAsia" w:ascii="宋体" w:hAnsi="宋体" w:eastAsia="宋体" w:cs="宋体"/>
          <w:color w:val="auto"/>
          <w:kern w:val="0"/>
          <w:szCs w:val="21"/>
          <w:u w:val="single"/>
        </w:rPr>
        <w:t xml:space="preserve">                                                                      </w:t>
      </w:r>
    </w:p>
    <w:p w14:paraId="700DAB31">
      <w:pPr>
        <w:widowControl/>
        <w:jc w:val="left"/>
        <w:rPr>
          <w:rFonts w:hint="eastAsia" w:ascii="宋体" w:hAnsi="宋体" w:eastAsia="宋体" w:cs="宋体"/>
          <w:color w:val="auto"/>
          <w:kern w:val="0"/>
          <w:szCs w:val="21"/>
        </w:rPr>
      </w:pPr>
      <w:r>
        <w:rPr>
          <w:rFonts w:hint="eastAsia" w:ascii="宋体" w:hAnsi="宋体" w:eastAsia="宋体" w:cs="宋体"/>
          <w:color w:val="auto"/>
          <w:kern w:val="0"/>
          <w:szCs w:val="21"/>
          <w:lang w:eastAsia="zh-Hans"/>
        </w:rPr>
        <w:t>地 址：</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邮编：</w:t>
      </w:r>
      <w:r>
        <w:rPr>
          <w:rFonts w:hint="eastAsia" w:ascii="宋体" w:hAnsi="宋体" w:eastAsia="宋体" w:cs="宋体"/>
          <w:color w:val="auto"/>
          <w:kern w:val="0"/>
          <w:szCs w:val="21"/>
          <w:u w:val="single"/>
        </w:rPr>
        <w:t xml:space="preserve">                          </w:t>
      </w:r>
    </w:p>
    <w:p w14:paraId="576D61A6">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法定代表人/主要负责人：</w:t>
      </w:r>
      <w:r>
        <w:rPr>
          <w:rFonts w:hint="eastAsia" w:ascii="宋体" w:hAnsi="宋体" w:eastAsia="宋体" w:cs="宋体"/>
          <w:color w:val="auto"/>
          <w:kern w:val="0"/>
          <w:szCs w:val="21"/>
          <w:u w:val="single"/>
        </w:rPr>
        <w:t xml:space="preserve">                                                       </w:t>
      </w:r>
    </w:p>
    <w:p w14:paraId="1A47F80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联系电话：</w:t>
      </w:r>
      <w:r>
        <w:rPr>
          <w:rFonts w:hint="eastAsia" w:ascii="宋体" w:hAnsi="宋体" w:eastAsia="宋体" w:cs="宋体"/>
          <w:color w:val="auto"/>
          <w:kern w:val="0"/>
          <w:szCs w:val="21"/>
          <w:u w:val="single"/>
        </w:rPr>
        <w:t xml:space="preserve">                                                                    </w:t>
      </w:r>
    </w:p>
    <w:p w14:paraId="5603968F">
      <w:pPr>
        <w:widowControl/>
        <w:jc w:val="left"/>
        <w:rPr>
          <w:rFonts w:hint="eastAsia" w:ascii="宋体" w:hAnsi="宋体" w:eastAsia="宋体" w:cs="宋体"/>
          <w:color w:val="auto"/>
          <w:kern w:val="0"/>
          <w:szCs w:val="21"/>
          <w:u w:val="single"/>
        </w:rPr>
      </w:pPr>
      <w:r>
        <w:rPr>
          <w:rFonts w:hint="eastAsia" w:ascii="宋体" w:hAnsi="宋体" w:eastAsia="宋体" w:cs="宋体"/>
          <w:color w:val="auto"/>
          <w:kern w:val="0"/>
          <w:szCs w:val="21"/>
          <w:lang w:eastAsia="zh-Hans"/>
        </w:rPr>
        <w:t>授权代表：</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联系电话：</w:t>
      </w:r>
      <w:r>
        <w:rPr>
          <w:rFonts w:hint="eastAsia" w:ascii="宋体" w:hAnsi="宋体" w:eastAsia="宋体" w:cs="宋体"/>
          <w:color w:val="auto"/>
          <w:kern w:val="0"/>
          <w:szCs w:val="21"/>
          <w:u w:val="single"/>
        </w:rPr>
        <w:t xml:space="preserve">                           </w:t>
      </w:r>
    </w:p>
    <w:p w14:paraId="62B3E09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 址：</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邮编：</w:t>
      </w:r>
      <w:r>
        <w:rPr>
          <w:rFonts w:hint="eastAsia" w:ascii="宋体" w:hAnsi="宋体" w:eastAsia="宋体" w:cs="宋体"/>
          <w:color w:val="auto"/>
          <w:kern w:val="0"/>
          <w:szCs w:val="21"/>
          <w:u w:val="single"/>
        </w:rPr>
        <w:t xml:space="preserve">                               </w:t>
      </w:r>
    </w:p>
    <w:p w14:paraId="29BCB9C2">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被投诉人1：</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 xml:space="preserve">     </w:t>
      </w:r>
    </w:p>
    <w:p w14:paraId="482F0F55">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地址：</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u w:val="single"/>
          <w:lang w:eastAsia="zh-Hans"/>
        </w:rPr>
        <w:t>_</w:t>
      </w:r>
      <w:r>
        <w:rPr>
          <w:rFonts w:hint="eastAsia" w:ascii="宋体" w:hAnsi="宋体" w:eastAsia="宋体" w:cs="宋体"/>
          <w:color w:val="auto"/>
          <w:kern w:val="0"/>
          <w:szCs w:val="21"/>
          <w:lang w:eastAsia="zh-Hans"/>
        </w:rPr>
        <w:t>邮编：</w:t>
      </w:r>
      <w:r>
        <w:rPr>
          <w:rFonts w:hint="eastAsia" w:ascii="宋体" w:hAnsi="宋体" w:eastAsia="宋体" w:cs="宋体"/>
          <w:color w:val="auto"/>
          <w:kern w:val="0"/>
          <w:szCs w:val="21"/>
          <w:u w:val="single"/>
        </w:rPr>
        <w:t xml:space="preserve">                               </w:t>
      </w:r>
    </w:p>
    <w:p w14:paraId="506C1123">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联系人：</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联系电话：</w:t>
      </w:r>
      <w:r>
        <w:rPr>
          <w:rFonts w:hint="eastAsia" w:ascii="宋体" w:hAnsi="宋体" w:eastAsia="宋体" w:cs="宋体"/>
          <w:color w:val="auto"/>
          <w:kern w:val="0"/>
          <w:szCs w:val="21"/>
          <w:u w:val="single"/>
        </w:rPr>
        <w:t xml:space="preserve">                           </w:t>
      </w:r>
    </w:p>
    <w:p w14:paraId="5CDA3CB6">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被投诉人2：</w:t>
      </w:r>
      <w:r>
        <w:rPr>
          <w:rFonts w:hint="eastAsia" w:ascii="宋体" w:hAnsi="宋体" w:eastAsia="宋体" w:cs="宋体"/>
          <w:color w:val="auto"/>
          <w:kern w:val="0"/>
          <w:szCs w:val="21"/>
          <w:u w:val="single"/>
        </w:rPr>
        <w:t xml:space="preserve">                                                                   </w:t>
      </w:r>
    </w:p>
    <w:p w14:paraId="3B57F985">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w:t>
      </w:r>
    </w:p>
    <w:p w14:paraId="390C3045">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相关供应商：</w:t>
      </w:r>
      <w:r>
        <w:rPr>
          <w:rFonts w:hint="eastAsia" w:ascii="宋体" w:hAnsi="宋体" w:eastAsia="宋体" w:cs="宋体"/>
          <w:color w:val="auto"/>
          <w:kern w:val="0"/>
          <w:szCs w:val="21"/>
          <w:u w:val="single"/>
        </w:rPr>
        <w:t xml:space="preserve">                                                                   </w:t>
      </w:r>
    </w:p>
    <w:p w14:paraId="23A48F73">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地址：</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邮编：</w:t>
      </w:r>
      <w:r>
        <w:rPr>
          <w:rFonts w:hint="eastAsia" w:ascii="宋体" w:hAnsi="宋体" w:eastAsia="宋体" w:cs="宋体"/>
          <w:color w:val="auto"/>
          <w:kern w:val="0"/>
          <w:szCs w:val="21"/>
          <w:u w:val="single"/>
        </w:rPr>
        <w:t xml:space="preserve">                                </w:t>
      </w:r>
    </w:p>
    <w:p w14:paraId="7B1FF415">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联系人：</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联系电话：</w:t>
      </w:r>
      <w:r>
        <w:rPr>
          <w:rFonts w:hint="eastAsia" w:ascii="宋体" w:hAnsi="宋体" w:eastAsia="宋体" w:cs="宋体"/>
          <w:color w:val="auto"/>
          <w:kern w:val="0"/>
          <w:szCs w:val="21"/>
          <w:u w:val="single"/>
        </w:rPr>
        <w:t xml:space="preserve">                            </w:t>
      </w:r>
    </w:p>
    <w:p w14:paraId="13E3CA82">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二、投诉项目基本情况</w:t>
      </w:r>
    </w:p>
    <w:p w14:paraId="24DCA0E4">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采购项目名称：</w:t>
      </w:r>
      <w:r>
        <w:rPr>
          <w:rFonts w:hint="eastAsia" w:ascii="宋体" w:hAnsi="宋体" w:eastAsia="宋体" w:cs="宋体"/>
          <w:color w:val="auto"/>
          <w:kern w:val="0"/>
          <w:szCs w:val="21"/>
          <w:u w:val="single"/>
        </w:rPr>
        <w:t xml:space="preserve">                                                                 </w:t>
      </w:r>
    </w:p>
    <w:p w14:paraId="3F14FF21">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采购项目编号：</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包号：</w:t>
      </w:r>
      <w:r>
        <w:rPr>
          <w:rFonts w:hint="eastAsia" w:ascii="宋体" w:hAnsi="宋体" w:eastAsia="宋体" w:cs="宋体"/>
          <w:color w:val="auto"/>
          <w:kern w:val="0"/>
          <w:szCs w:val="21"/>
          <w:u w:val="single"/>
        </w:rPr>
        <w:t xml:space="preserve">                          </w:t>
      </w:r>
    </w:p>
    <w:p w14:paraId="238C6696">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采购人名称：</w:t>
      </w:r>
      <w:r>
        <w:rPr>
          <w:rFonts w:hint="eastAsia" w:ascii="宋体" w:hAnsi="宋体" w:eastAsia="宋体" w:cs="宋体"/>
          <w:color w:val="auto"/>
          <w:kern w:val="0"/>
          <w:szCs w:val="21"/>
          <w:u w:val="single"/>
        </w:rPr>
        <w:t xml:space="preserve">                                                                   </w:t>
      </w:r>
    </w:p>
    <w:p w14:paraId="25840424">
      <w:pPr>
        <w:widowControl/>
        <w:jc w:val="left"/>
        <w:rPr>
          <w:rFonts w:hint="eastAsia" w:ascii="宋体" w:hAnsi="宋体" w:eastAsia="宋体" w:cs="宋体"/>
          <w:color w:val="auto"/>
          <w:kern w:val="0"/>
          <w:szCs w:val="21"/>
          <w:u w:val="single"/>
        </w:rPr>
      </w:pPr>
      <w:r>
        <w:rPr>
          <w:rFonts w:hint="eastAsia" w:ascii="宋体" w:hAnsi="宋体" w:eastAsia="宋体" w:cs="宋体"/>
          <w:color w:val="auto"/>
          <w:kern w:val="0"/>
          <w:szCs w:val="21"/>
          <w:lang w:eastAsia="zh-Hans"/>
        </w:rPr>
        <w:t>代理机构名称：</w:t>
      </w:r>
      <w:r>
        <w:rPr>
          <w:rFonts w:hint="eastAsia" w:ascii="宋体" w:hAnsi="宋体" w:eastAsia="宋体" w:cs="宋体"/>
          <w:color w:val="auto"/>
          <w:kern w:val="0"/>
          <w:szCs w:val="21"/>
          <w:u w:val="single"/>
        </w:rPr>
        <w:t xml:space="preserve">                                                                 </w:t>
      </w:r>
    </w:p>
    <w:p w14:paraId="5ED4955A">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采购文件公告:</w:t>
      </w:r>
      <w:r>
        <w:rPr>
          <w:rFonts w:hint="eastAsia" w:ascii="宋体" w:hAnsi="宋体" w:eastAsia="宋体" w:cs="宋体"/>
          <w:color w:val="auto"/>
          <w:kern w:val="0"/>
          <w:szCs w:val="21"/>
          <w:u w:val="single"/>
          <w:lang w:eastAsia="zh-Hans"/>
        </w:rPr>
        <w:t>是/否</w:t>
      </w:r>
      <w:r>
        <w:rPr>
          <w:rFonts w:hint="eastAsia" w:ascii="宋体" w:hAnsi="宋体" w:eastAsia="宋体" w:cs="宋体"/>
          <w:color w:val="auto"/>
          <w:kern w:val="0"/>
          <w:szCs w:val="21"/>
          <w:lang w:eastAsia="zh-Hans"/>
        </w:rPr>
        <w:t xml:space="preserve"> 公告期限：</w:t>
      </w:r>
      <w:r>
        <w:rPr>
          <w:rFonts w:hint="eastAsia" w:ascii="宋体" w:hAnsi="宋体" w:eastAsia="宋体" w:cs="宋体"/>
          <w:color w:val="auto"/>
          <w:kern w:val="0"/>
          <w:szCs w:val="21"/>
          <w:u w:val="single"/>
        </w:rPr>
        <w:t xml:space="preserve">                                                   </w:t>
      </w:r>
    </w:p>
    <w:p w14:paraId="56E61E86">
      <w:pPr>
        <w:widowControl/>
        <w:jc w:val="left"/>
        <w:rPr>
          <w:rFonts w:hint="eastAsia" w:ascii="宋体" w:hAnsi="宋体" w:eastAsia="宋体" w:cs="宋体"/>
          <w:color w:val="auto"/>
          <w:kern w:val="0"/>
          <w:szCs w:val="21"/>
          <w:u w:val="single"/>
        </w:rPr>
      </w:pPr>
      <w:r>
        <w:rPr>
          <w:rFonts w:hint="eastAsia" w:ascii="宋体" w:hAnsi="宋体" w:eastAsia="宋体" w:cs="宋体"/>
          <w:color w:val="auto"/>
          <w:kern w:val="0"/>
          <w:szCs w:val="21"/>
          <w:lang w:eastAsia="zh-Hans"/>
        </w:rPr>
        <w:t>采购结果公告:</w:t>
      </w:r>
      <w:r>
        <w:rPr>
          <w:rFonts w:hint="eastAsia" w:ascii="宋体" w:hAnsi="宋体" w:eastAsia="宋体" w:cs="宋体"/>
          <w:color w:val="auto"/>
          <w:kern w:val="0"/>
          <w:szCs w:val="21"/>
          <w:u w:val="single"/>
          <w:lang w:eastAsia="zh-Hans"/>
        </w:rPr>
        <w:t>是/否</w:t>
      </w:r>
      <w:r>
        <w:rPr>
          <w:rFonts w:hint="eastAsia" w:ascii="宋体" w:hAnsi="宋体" w:eastAsia="宋体" w:cs="宋体"/>
          <w:color w:val="auto"/>
          <w:kern w:val="0"/>
          <w:szCs w:val="21"/>
          <w:lang w:eastAsia="zh-Hans"/>
        </w:rPr>
        <w:t xml:space="preserve"> 公告期限：</w:t>
      </w:r>
      <w:r>
        <w:rPr>
          <w:rFonts w:hint="eastAsia" w:ascii="宋体" w:hAnsi="宋体" w:eastAsia="宋体" w:cs="宋体"/>
          <w:color w:val="auto"/>
          <w:kern w:val="0"/>
          <w:szCs w:val="21"/>
          <w:u w:val="single"/>
        </w:rPr>
        <w:t xml:space="preserve">                                                   </w:t>
      </w:r>
    </w:p>
    <w:p w14:paraId="71F58B2F">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三、质疑基本情况</w:t>
      </w:r>
    </w:p>
    <w:p w14:paraId="73E97F8F">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投诉人于 ____年____月____日,向提出质疑，质疑事项为：</w:t>
      </w:r>
      <w:r>
        <w:rPr>
          <w:rFonts w:hint="eastAsia" w:ascii="宋体" w:hAnsi="宋体" w:eastAsia="宋体" w:cs="宋体"/>
          <w:color w:val="auto"/>
          <w:kern w:val="0"/>
          <w:szCs w:val="21"/>
          <w:u w:val="single"/>
        </w:rPr>
        <w:t xml:space="preserve">                            </w:t>
      </w:r>
    </w:p>
    <w:p w14:paraId="5FCF89F5">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u w:val="single"/>
          <w:lang w:eastAsia="zh-Hans"/>
        </w:rPr>
        <w:t>采购人/代理机构</w:t>
      </w:r>
      <w:r>
        <w:rPr>
          <w:rFonts w:hint="eastAsia" w:ascii="宋体" w:hAnsi="宋体" w:eastAsia="宋体" w:cs="宋体"/>
          <w:color w:val="auto"/>
          <w:kern w:val="0"/>
          <w:szCs w:val="21"/>
          <w:lang w:eastAsia="zh-Hans"/>
        </w:rPr>
        <w:t>于____年____月____日,就质疑事项作出了答复/没有在法定期限内作出答复。</w:t>
      </w:r>
    </w:p>
    <w:p w14:paraId="37EC6355">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四、投诉事项具体内容</w:t>
      </w:r>
    </w:p>
    <w:p w14:paraId="02AB79DE">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投诉事项1：</w:t>
      </w:r>
      <w:r>
        <w:rPr>
          <w:rFonts w:hint="eastAsia" w:ascii="宋体" w:hAnsi="宋体" w:eastAsia="宋体" w:cs="宋体"/>
          <w:color w:val="auto"/>
          <w:kern w:val="0"/>
          <w:szCs w:val="21"/>
          <w:u w:val="single"/>
        </w:rPr>
        <w:t xml:space="preserve">                                                                    </w:t>
      </w:r>
    </w:p>
    <w:p w14:paraId="076EDFCA">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事实依据：</w:t>
      </w:r>
      <w:r>
        <w:rPr>
          <w:rFonts w:hint="eastAsia" w:ascii="宋体" w:hAnsi="宋体" w:eastAsia="宋体" w:cs="宋体"/>
          <w:color w:val="auto"/>
          <w:kern w:val="0"/>
          <w:szCs w:val="21"/>
          <w:u w:val="single"/>
        </w:rPr>
        <w:t xml:space="preserve">                                                                     </w:t>
      </w:r>
    </w:p>
    <w:p w14:paraId="438C0D52">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法律依据：</w:t>
      </w:r>
      <w:r>
        <w:rPr>
          <w:rFonts w:hint="eastAsia" w:ascii="宋体" w:hAnsi="宋体" w:eastAsia="宋体" w:cs="宋体"/>
          <w:color w:val="auto"/>
          <w:kern w:val="0"/>
          <w:szCs w:val="21"/>
          <w:u w:val="single"/>
        </w:rPr>
        <w:t xml:space="preserve">                                                                     </w:t>
      </w:r>
    </w:p>
    <w:p w14:paraId="6EE7D174">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投诉事项2：</w:t>
      </w:r>
      <w:r>
        <w:rPr>
          <w:rFonts w:hint="eastAsia" w:ascii="宋体" w:hAnsi="宋体" w:eastAsia="宋体" w:cs="宋体"/>
          <w:color w:val="auto"/>
          <w:kern w:val="0"/>
          <w:szCs w:val="21"/>
          <w:u w:val="single"/>
        </w:rPr>
        <w:t xml:space="preserve">                                                                    </w:t>
      </w:r>
    </w:p>
    <w:p w14:paraId="4E5B356B">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w:t>
      </w:r>
    </w:p>
    <w:p w14:paraId="1C1D2177">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五、与投诉事项相关的投诉请求</w:t>
      </w:r>
    </w:p>
    <w:p w14:paraId="249992AC">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请求：</w:t>
      </w:r>
      <w:r>
        <w:rPr>
          <w:rFonts w:hint="eastAsia" w:ascii="宋体" w:hAnsi="宋体" w:eastAsia="宋体" w:cs="宋体"/>
          <w:color w:val="auto"/>
          <w:kern w:val="0"/>
          <w:szCs w:val="21"/>
          <w:u w:val="single"/>
        </w:rPr>
        <w:t xml:space="preserve">                                                                          </w:t>
      </w:r>
    </w:p>
    <w:p w14:paraId="329C8C0E">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 xml:space="preserve">签字(签章)： </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公章</w:t>
      </w:r>
      <w:r>
        <w:rPr>
          <w:rFonts w:hint="eastAsia" w:ascii="宋体" w:hAnsi="宋体" w:eastAsia="宋体" w:cs="宋体"/>
          <w:color w:val="auto"/>
          <w:kern w:val="0"/>
          <w:szCs w:val="21"/>
          <w:u w:val="single"/>
        </w:rPr>
        <w:t xml:space="preserve">                                      </w:t>
      </w:r>
    </w:p>
    <w:p w14:paraId="3AB5B813">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日期：____年____月____日</w:t>
      </w:r>
    </w:p>
    <w:p w14:paraId="68637336">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投诉书制作说明：</w:t>
      </w:r>
    </w:p>
    <w:p w14:paraId="4A47D54E">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1.投诉人提起投诉时，应当提交投诉书和必要的证明材料，并按照被投诉人和与投诉事项有关的供应商数量提供投诉书副本。</w:t>
      </w:r>
    </w:p>
    <w:p w14:paraId="40CEE063">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3.投诉人若对项目的某一分包进行投诉，投诉书应列明具体分包号。</w:t>
      </w:r>
    </w:p>
    <w:p w14:paraId="4BE2DBF3">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4.投诉书应简要列明质疑事项，质疑函、质疑答复等作为附件材料提供。</w:t>
      </w:r>
    </w:p>
    <w:p w14:paraId="591CDE48">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5.投诉书的投诉事项应具体、明确，并有必要的事实依据和法律依据。</w:t>
      </w:r>
    </w:p>
    <w:p w14:paraId="4388444D">
      <w:pPr>
        <w:widowControl/>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6.投诉书的投诉请求应与投诉事项相关。</w:t>
      </w:r>
    </w:p>
    <w:p w14:paraId="5DB11723">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7.投诉人为自然人的，投诉书应当由本人签字；投诉人为法人或者其他组织的，投诉书应当由法定代表人、主要负责人，或者其授权代表签字或者盖章，并加盖公章。</w:t>
      </w:r>
    </w:p>
    <w:bookmarkEnd w:id="56"/>
    <w:p w14:paraId="6DD17965">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 xml:space="preserve">  </w:t>
      </w:r>
    </w:p>
    <w:p w14:paraId="04D5DD31">
      <w:pPr>
        <w:widowControl/>
        <w:jc w:val="left"/>
        <w:rPr>
          <w:rFonts w:hint="eastAsia" w:ascii="宋体" w:hAnsi="宋体" w:eastAsia="宋体" w:cs="宋体"/>
          <w:color w:val="auto"/>
          <w:kern w:val="0"/>
          <w:sz w:val="20"/>
          <w:szCs w:val="20"/>
          <w:lang w:eastAsia="zh-Hans"/>
        </w:rPr>
      </w:pPr>
    </w:p>
    <w:p w14:paraId="1B936669">
      <w:pPr>
        <w:widowControl/>
        <w:jc w:val="left"/>
        <w:rPr>
          <w:rFonts w:hint="eastAsia" w:ascii="宋体" w:hAnsi="宋体" w:eastAsia="宋体" w:cs="宋体"/>
          <w:color w:val="auto"/>
          <w:kern w:val="0"/>
          <w:sz w:val="20"/>
          <w:szCs w:val="20"/>
          <w:lang w:eastAsia="zh-Hans"/>
        </w:rPr>
      </w:pPr>
    </w:p>
    <w:p w14:paraId="10008520">
      <w:pPr>
        <w:pageBreakBefore/>
        <w:rPr>
          <w:rFonts w:hint="eastAsia" w:ascii="宋体" w:hAnsi="宋体" w:eastAsia="宋体" w:cs="宋体"/>
          <w:color w:val="auto"/>
          <w:kern w:val="0"/>
          <w:sz w:val="20"/>
          <w:szCs w:val="20"/>
          <w:lang w:eastAsia="zh-Hans"/>
        </w:rPr>
      </w:pPr>
      <w:bookmarkStart w:id="57" w:name="_Toc169799806"/>
      <w:r>
        <w:rPr>
          <w:rFonts w:hint="eastAsia" w:ascii="宋体" w:hAnsi="宋体" w:eastAsia="宋体" w:cs="宋体"/>
          <w:b/>
          <w:bCs/>
          <w:color w:val="auto"/>
          <w:sz w:val="24"/>
          <w:szCs w:val="28"/>
        </w:rPr>
        <w:t>格式二十</w:t>
      </w:r>
      <w:r>
        <w:rPr>
          <w:rFonts w:hint="eastAsia" w:ascii="宋体" w:hAnsi="宋体" w:eastAsia="宋体" w:cs="宋体"/>
          <w:b/>
          <w:bCs/>
          <w:color w:val="auto"/>
          <w:sz w:val="24"/>
          <w:szCs w:val="28"/>
          <w:lang w:val="en-US" w:eastAsia="zh-CN"/>
        </w:rPr>
        <w:t>二</w:t>
      </w:r>
      <w:r>
        <w:rPr>
          <w:rFonts w:hint="eastAsia" w:ascii="宋体" w:hAnsi="宋体" w:eastAsia="宋体" w:cs="宋体"/>
          <w:b/>
          <w:bCs/>
          <w:color w:val="auto"/>
          <w:sz w:val="24"/>
          <w:szCs w:val="28"/>
        </w:rPr>
        <w:t>：</w:t>
      </w:r>
      <w:bookmarkEnd w:id="57"/>
    </w:p>
    <w:p w14:paraId="7EFFC828">
      <w:pPr>
        <w:widowControl/>
        <w:jc w:val="left"/>
        <w:rPr>
          <w:rFonts w:hint="eastAsia"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（以下格式文件由供应商根据需要选用）</w:t>
      </w:r>
    </w:p>
    <w:p w14:paraId="55BBCC38">
      <w:pPr>
        <w:pStyle w:val="21"/>
        <w:rPr>
          <w:rFonts w:hint="eastAsia" w:ascii="宋体" w:hAnsi="宋体" w:eastAsia="宋体" w:cs="宋体"/>
          <w:color w:val="auto"/>
        </w:rPr>
      </w:pPr>
      <w:r>
        <w:rPr>
          <w:rFonts w:hint="eastAsia" w:ascii="宋体" w:hAnsi="宋体" w:eastAsia="宋体" w:cs="宋体"/>
          <w:color w:val="auto"/>
          <w:lang w:val="en-US" w:eastAsia="zh-CN"/>
        </w:rPr>
        <w:t>技术方案</w:t>
      </w:r>
      <w:r>
        <w:rPr>
          <w:rFonts w:hint="eastAsia" w:ascii="宋体" w:hAnsi="宋体" w:eastAsia="宋体" w:cs="宋体"/>
          <w:color w:val="auto"/>
        </w:rPr>
        <w:t>等内容和格式自拟。</w:t>
      </w:r>
    </w:p>
    <w:p w14:paraId="718F3F21">
      <w:pPr>
        <w:rPr>
          <w:rFonts w:hint="eastAsia" w:ascii="宋体" w:hAnsi="宋体" w:eastAsia="宋体" w:cs="宋体"/>
          <w:color w:val="auto"/>
        </w:rPr>
      </w:pPr>
    </w:p>
    <w:p w14:paraId="0524BA46">
      <w:pPr>
        <w:rPr>
          <w:rFonts w:hint="eastAsia" w:ascii="宋体" w:hAnsi="宋体" w:eastAsia="宋体" w:cs="宋体"/>
          <w:color w:val="auto"/>
          <w:kern w:val="0"/>
          <w:sz w:val="20"/>
          <w:szCs w:val="20"/>
          <w:lang w:eastAsia="zh-Hans"/>
        </w:rPr>
      </w:pPr>
    </w:p>
    <w:p w14:paraId="7380E788">
      <w:pPr>
        <w:pageBreakBefore/>
        <w:rPr>
          <w:rFonts w:hint="eastAsia" w:ascii="宋体" w:hAnsi="宋体" w:eastAsia="宋体" w:cs="宋体"/>
          <w:bCs/>
          <w:color w:val="auto"/>
        </w:rPr>
      </w:pPr>
      <w:r>
        <w:rPr>
          <w:rFonts w:hint="eastAsia" w:ascii="宋体" w:hAnsi="宋体" w:eastAsia="宋体" w:cs="宋体"/>
          <w:b/>
          <w:bCs/>
          <w:color w:val="auto"/>
          <w:sz w:val="24"/>
          <w:szCs w:val="28"/>
        </w:rPr>
        <w:t>唱标信封格式</w:t>
      </w:r>
    </w:p>
    <w:p w14:paraId="333F3E4C">
      <w:pPr>
        <w:spacing w:before="652" w:beforeLines="150"/>
        <w:jc w:val="center"/>
        <w:rPr>
          <w:rFonts w:hint="eastAsia" w:ascii="宋体" w:hAnsi="宋体" w:eastAsia="宋体" w:cs="宋体"/>
          <w:b/>
          <w:bCs/>
          <w:color w:val="auto"/>
          <w:sz w:val="80"/>
          <w:szCs w:val="80"/>
        </w:rPr>
      </w:pPr>
      <w:r>
        <w:rPr>
          <w:rFonts w:hint="eastAsia" w:ascii="宋体" w:hAnsi="宋体" w:eastAsia="宋体" w:cs="宋体"/>
          <w:b/>
          <w:bCs/>
          <w:color w:val="auto"/>
          <w:sz w:val="80"/>
          <w:szCs w:val="80"/>
          <w:lang w:eastAsia="zh-CN"/>
        </w:rPr>
        <w:t>东莞市汽车技术学校2025年网络安全运维项目</w:t>
      </w:r>
    </w:p>
    <w:p w14:paraId="1C45C70C">
      <w:pPr>
        <w:spacing w:before="652" w:beforeLines="150"/>
        <w:jc w:val="center"/>
        <w:rPr>
          <w:rFonts w:hint="eastAsia" w:ascii="宋体" w:hAnsi="宋体" w:eastAsia="宋体" w:cs="宋体"/>
          <w:b/>
          <w:bCs/>
          <w:color w:val="auto"/>
          <w:sz w:val="80"/>
          <w:szCs w:val="80"/>
        </w:rPr>
      </w:pPr>
      <w:r>
        <w:rPr>
          <w:rFonts w:hint="eastAsia" w:ascii="宋体" w:hAnsi="宋体" w:eastAsia="宋体" w:cs="宋体"/>
          <w:b/>
          <w:bCs/>
          <w:color w:val="auto"/>
          <w:sz w:val="80"/>
          <w:szCs w:val="80"/>
        </w:rPr>
        <w:t>唱标信封</w:t>
      </w:r>
    </w:p>
    <w:p w14:paraId="3BF1DE3E">
      <w:pPr>
        <w:jc w:val="center"/>
        <w:rPr>
          <w:rFonts w:hint="eastAsia" w:ascii="宋体" w:hAnsi="宋体" w:eastAsia="宋体" w:cs="宋体"/>
          <w:b/>
          <w:bCs/>
          <w:color w:val="auto"/>
        </w:rPr>
      </w:pPr>
      <w:r>
        <w:rPr>
          <w:rFonts w:hint="eastAsia" w:ascii="宋体" w:hAnsi="宋体" w:eastAsia="宋体" w:cs="宋体"/>
          <w:b/>
          <w:bCs/>
          <w:color w:val="auto"/>
        </w:rPr>
        <w:br w:type="textWrapping"/>
      </w:r>
    </w:p>
    <w:p w14:paraId="48E7C3EB">
      <w:pPr>
        <w:keepNext w:val="0"/>
        <w:keepLines w:val="0"/>
        <w:pageBreakBefore w:val="0"/>
        <w:widowControl/>
        <w:kinsoku/>
        <w:wordWrap/>
        <w:overflowPunct/>
        <w:topLinePunct w:val="0"/>
        <w:autoSpaceDE/>
        <w:autoSpaceDN/>
        <w:bidi w:val="0"/>
        <w:adjustRightInd/>
        <w:snapToGrid/>
        <w:spacing w:before="3482" w:beforeLines="800" w:line="360" w:lineRule="auto"/>
        <w:ind w:firstLine="1558" w:firstLineChars="485"/>
        <w:jc w:val="left"/>
        <w:textAlignment w:val="auto"/>
        <w:outlineLvl w:val="3"/>
        <w:rPr>
          <w:rFonts w:hint="eastAsia" w:ascii="宋体" w:hAnsi="宋体" w:eastAsia="宋体" w:cs="宋体"/>
          <w:color w:val="auto"/>
          <w:kern w:val="0"/>
          <w:sz w:val="32"/>
          <w:szCs w:val="32"/>
        </w:rPr>
      </w:pPr>
      <w:r>
        <w:rPr>
          <w:rFonts w:hint="eastAsia" w:ascii="宋体" w:hAnsi="宋体" w:eastAsia="宋体" w:cs="宋体"/>
          <w:b/>
          <w:color w:val="auto"/>
          <w:kern w:val="0"/>
          <w:sz w:val="32"/>
          <w:szCs w:val="32"/>
          <w:lang w:eastAsia="zh-Hans"/>
        </w:rPr>
        <w:t>项目编号：</w:t>
      </w:r>
    </w:p>
    <w:p w14:paraId="7E53EE93">
      <w:pPr>
        <w:widowControl/>
        <w:spacing w:line="360" w:lineRule="auto"/>
        <w:ind w:firstLine="1558" w:firstLineChars="485"/>
        <w:jc w:val="left"/>
        <w:outlineLvl w:val="3"/>
        <w:rPr>
          <w:rFonts w:hint="eastAsia" w:ascii="宋体" w:hAnsi="宋体" w:eastAsia="宋体" w:cs="宋体"/>
          <w:color w:val="auto"/>
          <w:kern w:val="0"/>
          <w:sz w:val="24"/>
          <w:szCs w:val="24"/>
        </w:rPr>
      </w:pPr>
      <w:r>
        <w:rPr>
          <w:rFonts w:hint="eastAsia" w:ascii="宋体" w:hAnsi="宋体" w:eastAsia="宋体" w:cs="宋体"/>
          <w:b/>
          <w:color w:val="auto"/>
          <w:kern w:val="0"/>
          <w:sz w:val="32"/>
          <w:szCs w:val="32"/>
          <w:lang w:eastAsia="zh-Hans"/>
        </w:rPr>
        <w:t>投标人名称：</w:t>
      </w:r>
    </w:p>
    <w:p w14:paraId="74F4864B">
      <w:pPr>
        <w:widowControl/>
        <w:spacing w:before="1305" w:beforeLines="300"/>
        <w:jc w:val="center"/>
        <w:outlineLvl w:val="3"/>
        <w:rPr>
          <w:rFonts w:hint="eastAsia" w:ascii="宋体" w:hAnsi="宋体" w:eastAsia="宋体" w:cs="宋体"/>
          <w:color w:val="auto"/>
          <w:kern w:val="0"/>
          <w:sz w:val="20"/>
          <w:szCs w:val="20"/>
          <w:lang w:eastAsia="zh-Hans"/>
        </w:rPr>
      </w:pPr>
      <w:r>
        <w:rPr>
          <w:rFonts w:hint="eastAsia" w:ascii="宋体" w:hAnsi="宋体" w:eastAsia="宋体" w:cs="宋体"/>
          <w:b/>
          <w:color w:val="auto"/>
          <w:kern w:val="0"/>
          <w:sz w:val="32"/>
          <w:szCs w:val="32"/>
          <w:lang w:eastAsia="zh-Hans"/>
        </w:rPr>
        <w:t xml:space="preserve"> 年 月 日</w:t>
      </w:r>
    </w:p>
    <w:p w14:paraId="63D0E60D">
      <w:pPr>
        <w:spacing w:line="360" w:lineRule="auto"/>
        <w:jc w:val="center"/>
        <w:rPr>
          <w:rFonts w:hint="eastAsia" w:ascii="宋体" w:hAnsi="宋体" w:eastAsia="宋体" w:cs="宋体"/>
          <w:bCs/>
          <w:color w:val="auto"/>
          <w:sz w:val="50"/>
          <w:szCs w:val="50"/>
        </w:rPr>
      </w:pPr>
    </w:p>
    <w:p w14:paraId="601675D5">
      <w:pPr>
        <w:pStyle w:val="27"/>
        <w:numPr>
          <w:ilvl w:val="0"/>
          <w:numId w:val="102"/>
        </w:numPr>
        <w:spacing w:line="360" w:lineRule="auto"/>
        <w:ind w:firstLineChars="0"/>
        <w:rPr>
          <w:rFonts w:hint="eastAsia" w:ascii="宋体" w:hAnsi="宋体" w:eastAsia="宋体" w:cs="宋体"/>
          <w:color w:val="auto"/>
          <w:szCs w:val="21"/>
        </w:rPr>
      </w:pPr>
      <w:r>
        <w:rPr>
          <w:rFonts w:hint="eastAsia" w:ascii="宋体" w:hAnsi="宋体" w:eastAsia="宋体" w:cs="宋体"/>
          <w:color w:val="auto"/>
          <w:szCs w:val="21"/>
        </w:rPr>
        <w:t>开标一览表加盖投标人公章；</w:t>
      </w:r>
    </w:p>
    <w:p w14:paraId="58B368E9">
      <w:pPr>
        <w:pStyle w:val="27"/>
        <w:numPr>
          <w:ilvl w:val="0"/>
          <w:numId w:val="102"/>
        </w:numPr>
        <w:spacing w:line="360" w:lineRule="auto"/>
        <w:ind w:firstLineChars="0"/>
        <w:rPr>
          <w:rFonts w:hint="eastAsia" w:ascii="宋体" w:hAnsi="宋体" w:eastAsia="宋体" w:cs="宋体"/>
          <w:color w:val="auto"/>
          <w:szCs w:val="21"/>
        </w:rPr>
      </w:pPr>
      <w:r>
        <w:rPr>
          <w:rFonts w:hint="eastAsia" w:ascii="宋体" w:hAnsi="宋体" w:eastAsia="宋体" w:cs="宋体"/>
          <w:color w:val="auto"/>
          <w:szCs w:val="21"/>
        </w:rPr>
        <w:t>分项报价表加盖投标人公章</w:t>
      </w:r>
      <w:r>
        <w:rPr>
          <w:rFonts w:hint="eastAsia" w:ascii="宋体" w:hAnsi="宋体" w:eastAsia="宋体" w:cs="宋体"/>
          <w:bCs/>
          <w:color w:val="auto"/>
          <w:szCs w:val="21"/>
        </w:rPr>
        <w:t>（如适用）</w:t>
      </w:r>
      <w:r>
        <w:rPr>
          <w:rFonts w:hint="eastAsia" w:ascii="宋体" w:hAnsi="宋体" w:eastAsia="宋体" w:cs="宋体"/>
          <w:color w:val="auto"/>
          <w:szCs w:val="21"/>
        </w:rPr>
        <w:t>；</w:t>
      </w:r>
    </w:p>
    <w:p w14:paraId="75CC8822">
      <w:pPr>
        <w:pStyle w:val="27"/>
        <w:numPr>
          <w:ilvl w:val="0"/>
          <w:numId w:val="102"/>
        </w:numPr>
        <w:spacing w:line="360" w:lineRule="auto"/>
        <w:ind w:firstLineChars="0"/>
        <w:rPr>
          <w:rFonts w:hint="eastAsia" w:ascii="宋体" w:hAnsi="宋体" w:eastAsia="宋体" w:cs="宋体"/>
          <w:color w:val="auto"/>
          <w:szCs w:val="21"/>
        </w:rPr>
      </w:pPr>
      <w:r>
        <w:rPr>
          <w:rFonts w:hint="eastAsia" w:ascii="宋体" w:hAnsi="宋体" w:eastAsia="宋体" w:cs="宋体"/>
          <w:color w:val="auto"/>
          <w:szCs w:val="21"/>
        </w:rPr>
        <w:t>法定代表人证明书或法定代表人授权委托书加盖投标人公章；</w:t>
      </w:r>
    </w:p>
    <w:p w14:paraId="52E698CE">
      <w:pPr>
        <w:rPr>
          <w:rFonts w:hint="eastAsia" w:ascii="宋体" w:hAnsi="宋体" w:eastAsia="宋体" w:cs="宋体"/>
          <w:color w:val="auto"/>
        </w:rPr>
      </w:pP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9"/>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1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3BFFCC"/>
    <w:multiLevelType w:val="singleLevel"/>
    <w:tmpl w:val="953BFFCC"/>
    <w:lvl w:ilvl="0" w:tentative="0">
      <w:start w:val="1"/>
      <w:numFmt w:val="decimal"/>
      <w:lvlText w:val="(%1)"/>
      <w:lvlJc w:val="left"/>
      <w:pPr>
        <w:ind w:left="425" w:hanging="425"/>
      </w:pPr>
      <w:rPr>
        <w:rFonts w:hint="default"/>
      </w:rPr>
    </w:lvl>
  </w:abstractNum>
  <w:abstractNum w:abstractNumId="1">
    <w:nsid w:val="D144A798"/>
    <w:multiLevelType w:val="singleLevel"/>
    <w:tmpl w:val="D144A798"/>
    <w:lvl w:ilvl="0" w:tentative="0">
      <w:start w:val="1"/>
      <w:numFmt w:val="decimal"/>
      <w:lvlText w:val="(%1)"/>
      <w:lvlJc w:val="left"/>
      <w:pPr>
        <w:ind w:left="425" w:hanging="425"/>
      </w:pPr>
      <w:rPr>
        <w:rFonts w:hint="default"/>
      </w:rPr>
    </w:lvl>
  </w:abstractNum>
  <w:abstractNum w:abstractNumId="2">
    <w:nsid w:val="D63FBF6E"/>
    <w:multiLevelType w:val="multilevel"/>
    <w:tmpl w:val="D63FBF6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DF438F33"/>
    <w:multiLevelType w:val="singleLevel"/>
    <w:tmpl w:val="DF438F33"/>
    <w:lvl w:ilvl="0" w:tentative="0">
      <w:start w:val="1"/>
      <w:numFmt w:val="decimal"/>
      <w:lvlText w:val="(%1)"/>
      <w:lvlJc w:val="left"/>
      <w:pPr>
        <w:ind w:left="425" w:hanging="425"/>
      </w:pPr>
      <w:rPr>
        <w:rFonts w:hint="default"/>
      </w:rPr>
    </w:lvl>
  </w:abstractNum>
  <w:abstractNum w:abstractNumId="4">
    <w:nsid w:val="E9E36875"/>
    <w:multiLevelType w:val="multilevel"/>
    <w:tmpl w:val="E9E3687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F705A7D4"/>
    <w:multiLevelType w:val="multilevel"/>
    <w:tmpl w:val="F705A7D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F8351DB0"/>
    <w:multiLevelType w:val="singleLevel"/>
    <w:tmpl w:val="F8351DB0"/>
    <w:lvl w:ilvl="0" w:tentative="0">
      <w:start w:val="1"/>
      <w:numFmt w:val="decimal"/>
      <w:lvlText w:val="(%1)"/>
      <w:lvlJc w:val="left"/>
      <w:pPr>
        <w:ind w:left="425" w:hanging="425"/>
      </w:pPr>
      <w:rPr>
        <w:rFonts w:hint="default"/>
      </w:rPr>
    </w:lvl>
  </w:abstractNum>
  <w:abstractNum w:abstractNumId="7">
    <w:nsid w:val="F95AA5D0"/>
    <w:multiLevelType w:val="multilevel"/>
    <w:tmpl w:val="F95AA5D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65"/>
    <w:multiLevelType w:val="multilevel"/>
    <w:tmpl w:val="00000065"/>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7020D7A"/>
    <w:multiLevelType w:val="multilevel"/>
    <w:tmpl w:val="07020D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0FA6ABA5"/>
    <w:multiLevelType w:val="singleLevel"/>
    <w:tmpl w:val="0FA6ABA5"/>
    <w:lvl w:ilvl="0" w:tentative="0">
      <w:start w:val="1"/>
      <w:numFmt w:val="decimal"/>
      <w:lvlText w:val="(%1)"/>
      <w:lvlJc w:val="left"/>
      <w:pPr>
        <w:ind w:left="425" w:hanging="425"/>
      </w:pPr>
      <w:rPr>
        <w:rFonts w:hint="default"/>
      </w:rPr>
    </w:lvl>
  </w:abstractNum>
  <w:abstractNum w:abstractNumId="22">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A7A2042"/>
    <w:multiLevelType w:val="multilevel"/>
    <w:tmpl w:val="1A7A204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1AADA478"/>
    <w:multiLevelType w:val="multilevel"/>
    <w:tmpl w:val="1AADA47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3">
    <w:nsid w:val="24242624"/>
    <w:multiLevelType w:val="multilevel"/>
    <w:tmpl w:val="242426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25195F76"/>
    <w:multiLevelType w:val="singleLevel"/>
    <w:tmpl w:val="25195F76"/>
    <w:lvl w:ilvl="0" w:tentative="0">
      <w:start w:val="1"/>
      <w:numFmt w:val="decimal"/>
      <w:lvlText w:val="(%1)"/>
      <w:lvlJc w:val="left"/>
      <w:pPr>
        <w:ind w:left="425" w:hanging="425"/>
      </w:pPr>
      <w:rPr>
        <w:rFonts w:hint="default"/>
      </w:rPr>
    </w:lvl>
  </w:abstractNum>
  <w:abstractNum w:abstractNumId="35">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2E2C8D31"/>
    <w:multiLevelType w:val="multilevel"/>
    <w:tmpl w:val="2E2C8D31"/>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0D52A05"/>
    <w:multiLevelType w:val="singleLevel"/>
    <w:tmpl w:val="30D52A05"/>
    <w:lvl w:ilvl="0" w:tentative="0">
      <w:start w:val="1"/>
      <w:numFmt w:val="decimal"/>
      <w:lvlText w:val="(%1)"/>
      <w:lvlJc w:val="left"/>
      <w:pPr>
        <w:ind w:left="425" w:hanging="425"/>
      </w:pPr>
      <w:rPr>
        <w:rFonts w:hint="default"/>
      </w:rPr>
    </w:lvl>
  </w:abstractNum>
  <w:abstractNum w:abstractNumId="42">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5C365EC"/>
    <w:multiLevelType w:val="singleLevel"/>
    <w:tmpl w:val="35C365EC"/>
    <w:lvl w:ilvl="0" w:tentative="0">
      <w:start w:val="1"/>
      <w:numFmt w:val="decimal"/>
      <w:lvlText w:val="(%1)"/>
      <w:lvlJc w:val="left"/>
      <w:pPr>
        <w:ind w:left="425" w:hanging="425"/>
      </w:pPr>
      <w:rPr>
        <w:rFonts w:hint="default"/>
      </w:rPr>
    </w:lvl>
  </w:abstractNum>
  <w:abstractNum w:abstractNumId="45">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5B80707"/>
    <w:multiLevelType w:val="singleLevel"/>
    <w:tmpl w:val="45B80707"/>
    <w:lvl w:ilvl="0" w:tentative="0">
      <w:start w:val="1"/>
      <w:numFmt w:val="decimal"/>
      <w:lvlText w:val="(%1)"/>
      <w:lvlJc w:val="left"/>
      <w:pPr>
        <w:ind w:left="425" w:hanging="425"/>
      </w:pPr>
      <w:rPr>
        <w:rFonts w:hint="default"/>
      </w:rPr>
    </w:lvl>
  </w:abstractNum>
  <w:abstractNum w:abstractNumId="58">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75FF973"/>
    <w:multiLevelType w:val="multilevel"/>
    <w:tmpl w:val="475FF97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2">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3603F8C"/>
    <w:multiLevelType w:val="multilevel"/>
    <w:tmpl w:val="63603F8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9">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3"/>
  </w:num>
  <w:num w:numId="2">
    <w:abstractNumId w:val="36"/>
  </w:num>
  <w:num w:numId="3">
    <w:abstractNumId w:val="55"/>
  </w:num>
  <w:num w:numId="4">
    <w:abstractNumId w:val="42"/>
  </w:num>
  <w:num w:numId="5">
    <w:abstractNumId w:val="64"/>
  </w:num>
  <w:num w:numId="6">
    <w:abstractNumId w:val="94"/>
  </w:num>
  <w:num w:numId="7">
    <w:abstractNumId w:val="95"/>
  </w:num>
  <w:num w:numId="8">
    <w:abstractNumId w:val="72"/>
  </w:num>
  <w:num w:numId="9">
    <w:abstractNumId w:val="98"/>
  </w:num>
  <w:num w:numId="10">
    <w:abstractNumId w:val="17"/>
  </w:num>
  <w:num w:numId="11">
    <w:abstractNumId w:val="31"/>
  </w:num>
  <w:num w:numId="12">
    <w:abstractNumId w:val="33"/>
  </w:num>
  <w:num w:numId="13">
    <w:abstractNumId w:val="18"/>
  </w:num>
  <w:num w:numId="14">
    <w:abstractNumId w:val="24"/>
  </w:num>
  <w:num w:numId="15">
    <w:abstractNumId w:val="60"/>
  </w:num>
  <w:num w:numId="16">
    <w:abstractNumId w:val="5"/>
  </w:num>
  <w:num w:numId="17">
    <w:abstractNumId w:val="82"/>
  </w:num>
  <w:num w:numId="18">
    <w:abstractNumId w:val="23"/>
  </w:num>
  <w:num w:numId="19">
    <w:abstractNumId w:val="2"/>
  </w:num>
  <w:num w:numId="20">
    <w:abstractNumId w:val="7"/>
  </w:num>
  <w:num w:numId="21">
    <w:abstractNumId w:val="53"/>
  </w:num>
  <w:num w:numId="22">
    <w:abstractNumId w:val="93"/>
  </w:num>
  <w:num w:numId="23">
    <w:abstractNumId w:val="79"/>
  </w:num>
  <w:num w:numId="24">
    <w:abstractNumId w:val="51"/>
  </w:num>
  <w:num w:numId="25">
    <w:abstractNumId w:val="29"/>
  </w:num>
  <w:num w:numId="26">
    <w:abstractNumId w:val="99"/>
  </w:num>
  <w:num w:numId="27">
    <w:abstractNumId w:val="75"/>
  </w:num>
  <w:num w:numId="28">
    <w:abstractNumId w:val="39"/>
  </w:num>
  <w:num w:numId="29">
    <w:abstractNumId w:val="83"/>
  </w:num>
  <w:num w:numId="30">
    <w:abstractNumId w:val="45"/>
  </w:num>
  <w:num w:numId="31">
    <w:abstractNumId w:val="84"/>
  </w:num>
  <w:num w:numId="32">
    <w:abstractNumId w:val="80"/>
  </w:num>
  <w:num w:numId="33">
    <w:abstractNumId w:val="92"/>
  </w:num>
  <w:num w:numId="34">
    <w:abstractNumId w:val="90"/>
  </w:num>
  <w:num w:numId="35">
    <w:abstractNumId w:val="30"/>
  </w:num>
  <w:num w:numId="36">
    <w:abstractNumId w:val="22"/>
  </w:num>
  <w:num w:numId="37">
    <w:abstractNumId w:val="20"/>
  </w:num>
  <w:num w:numId="38">
    <w:abstractNumId w:val="63"/>
  </w:num>
  <w:num w:numId="39">
    <w:abstractNumId w:val="54"/>
  </w:num>
  <w:num w:numId="40">
    <w:abstractNumId w:val="78"/>
  </w:num>
  <w:num w:numId="41">
    <w:abstractNumId w:val="96"/>
  </w:num>
  <w:num w:numId="42">
    <w:abstractNumId w:val="59"/>
  </w:num>
  <w:num w:numId="43">
    <w:abstractNumId w:val="49"/>
  </w:num>
  <w:num w:numId="44">
    <w:abstractNumId w:val="47"/>
  </w:num>
  <w:num w:numId="45">
    <w:abstractNumId w:val="62"/>
  </w:num>
  <w:num w:numId="46">
    <w:abstractNumId w:val="16"/>
  </w:num>
  <w:num w:numId="47">
    <w:abstractNumId w:val="76"/>
  </w:num>
  <w:num w:numId="48">
    <w:abstractNumId w:val="89"/>
  </w:num>
  <w:num w:numId="49">
    <w:abstractNumId w:val="91"/>
  </w:num>
  <w:num w:numId="50">
    <w:abstractNumId w:val="27"/>
  </w:num>
  <w:num w:numId="51">
    <w:abstractNumId w:val="37"/>
  </w:num>
  <w:num w:numId="52">
    <w:abstractNumId w:val="77"/>
  </w:num>
  <w:num w:numId="53">
    <w:abstractNumId w:val="26"/>
  </w:num>
  <w:num w:numId="54">
    <w:abstractNumId w:val="28"/>
  </w:num>
  <w:num w:numId="55">
    <w:abstractNumId w:val="19"/>
  </w:num>
  <w:num w:numId="56">
    <w:abstractNumId w:val="56"/>
  </w:num>
  <w:num w:numId="57">
    <w:abstractNumId w:val="70"/>
  </w:num>
  <w:num w:numId="58">
    <w:abstractNumId w:val="81"/>
  </w:num>
  <w:num w:numId="59">
    <w:abstractNumId w:val="50"/>
  </w:num>
  <w:num w:numId="60">
    <w:abstractNumId w:val="52"/>
  </w:num>
  <w:num w:numId="61">
    <w:abstractNumId w:val="73"/>
  </w:num>
  <w:num w:numId="62">
    <w:abstractNumId w:val="85"/>
  </w:num>
  <w:num w:numId="63">
    <w:abstractNumId w:val="88"/>
  </w:num>
  <w:num w:numId="64">
    <w:abstractNumId w:val="65"/>
  </w:num>
  <w:num w:numId="65">
    <w:abstractNumId w:val="66"/>
  </w:num>
  <w:num w:numId="66">
    <w:abstractNumId w:val="101"/>
  </w:num>
  <w:num w:numId="67">
    <w:abstractNumId w:val="35"/>
  </w:num>
  <w:num w:numId="68">
    <w:abstractNumId w:val="68"/>
  </w:num>
  <w:num w:numId="69">
    <w:abstractNumId w:val="61"/>
  </w:num>
  <w:num w:numId="70">
    <w:abstractNumId w:val="100"/>
  </w:num>
  <w:num w:numId="71">
    <w:abstractNumId w:val="32"/>
  </w:num>
  <w:num w:numId="72">
    <w:abstractNumId w:val="71"/>
  </w:num>
  <w:num w:numId="73">
    <w:abstractNumId w:val="69"/>
  </w:num>
  <w:num w:numId="74">
    <w:abstractNumId w:val="25"/>
  </w:num>
  <w:num w:numId="75">
    <w:abstractNumId w:val="15"/>
  </w:num>
  <w:num w:numId="76">
    <w:abstractNumId w:val="97"/>
  </w:num>
  <w:num w:numId="77">
    <w:abstractNumId w:val="11"/>
  </w:num>
  <w:num w:numId="78">
    <w:abstractNumId w:val="9"/>
  </w:num>
  <w:num w:numId="79">
    <w:abstractNumId w:val="4"/>
  </w:num>
  <w:num w:numId="80">
    <w:abstractNumId w:val="44"/>
  </w:num>
  <w:num w:numId="81">
    <w:abstractNumId w:val="21"/>
  </w:num>
  <w:num w:numId="82">
    <w:abstractNumId w:val="6"/>
  </w:num>
  <w:num w:numId="83">
    <w:abstractNumId w:val="34"/>
  </w:num>
  <w:num w:numId="84">
    <w:abstractNumId w:val="1"/>
  </w:num>
  <w:num w:numId="85">
    <w:abstractNumId w:val="41"/>
  </w:num>
  <w:num w:numId="86">
    <w:abstractNumId w:val="0"/>
  </w:num>
  <w:num w:numId="87">
    <w:abstractNumId w:val="57"/>
  </w:num>
  <w:num w:numId="88">
    <w:abstractNumId w:val="3"/>
  </w:num>
  <w:num w:numId="89">
    <w:abstractNumId w:val="58"/>
  </w:num>
  <w:num w:numId="90">
    <w:abstractNumId w:val="87"/>
  </w:num>
  <w:num w:numId="91">
    <w:abstractNumId w:val="67"/>
  </w:num>
  <w:num w:numId="92">
    <w:abstractNumId w:val="8"/>
  </w:num>
  <w:num w:numId="93">
    <w:abstractNumId w:val="10"/>
  </w:num>
  <w:num w:numId="94">
    <w:abstractNumId w:val="14"/>
  </w:num>
  <w:num w:numId="95">
    <w:abstractNumId w:val="40"/>
  </w:num>
  <w:num w:numId="96">
    <w:abstractNumId w:val="38"/>
  </w:num>
  <w:num w:numId="97">
    <w:abstractNumId w:val="48"/>
  </w:num>
  <w:num w:numId="98">
    <w:abstractNumId w:val="86"/>
  </w:num>
  <w:num w:numId="99">
    <w:abstractNumId w:val="12"/>
  </w:num>
  <w:num w:numId="100">
    <w:abstractNumId w:val="13"/>
  </w:num>
  <w:num w:numId="101">
    <w:abstractNumId w:val="46"/>
  </w:num>
  <w:num w:numId="102">
    <w:abstractNumId w:val="7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5NGRlNzFiZDk1NWNlMDA3NzU3M2IyYWIyMGZiY2Q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D0890"/>
    <w:rsid w:val="00FE239F"/>
    <w:rsid w:val="00FE277A"/>
    <w:rsid w:val="017B2F92"/>
    <w:rsid w:val="02E007A5"/>
    <w:rsid w:val="0390390D"/>
    <w:rsid w:val="03A55D40"/>
    <w:rsid w:val="04075024"/>
    <w:rsid w:val="0431202E"/>
    <w:rsid w:val="04E3368E"/>
    <w:rsid w:val="04EF145A"/>
    <w:rsid w:val="050D2A9B"/>
    <w:rsid w:val="065B46A1"/>
    <w:rsid w:val="06982838"/>
    <w:rsid w:val="078B2285"/>
    <w:rsid w:val="07D258D6"/>
    <w:rsid w:val="092D54BA"/>
    <w:rsid w:val="09EC6316"/>
    <w:rsid w:val="0A6234FB"/>
    <w:rsid w:val="0A6A44EC"/>
    <w:rsid w:val="0A742C74"/>
    <w:rsid w:val="0A9D31F2"/>
    <w:rsid w:val="0DB937C0"/>
    <w:rsid w:val="0E285ADE"/>
    <w:rsid w:val="0EF24E1E"/>
    <w:rsid w:val="0EF44B98"/>
    <w:rsid w:val="0F985657"/>
    <w:rsid w:val="102B2629"/>
    <w:rsid w:val="103A670E"/>
    <w:rsid w:val="10E2669D"/>
    <w:rsid w:val="11273BC1"/>
    <w:rsid w:val="116C4727"/>
    <w:rsid w:val="12FE7B7F"/>
    <w:rsid w:val="13021765"/>
    <w:rsid w:val="13C81F25"/>
    <w:rsid w:val="14076907"/>
    <w:rsid w:val="141D612B"/>
    <w:rsid w:val="15007F26"/>
    <w:rsid w:val="155142DE"/>
    <w:rsid w:val="15A85EC8"/>
    <w:rsid w:val="163F05DA"/>
    <w:rsid w:val="16F07B27"/>
    <w:rsid w:val="17B9260F"/>
    <w:rsid w:val="180A06A0"/>
    <w:rsid w:val="1821658E"/>
    <w:rsid w:val="197113F3"/>
    <w:rsid w:val="1A2A3350"/>
    <w:rsid w:val="1A433816"/>
    <w:rsid w:val="1ADA6B24"/>
    <w:rsid w:val="1B28788F"/>
    <w:rsid w:val="1B634D6B"/>
    <w:rsid w:val="1C2058A9"/>
    <w:rsid w:val="1C3404B6"/>
    <w:rsid w:val="1D56777E"/>
    <w:rsid w:val="1D5A03F0"/>
    <w:rsid w:val="1D5F77B4"/>
    <w:rsid w:val="1DD22107"/>
    <w:rsid w:val="1E6F3A27"/>
    <w:rsid w:val="202F346E"/>
    <w:rsid w:val="20C22534"/>
    <w:rsid w:val="220628F4"/>
    <w:rsid w:val="22682C67"/>
    <w:rsid w:val="2281582F"/>
    <w:rsid w:val="22D81D40"/>
    <w:rsid w:val="250550E5"/>
    <w:rsid w:val="25900E53"/>
    <w:rsid w:val="261E5451"/>
    <w:rsid w:val="26DC3C24"/>
    <w:rsid w:val="26E06790"/>
    <w:rsid w:val="2767173F"/>
    <w:rsid w:val="276F4A98"/>
    <w:rsid w:val="27A44741"/>
    <w:rsid w:val="27C43035"/>
    <w:rsid w:val="281A2C55"/>
    <w:rsid w:val="28E13773"/>
    <w:rsid w:val="297445E7"/>
    <w:rsid w:val="29F86FC6"/>
    <w:rsid w:val="2AC800C8"/>
    <w:rsid w:val="2AD6555A"/>
    <w:rsid w:val="2D140DC3"/>
    <w:rsid w:val="2D964B2C"/>
    <w:rsid w:val="2E4722CA"/>
    <w:rsid w:val="2E9574DA"/>
    <w:rsid w:val="2ECB6A58"/>
    <w:rsid w:val="2EFA10EB"/>
    <w:rsid w:val="2F067A90"/>
    <w:rsid w:val="2FA03E8F"/>
    <w:rsid w:val="30BA6D84"/>
    <w:rsid w:val="30BC0823"/>
    <w:rsid w:val="30D36097"/>
    <w:rsid w:val="316118F5"/>
    <w:rsid w:val="318F27A8"/>
    <w:rsid w:val="339935C8"/>
    <w:rsid w:val="348F0527"/>
    <w:rsid w:val="35523A2F"/>
    <w:rsid w:val="36EF34FF"/>
    <w:rsid w:val="371D38BE"/>
    <w:rsid w:val="37384EA6"/>
    <w:rsid w:val="3748158D"/>
    <w:rsid w:val="37B861EF"/>
    <w:rsid w:val="37C751CD"/>
    <w:rsid w:val="37CB1876"/>
    <w:rsid w:val="38471845"/>
    <w:rsid w:val="399B46F4"/>
    <w:rsid w:val="39C2541D"/>
    <w:rsid w:val="3BB6283D"/>
    <w:rsid w:val="3C3F1E1E"/>
    <w:rsid w:val="3C771FCD"/>
    <w:rsid w:val="3CA64660"/>
    <w:rsid w:val="3D1617E6"/>
    <w:rsid w:val="3D9F0860"/>
    <w:rsid w:val="3DFA47F9"/>
    <w:rsid w:val="3E886713"/>
    <w:rsid w:val="3F245A78"/>
    <w:rsid w:val="406D5BC1"/>
    <w:rsid w:val="412B0A9D"/>
    <w:rsid w:val="41744D2D"/>
    <w:rsid w:val="41B65345"/>
    <w:rsid w:val="42C52E22"/>
    <w:rsid w:val="4407632C"/>
    <w:rsid w:val="44FC71CE"/>
    <w:rsid w:val="451C2529"/>
    <w:rsid w:val="463F61A4"/>
    <w:rsid w:val="493D6C3B"/>
    <w:rsid w:val="49A10689"/>
    <w:rsid w:val="4A172C70"/>
    <w:rsid w:val="4C3103EA"/>
    <w:rsid w:val="4D2E492A"/>
    <w:rsid w:val="4D77007F"/>
    <w:rsid w:val="4D8C673F"/>
    <w:rsid w:val="4F5D7573"/>
    <w:rsid w:val="4FB82BD0"/>
    <w:rsid w:val="4FD45A38"/>
    <w:rsid w:val="4FFF25AD"/>
    <w:rsid w:val="51010497"/>
    <w:rsid w:val="512C73D2"/>
    <w:rsid w:val="514A5AAA"/>
    <w:rsid w:val="519D4890"/>
    <w:rsid w:val="520914C1"/>
    <w:rsid w:val="52E351D4"/>
    <w:rsid w:val="52F6739C"/>
    <w:rsid w:val="5402266C"/>
    <w:rsid w:val="552C5BF2"/>
    <w:rsid w:val="564D1B7E"/>
    <w:rsid w:val="567E14A6"/>
    <w:rsid w:val="56D025AE"/>
    <w:rsid w:val="5784475F"/>
    <w:rsid w:val="57D4431F"/>
    <w:rsid w:val="5A1D5B0A"/>
    <w:rsid w:val="5A3612C1"/>
    <w:rsid w:val="5A656CEF"/>
    <w:rsid w:val="5AF00C54"/>
    <w:rsid w:val="5B8D3163"/>
    <w:rsid w:val="5BA81D4B"/>
    <w:rsid w:val="5C1A6838"/>
    <w:rsid w:val="5CE90A1B"/>
    <w:rsid w:val="5D0E2082"/>
    <w:rsid w:val="5D1F7DEB"/>
    <w:rsid w:val="5D2B7B3B"/>
    <w:rsid w:val="5D526FF7"/>
    <w:rsid w:val="5FAF36A8"/>
    <w:rsid w:val="612C0D28"/>
    <w:rsid w:val="61BE7EA4"/>
    <w:rsid w:val="61E41603"/>
    <w:rsid w:val="61E909C7"/>
    <w:rsid w:val="62076FEE"/>
    <w:rsid w:val="62854B94"/>
    <w:rsid w:val="628801E0"/>
    <w:rsid w:val="62A74B0A"/>
    <w:rsid w:val="63D55C24"/>
    <w:rsid w:val="63D80CF3"/>
    <w:rsid w:val="653B778C"/>
    <w:rsid w:val="66285F62"/>
    <w:rsid w:val="66B27F22"/>
    <w:rsid w:val="678C2521"/>
    <w:rsid w:val="680D0213"/>
    <w:rsid w:val="684B5F38"/>
    <w:rsid w:val="686364F5"/>
    <w:rsid w:val="68F13A05"/>
    <w:rsid w:val="69DC778F"/>
    <w:rsid w:val="6A5D6C72"/>
    <w:rsid w:val="6B2B2F81"/>
    <w:rsid w:val="6BC56001"/>
    <w:rsid w:val="6DCE14CD"/>
    <w:rsid w:val="6EB5235D"/>
    <w:rsid w:val="6EF42168"/>
    <w:rsid w:val="727D3192"/>
    <w:rsid w:val="7329331A"/>
    <w:rsid w:val="735760D9"/>
    <w:rsid w:val="735E1215"/>
    <w:rsid w:val="747F1A52"/>
    <w:rsid w:val="749D7B1B"/>
    <w:rsid w:val="75740511"/>
    <w:rsid w:val="77AD0E54"/>
    <w:rsid w:val="789254BD"/>
    <w:rsid w:val="79F649B5"/>
    <w:rsid w:val="7AC027B5"/>
    <w:rsid w:val="7B86755B"/>
    <w:rsid w:val="7D7F235F"/>
    <w:rsid w:val="7D9A48BB"/>
    <w:rsid w:val="7E5A5B89"/>
    <w:rsid w:val="7E700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2">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4"/>
    <w:unhideWhenUsed/>
    <w:qFormat/>
    <w:uiPriority w:val="99"/>
    <w:pPr>
      <w:jc w:val="left"/>
    </w:pPr>
  </w:style>
  <w:style w:type="paragraph" w:styleId="5">
    <w:name w:val="Body Text"/>
    <w:basedOn w:val="1"/>
    <w:link w:val="33"/>
    <w:qFormat/>
    <w:uiPriority w:val="0"/>
    <w:pPr>
      <w:spacing w:after="120"/>
    </w:pPr>
    <w:rPr>
      <w:rFonts w:ascii="Times New Roman" w:hAnsi="Times New Roman" w:eastAsia="宋体" w:cs="Times New Roman"/>
      <w:szCs w:val="24"/>
    </w:rPr>
  </w:style>
  <w:style w:type="paragraph" w:styleId="6">
    <w:name w:val="Body Text Indent"/>
    <w:basedOn w:val="1"/>
    <w:qFormat/>
    <w:uiPriority w:val="0"/>
    <w:pPr>
      <w:widowControl w:val="0"/>
      <w:ind w:firstLine="560" w:firstLineChars="200"/>
      <w:jc w:val="both"/>
    </w:pPr>
    <w:rPr>
      <w:rFonts w:asciiTheme="minorHAnsi" w:hAnsiTheme="minorHAnsi" w:eastAsiaTheme="minorEastAsia" w:cstheme="minorBidi"/>
      <w:kern w:val="2"/>
      <w:sz w:val="28"/>
      <w:szCs w:val="22"/>
      <w:lang w:val="en-US" w:eastAsia="zh-CN" w:bidi="ar-SA"/>
    </w:rPr>
  </w:style>
  <w:style w:type="paragraph" w:styleId="7">
    <w:name w:val="toc 3"/>
    <w:basedOn w:val="1"/>
    <w:next w:val="1"/>
    <w:autoRedefine/>
    <w:unhideWhenUsed/>
    <w:qFormat/>
    <w:uiPriority w:val="39"/>
    <w:pPr>
      <w:ind w:left="840" w:leftChars="400"/>
    </w:pPr>
  </w:style>
  <w:style w:type="paragraph" w:styleId="8">
    <w:name w:val="Plain Text"/>
    <w:basedOn w:val="1"/>
    <w:qFormat/>
    <w:uiPriority w:val="0"/>
    <w:rPr>
      <w:rFonts w:ascii="宋体" w:hAnsi="Courier New"/>
    </w:rPr>
  </w:style>
  <w:style w:type="paragraph" w:styleId="9">
    <w:name w:val="footer"/>
    <w:basedOn w:val="1"/>
    <w:link w:val="23"/>
    <w:unhideWhenUsed/>
    <w:qFormat/>
    <w:uiPriority w:val="99"/>
    <w:pPr>
      <w:tabs>
        <w:tab w:val="center" w:pos="4153"/>
        <w:tab w:val="right" w:pos="8306"/>
      </w:tabs>
      <w:snapToGrid w:val="0"/>
      <w:jc w:val="left"/>
    </w:pPr>
    <w:rPr>
      <w:sz w:val="18"/>
      <w:szCs w:val="18"/>
    </w:rPr>
  </w:style>
  <w:style w:type="paragraph" w:styleId="10">
    <w:name w:val="header"/>
    <w:basedOn w:val="1"/>
    <w:link w:val="22"/>
    <w:unhideWhenUsed/>
    <w:qFormat/>
    <w:uiPriority w:val="0"/>
    <w:pPr>
      <w:tabs>
        <w:tab w:val="center" w:pos="4153"/>
        <w:tab w:val="right" w:pos="8306"/>
      </w:tabs>
      <w:snapToGrid w:val="0"/>
      <w:jc w:val="center"/>
    </w:pPr>
    <w:rPr>
      <w:sz w:val="18"/>
      <w:szCs w:val="18"/>
    </w:rPr>
  </w:style>
  <w:style w:type="paragraph" w:styleId="11">
    <w:name w:val="toc 1"/>
    <w:basedOn w:val="1"/>
    <w:next w:val="1"/>
    <w:autoRedefine/>
    <w:unhideWhenUsed/>
    <w:qFormat/>
    <w:uiPriority w:val="39"/>
  </w:style>
  <w:style w:type="paragraph" w:styleId="12">
    <w:name w:val="toc 2"/>
    <w:basedOn w:val="1"/>
    <w:next w:val="1"/>
    <w:autoRedefine/>
    <w:unhideWhenUsed/>
    <w:qFormat/>
    <w:uiPriority w:val="39"/>
    <w:pPr>
      <w:ind w:left="420" w:leftChars="200"/>
    </w:pPr>
  </w:style>
  <w:style w:type="paragraph" w:styleId="13">
    <w:name w:val="annotation subject"/>
    <w:basedOn w:val="4"/>
    <w:next w:val="4"/>
    <w:link w:val="25"/>
    <w:semiHidden/>
    <w:unhideWhenUsed/>
    <w:qFormat/>
    <w:uiPriority w:val="99"/>
    <w:rPr>
      <w:b/>
      <w:bCs/>
    </w:rPr>
  </w:style>
  <w:style w:type="paragraph" w:styleId="14">
    <w:name w:val="Body Text First Indent 2"/>
    <w:basedOn w:val="6"/>
    <w:qFormat/>
    <w:uiPriority w:val="0"/>
    <w:pPr>
      <w:widowControl w:val="0"/>
      <w:ind w:firstLine="560" w:firstLineChars="200"/>
      <w:jc w:val="both"/>
    </w:pPr>
    <w:rPr>
      <w:rFonts w:asciiTheme="minorHAnsi" w:hAnsiTheme="minorHAnsi" w:eastAsiaTheme="minorEastAsia" w:cstheme="minorBidi"/>
      <w:color w:val="FF0000"/>
      <w:kern w:val="2"/>
      <w:sz w:val="28"/>
      <w:szCs w:val="22"/>
      <w:lang w:val="en-US" w:eastAsia="zh-CN" w:bidi="ar-SA"/>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uiPriority w:val="20"/>
    <w:rPr>
      <w:i/>
      <w:iCs/>
    </w:rPr>
  </w:style>
  <w:style w:type="character" w:styleId="19">
    <w:name w:val="Hyperlink"/>
    <w:basedOn w:val="17"/>
    <w:unhideWhenUsed/>
    <w:qFormat/>
    <w:uiPriority w:val="99"/>
    <w:rPr>
      <w:color w:val="0563C1" w:themeColor="hyperlink"/>
      <w:u w:val="single"/>
      <w14:textFill>
        <w14:solidFill>
          <w14:schemeClr w14:val="hlink"/>
        </w14:solidFill>
      </w14:textFill>
    </w:rPr>
  </w:style>
  <w:style w:type="character" w:styleId="20">
    <w:name w:val="annotation reference"/>
    <w:basedOn w:val="17"/>
    <w:unhideWhenUsed/>
    <w:qFormat/>
    <w:uiPriority w:val="99"/>
    <w:rPr>
      <w:sz w:val="21"/>
      <w:szCs w:val="21"/>
    </w:rPr>
  </w:style>
  <w:style w:type="paragraph" w:customStyle="1" w:styleId="21">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22">
    <w:name w:val="页眉 字符"/>
    <w:basedOn w:val="17"/>
    <w:link w:val="10"/>
    <w:qFormat/>
    <w:uiPriority w:val="0"/>
    <w:rPr>
      <w:sz w:val="18"/>
      <w:szCs w:val="18"/>
    </w:rPr>
  </w:style>
  <w:style w:type="character" w:customStyle="1" w:styleId="23">
    <w:name w:val="页脚 字符"/>
    <w:basedOn w:val="17"/>
    <w:link w:val="9"/>
    <w:qFormat/>
    <w:uiPriority w:val="99"/>
    <w:rPr>
      <w:sz w:val="18"/>
      <w:szCs w:val="18"/>
    </w:rPr>
  </w:style>
  <w:style w:type="character" w:customStyle="1" w:styleId="24">
    <w:name w:val="批注文字 字符"/>
    <w:basedOn w:val="17"/>
    <w:link w:val="4"/>
    <w:qFormat/>
    <w:uiPriority w:val="99"/>
  </w:style>
  <w:style w:type="character" w:customStyle="1" w:styleId="25">
    <w:name w:val="批注主题 字符"/>
    <w:basedOn w:val="24"/>
    <w:link w:val="13"/>
    <w:semiHidden/>
    <w:qFormat/>
    <w:uiPriority w:val="99"/>
    <w:rPr>
      <w:b/>
      <w:bCs/>
    </w:rPr>
  </w:style>
  <w:style w:type="character" w:customStyle="1" w:styleId="26">
    <w:name w:val="Unresolved Mention"/>
    <w:basedOn w:val="17"/>
    <w:semiHidden/>
    <w:unhideWhenUsed/>
    <w:qFormat/>
    <w:uiPriority w:val="99"/>
    <w:rPr>
      <w:color w:val="605E5C"/>
      <w:shd w:val="clear" w:color="auto" w:fill="E1DFDD"/>
    </w:rPr>
  </w:style>
  <w:style w:type="paragraph" w:styleId="27">
    <w:name w:val="List Paragraph"/>
    <w:basedOn w:val="1"/>
    <w:link w:val="28"/>
    <w:qFormat/>
    <w:uiPriority w:val="34"/>
    <w:pPr>
      <w:ind w:firstLine="420" w:firstLineChars="200"/>
    </w:pPr>
  </w:style>
  <w:style w:type="character" w:customStyle="1" w:styleId="28">
    <w:name w:val="列表段落 字符"/>
    <w:link w:val="27"/>
    <w:qFormat/>
    <w:uiPriority w:val="34"/>
  </w:style>
  <w:style w:type="character" w:customStyle="1" w:styleId="29">
    <w:name w:val="标题 2 字符"/>
    <w:basedOn w:val="17"/>
    <w:link w:val="2"/>
    <w:qFormat/>
    <w:uiPriority w:val="9"/>
    <w:rPr>
      <w:rFonts w:asciiTheme="majorHAnsi" w:hAnsiTheme="majorHAnsi" w:eastAsiaTheme="majorEastAsia" w:cstheme="majorBidi"/>
      <w:b/>
      <w:bCs/>
      <w:sz w:val="32"/>
      <w:szCs w:val="32"/>
    </w:rPr>
  </w:style>
  <w:style w:type="paragraph" w:customStyle="1" w:styleId="30">
    <w:name w:val="正文缩进2格"/>
    <w:basedOn w:val="1"/>
    <w:link w:val="31"/>
    <w:qFormat/>
    <w:uiPriority w:val="0"/>
    <w:pPr>
      <w:spacing w:line="600" w:lineRule="exact"/>
      <w:ind w:firstLine="639" w:firstLineChars="206"/>
    </w:pPr>
    <w:rPr>
      <w:rFonts w:ascii="仿宋_GB2312" w:hAnsi="宋体" w:eastAsia="仿宋_GB2312" w:cs="Times New Roman"/>
      <w:sz w:val="31"/>
      <w:szCs w:val="28"/>
    </w:rPr>
  </w:style>
  <w:style w:type="character" w:customStyle="1" w:styleId="31">
    <w:name w:val="正文缩进2格 Char"/>
    <w:link w:val="30"/>
    <w:qFormat/>
    <w:uiPriority w:val="0"/>
    <w:rPr>
      <w:rFonts w:ascii="仿宋_GB2312" w:hAnsi="宋体" w:eastAsia="仿宋_GB2312" w:cs="Times New Roman"/>
      <w:sz w:val="31"/>
      <w:szCs w:val="28"/>
    </w:rPr>
  </w:style>
  <w:style w:type="paragraph" w:customStyle="1" w:styleId="32">
    <w:name w:val="列出段落1"/>
    <w:basedOn w:val="1"/>
    <w:qFormat/>
    <w:uiPriority w:val="34"/>
    <w:pPr>
      <w:ind w:firstLine="420" w:firstLineChars="200"/>
    </w:pPr>
    <w:rPr>
      <w:rFonts w:ascii="Calibri" w:hAnsi="Calibri" w:eastAsia="宋体" w:cs="黑体"/>
    </w:rPr>
  </w:style>
  <w:style w:type="character" w:customStyle="1" w:styleId="33">
    <w:name w:val="正文文本 字符"/>
    <w:basedOn w:val="17"/>
    <w:link w:val="5"/>
    <w:qFormat/>
    <w:uiPriority w:val="0"/>
    <w:rPr>
      <w:rFonts w:ascii="Times New Roman" w:hAnsi="Times New Roman" w:eastAsia="宋体" w:cs="Times New Roman"/>
      <w:szCs w:val="24"/>
    </w:rPr>
  </w:style>
  <w:style w:type="character" w:customStyle="1" w:styleId="34">
    <w:name w:val="标题 1 字符"/>
    <w:basedOn w:val="17"/>
    <w:link w:val="3"/>
    <w:qFormat/>
    <w:uiPriority w:val="9"/>
    <w:rPr>
      <w:b/>
      <w:bCs/>
      <w:kern w:val="44"/>
      <w:sz w:val="44"/>
      <w:szCs w:val="44"/>
    </w:rPr>
  </w:style>
  <w:style w:type="paragraph" w:customStyle="1" w:styleId="35">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73</Pages>
  <Words>5219</Words>
  <Characters>5743</Characters>
  <Lines>304</Lines>
  <Paragraphs>85</Paragraphs>
  <TotalTime>18</TotalTime>
  <ScaleCrop>false</ScaleCrop>
  <LinksUpToDate>false</LinksUpToDate>
  <CharactersWithSpaces>5909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代理机构</cp:lastModifiedBy>
  <dcterms:modified xsi:type="dcterms:W3CDTF">2025-04-29T02:16:01Z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04530E9E483B45AB9A131A93B9D03274_12</vt:lpwstr>
  </property>
  <property fmtid="{D5CDD505-2E9C-101B-9397-08002B2CF9AE}" pid="4" name="KSOTemplateDocerSaveRecord">
    <vt:lpwstr>eyJoZGlkIjoiYTg5NGRlNzFiZDk1NWNlMDA3NzU3M2IyYWIyMGZiY2QiLCJ1c2VySWQiOiI1MTY5MTQyOTMifQ==</vt:lpwstr>
  </property>
</Properties>
</file>