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keepNext w:val="0"/>
        <w:keepLines w:val="0"/>
        <w:pageBreakBefore w:val="0"/>
        <w:widowControl w:val="0"/>
        <w:kinsoku/>
        <w:wordWrap/>
        <w:overflowPunct/>
        <w:topLinePunct w:val="0"/>
        <w:autoSpaceDE/>
        <w:autoSpaceDN/>
        <w:bidi w:val="0"/>
        <w:adjustRightInd/>
        <w:snapToGrid/>
        <w:spacing w:before="781" w:beforeLines="250" w:after="780" w:afterLines="250" w:line="480" w:lineRule="auto"/>
        <w:ind w:left="315" w:leftChars="150"/>
        <w:jc w:val="center"/>
        <w:textAlignment w:val="auto"/>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keepNext w:val="0"/>
        <w:keepLines w:val="0"/>
        <w:pageBreakBefore w:val="0"/>
        <w:widowControl/>
        <w:tabs>
          <w:tab w:val="left" w:pos="9072"/>
        </w:tabs>
        <w:kinsoku/>
        <w:wordWrap/>
        <w:overflowPunct/>
        <w:topLinePunct w:val="0"/>
        <w:autoSpaceDE/>
        <w:autoSpaceDN/>
        <w:bidi w:val="0"/>
        <w:adjustRightInd/>
        <w:snapToGrid/>
        <w:spacing w:before="936" w:beforeLines="300" w:line="640" w:lineRule="exact"/>
        <w:ind w:left="420" w:leftChars="200" w:firstLine="0" w:firstLineChars="0"/>
        <w:textAlignment w:val="auto"/>
        <w:outlineLvl w:val="9"/>
        <w:rPr>
          <w:rFonts w:hint="default" w:ascii="宋体" w:hAnsi="宋体" w:eastAsia="宋体"/>
          <w:color w:val="auto"/>
          <w:sz w:val="35"/>
          <w:szCs w:val="35"/>
          <w:lang w:eastAsia="zh-CN"/>
        </w:rPr>
      </w:pPr>
      <w:r>
        <w:rPr>
          <w:rFonts w:ascii="宋体" w:hAnsi="宋体" w:eastAsia="宋体"/>
          <w:b/>
          <w:color w:val="auto"/>
          <w:sz w:val="35"/>
          <w:szCs w:val="35"/>
        </w:rPr>
        <w:t>项目编号：</w:t>
      </w:r>
      <w:r>
        <w:rPr>
          <w:rFonts w:hint="eastAsia" w:ascii="宋体" w:hAnsi="宋体" w:eastAsia="宋体"/>
          <w:b/>
          <w:color w:val="auto"/>
          <w:sz w:val="35"/>
          <w:szCs w:val="35"/>
        </w:rPr>
        <w:t>ZHDGZC2025018</w:t>
      </w:r>
    </w:p>
    <w:p w14:paraId="6CB17377">
      <w:pPr>
        <w:pStyle w:val="74"/>
        <w:keepNext w:val="0"/>
        <w:keepLines w:val="0"/>
        <w:pageBreakBefore w:val="0"/>
        <w:widowControl/>
        <w:kinsoku/>
        <w:wordWrap/>
        <w:overflowPunct/>
        <w:topLinePunct w:val="0"/>
        <w:autoSpaceDE/>
        <w:autoSpaceDN/>
        <w:bidi w:val="0"/>
        <w:adjustRightInd/>
        <w:snapToGrid/>
        <w:spacing w:line="640" w:lineRule="exact"/>
        <w:ind w:left="2177" w:leftChars="200" w:hanging="1757" w:hangingChars="500"/>
        <w:textAlignment w:val="auto"/>
        <w:outlineLvl w:val="9"/>
        <w:rPr>
          <w:rFonts w:hint="default" w:ascii="宋体" w:hAnsi="宋体" w:eastAsia="宋体"/>
          <w:color w:val="auto"/>
          <w:sz w:val="35"/>
          <w:szCs w:val="35"/>
        </w:rPr>
      </w:pPr>
      <w:r>
        <w:rPr>
          <w:rFonts w:ascii="宋体" w:hAnsi="宋体" w:eastAsia="宋体"/>
          <w:b/>
          <w:color w:val="auto"/>
          <w:sz w:val="35"/>
          <w:szCs w:val="35"/>
        </w:rPr>
        <w:t>项目名称：</w:t>
      </w:r>
      <w:r>
        <w:rPr>
          <w:rFonts w:hint="eastAsia" w:ascii="宋体" w:hAnsi="宋体" w:eastAsia="宋体"/>
          <w:b/>
          <w:color w:val="auto"/>
          <w:sz w:val="35"/>
          <w:szCs w:val="35"/>
        </w:rPr>
        <w:t>东莞市长安镇辅警大队2025年警用摩托车保险服务采购项目</w:t>
      </w:r>
    </w:p>
    <w:p w14:paraId="6EA77B76">
      <w:pPr>
        <w:pStyle w:val="74"/>
        <w:keepNext w:val="0"/>
        <w:keepLines w:val="0"/>
        <w:pageBreakBefore w:val="0"/>
        <w:widowControl/>
        <w:kinsoku/>
        <w:wordWrap/>
        <w:overflowPunct/>
        <w:topLinePunct w:val="0"/>
        <w:autoSpaceDE/>
        <w:autoSpaceDN/>
        <w:bidi w:val="0"/>
        <w:adjustRightInd/>
        <w:snapToGrid/>
        <w:spacing w:line="640" w:lineRule="exact"/>
        <w:ind w:left="420" w:leftChars="200" w:firstLine="0" w:firstLineChars="0"/>
        <w:textAlignment w:val="auto"/>
        <w:outlineLvl w:val="9"/>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东莞市公安局长安分局</w:t>
      </w:r>
    </w:p>
    <w:p w14:paraId="2A3858FA">
      <w:pPr>
        <w:pStyle w:val="74"/>
        <w:keepNext w:val="0"/>
        <w:keepLines w:val="0"/>
        <w:pageBreakBefore w:val="0"/>
        <w:widowControl/>
        <w:kinsoku/>
        <w:wordWrap/>
        <w:overflowPunct/>
        <w:topLinePunct w:val="0"/>
        <w:autoSpaceDE/>
        <w:autoSpaceDN/>
        <w:bidi w:val="0"/>
        <w:adjustRightInd/>
        <w:snapToGrid/>
        <w:spacing w:line="640" w:lineRule="exact"/>
        <w:ind w:left="420" w:leftChars="200" w:firstLine="0" w:firstLineChars="0"/>
        <w:textAlignment w:val="auto"/>
        <w:outlineLvl w:val="9"/>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09F98784">
      <w:pPr>
        <w:jc w:val="center"/>
        <w:rPr>
          <w:rFonts w:asciiTheme="minorEastAsia" w:hAnsiTheme="minorEastAsia" w:eastAsiaTheme="minorEastAsia"/>
          <w:b/>
          <w:spacing w:val="60"/>
          <w:sz w:val="28"/>
          <w:szCs w:val="28"/>
        </w:rPr>
      </w:pPr>
    </w:p>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第一章 磋商邀请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第三章 磋商须知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10</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20</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31</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36ADDE6">
      <w:pPr>
        <w:pStyle w:val="15"/>
        <w:tabs>
          <w:tab w:val="right" w:leader="dot" w:pos="9070"/>
          <w:tab w:val="clear" w:pos="8273"/>
        </w:tabs>
        <w:rPr>
          <w:rFonts w:asciiTheme="minorEastAsia" w:hAnsiTheme="minorEastAsia" w:eastAsiaTheme="minorEastAsia"/>
          <w:lang w:val="zh-CN"/>
        </w:rPr>
      </w:pPr>
      <w:r>
        <w:rPr>
          <w:rStyle w:val="28"/>
          <w:rFonts w:ascii="宋体" w:hAnsi="宋体" w:eastAsia="宋体"/>
          <w:spacing w:val="20"/>
          <w:sz w:val="24"/>
          <w:szCs w:val="24"/>
        </w:rPr>
        <w:fldChar w:fldCharType="end"/>
      </w:r>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170228128"/>
      <w:bookmarkStart w:id="1" w:name="_Toc516661492"/>
      <w:bookmarkStart w:id="2" w:name="_Toc405313952"/>
      <w:bookmarkStart w:id="3" w:name="_Toc503257147"/>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u w:val="single"/>
        </w:rPr>
        <w:t>东莞市长安镇辅警大队2025年警用摩托车保险服务采购项目</w:t>
      </w:r>
      <w:r>
        <w:rPr>
          <w:rFonts w:hint="eastAsia" w:asciiTheme="minorEastAsia" w:hAnsiTheme="minorEastAsia" w:eastAsiaTheme="minorEastAsia"/>
          <w:color w:val="auto"/>
          <w:szCs w:val="21"/>
        </w:rPr>
        <w:t>的潜在供应商应在东莞市南城街道雅园产业园区路5号1栋1楼或微信搜索公众号“广东智汇城市招标采购有限公司”获取采购文件，并于</w:t>
      </w:r>
      <w:r>
        <w:rPr>
          <w:rFonts w:hint="eastAsia" w:asciiTheme="minorEastAsia" w:hAnsiTheme="minorEastAsia" w:eastAsiaTheme="minorEastAsia"/>
          <w:color w:val="auto"/>
          <w:szCs w:val="21"/>
          <w:u w:val="single"/>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u w:val="single"/>
          <w:lang w:val="en-US" w:eastAsia="zh-CN"/>
        </w:rPr>
        <w:t>04</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u w:val="single"/>
          <w:lang w:val="en-US" w:eastAsia="zh-CN"/>
        </w:rPr>
        <w:t>22</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u w:val="single"/>
          <w:lang w:val="en-US" w:eastAsia="zh-CN"/>
        </w:rPr>
        <w:t>14</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u w:val="single"/>
          <w:lang w:val="en-US" w:eastAsia="zh-CN"/>
        </w:rPr>
        <w:t>30</w:t>
      </w:r>
      <w:r>
        <w:rPr>
          <w:rFonts w:hint="eastAsia" w:asciiTheme="minorEastAsia" w:hAnsiTheme="minorEastAsia" w:eastAsiaTheme="minorEastAsia"/>
          <w:color w:val="auto"/>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rPr>
      </w:pPr>
      <w:r>
        <w:rPr>
          <w:rFonts w:hint="eastAsia" w:asciiTheme="minorEastAsia" w:hAnsiTheme="minorEastAsia" w:eastAsiaTheme="minorEastAsia"/>
          <w:b/>
          <w:color w:val="auto"/>
          <w:szCs w:val="21"/>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项目编号：ZHDGZC2025018</w:t>
      </w:r>
    </w:p>
    <w:p w14:paraId="0A32BCFC">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项目名称：东莞市长安镇辅警大队2025年警用摩托车保险服务采购项目</w:t>
      </w:r>
    </w:p>
    <w:p w14:paraId="5788C160">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346F51B3">
      <w:pPr>
        <w:tabs>
          <w:tab w:val="left" w:pos="426"/>
        </w:tabs>
        <w:spacing w:line="360" w:lineRule="auto"/>
        <w:ind w:left="420" w:hanging="420" w:hangingChars="200"/>
        <w:rPr>
          <w:rFonts w:hint="default" w:asciiTheme="minorEastAsia" w:hAnsiTheme="minorEastAsia" w:eastAsiaTheme="minorEastAsia"/>
          <w:color w:val="auto"/>
          <w:szCs w:val="21"/>
          <w:lang w:val="en-US" w:eastAsia="zh-CN"/>
        </w:rPr>
      </w:pPr>
      <w:r>
        <w:rPr>
          <w:rFonts w:hint="eastAsia" w:asciiTheme="minorEastAsia" w:hAnsiTheme="minorEastAsia" w:eastAsiaTheme="minorEastAsia"/>
          <w:color w:val="auto"/>
          <w:szCs w:val="21"/>
        </w:rPr>
        <w:t>预算金额：</w:t>
      </w:r>
      <w:r>
        <w:rPr>
          <w:rFonts w:hint="eastAsia" w:asciiTheme="minorEastAsia" w:hAnsiTheme="minorEastAsia" w:eastAsiaTheme="minorEastAsia"/>
          <w:color w:val="auto"/>
          <w:szCs w:val="21"/>
          <w:lang w:val="en-US" w:eastAsia="zh-CN"/>
        </w:rPr>
        <w:t>¥</w:t>
      </w:r>
      <w:r>
        <w:rPr>
          <w:rFonts w:hint="eastAsia" w:asciiTheme="minorEastAsia" w:hAnsiTheme="minorEastAsia" w:eastAsiaTheme="minorEastAsia"/>
          <w:color w:val="auto"/>
          <w:szCs w:val="21"/>
        </w:rPr>
        <w:t>279,129</w:t>
      </w:r>
      <w:r>
        <w:rPr>
          <w:rFonts w:hint="eastAsia" w:asciiTheme="minorEastAsia" w:hAnsiTheme="minorEastAsia" w:eastAsiaTheme="minorEastAsia"/>
          <w:color w:val="auto"/>
          <w:szCs w:val="21"/>
          <w:lang w:val="en-US" w:eastAsia="zh-CN"/>
        </w:rPr>
        <w:t>.00</w:t>
      </w:r>
    </w:p>
    <w:p w14:paraId="7F606E7A">
      <w:pPr>
        <w:tabs>
          <w:tab w:val="left" w:pos="284"/>
        </w:tabs>
        <w:spacing w:line="36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3000"/>
        <w:gridCol w:w="2084"/>
        <w:gridCol w:w="851"/>
        <w:gridCol w:w="765"/>
        <w:gridCol w:w="1874"/>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264A58CD">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rPr>
              <w:t>序号</w:t>
            </w:r>
          </w:p>
        </w:tc>
        <w:tc>
          <w:tcPr>
            <w:tcW w:w="1616" w:type="pct"/>
            <w:vAlign w:val="center"/>
          </w:tcPr>
          <w:p w14:paraId="0D3D7A5B">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标的名称</w:t>
            </w:r>
          </w:p>
        </w:tc>
        <w:tc>
          <w:tcPr>
            <w:tcW w:w="1122" w:type="pct"/>
            <w:vAlign w:val="center"/>
          </w:tcPr>
          <w:p w14:paraId="0A8BAC49">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预算金额（元）</w:t>
            </w:r>
          </w:p>
        </w:tc>
        <w:tc>
          <w:tcPr>
            <w:tcW w:w="458" w:type="pct"/>
            <w:vAlign w:val="center"/>
          </w:tcPr>
          <w:p w14:paraId="2B5D1AFA">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数量</w:t>
            </w:r>
          </w:p>
        </w:tc>
        <w:tc>
          <w:tcPr>
            <w:tcW w:w="412" w:type="pct"/>
            <w:vAlign w:val="center"/>
          </w:tcPr>
          <w:p w14:paraId="44B8A416">
            <w:pPr>
              <w:jc w:val="center"/>
              <w:rPr>
                <w:rFonts w:hint="eastAsia" w:asciiTheme="minorEastAsia" w:hAnsiTheme="minorEastAsia" w:eastAsiaTheme="minorEastAsia"/>
                <w:b/>
                <w:bCs w:val="0"/>
                <w:color w:val="auto"/>
                <w:szCs w:val="21"/>
                <w:lang w:val="en-US" w:eastAsia="zh-CN"/>
              </w:rPr>
            </w:pPr>
            <w:r>
              <w:rPr>
                <w:rFonts w:hint="eastAsia" w:asciiTheme="minorEastAsia" w:hAnsiTheme="minorEastAsia" w:eastAsiaTheme="minorEastAsia"/>
                <w:b/>
                <w:bCs w:val="0"/>
                <w:color w:val="auto"/>
                <w:szCs w:val="21"/>
                <w:lang w:val="en-US" w:eastAsia="zh-CN"/>
              </w:rPr>
              <w:t>单位</w:t>
            </w:r>
          </w:p>
        </w:tc>
        <w:tc>
          <w:tcPr>
            <w:tcW w:w="1009" w:type="pct"/>
            <w:vAlign w:val="center"/>
          </w:tcPr>
          <w:p w14:paraId="2DE0B3FA">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80" w:type="pct"/>
            <w:vAlign w:val="center"/>
          </w:tcPr>
          <w:p w14:paraId="663215FE">
            <w:pPr>
              <w:jc w:val="center"/>
              <w:rPr>
                <w:rFonts w:asciiTheme="minorEastAsia" w:hAnsiTheme="minorEastAsia" w:eastAsiaTheme="minorEastAsia"/>
                <w:bCs/>
                <w:color w:val="auto"/>
                <w:szCs w:val="21"/>
              </w:rPr>
            </w:pPr>
            <w:r>
              <w:rPr>
                <w:rFonts w:asciiTheme="minorEastAsia" w:hAnsiTheme="minorEastAsia" w:eastAsiaTheme="minorEastAsia"/>
                <w:b/>
                <w:bCs w:val="0"/>
                <w:color w:val="auto"/>
                <w:szCs w:val="21"/>
              </w:rPr>
              <w:t>1</w:t>
            </w:r>
          </w:p>
        </w:tc>
        <w:tc>
          <w:tcPr>
            <w:tcW w:w="1616" w:type="pct"/>
            <w:vAlign w:val="center"/>
          </w:tcPr>
          <w:p w14:paraId="2A82A929">
            <w:pPr>
              <w:jc w:val="center"/>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警用摩托车保险服务</w:t>
            </w:r>
          </w:p>
        </w:tc>
        <w:tc>
          <w:tcPr>
            <w:tcW w:w="1122" w:type="pct"/>
            <w:vAlign w:val="center"/>
          </w:tcPr>
          <w:p w14:paraId="71A05558">
            <w:pPr>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rPr>
              <w:t>279,129</w:t>
            </w:r>
            <w:r>
              <w:rPr>
                <w:rFonts w:hint="eastAsia" w:asciiTheme="minorEastAsia" w:hAnsiTheme="minorEastAsia" w:eastAsiaTheme="minorEastAsia"/>
                <w:color w:val="auto"/>
                <w:szCs w:val="21"/>
                <w:lang w:val="en-US" w:eastAsia="zh-CN"/>
              </w:rPr>
              <w:t>.00</w:t>
            </w:r>
          </w:p>
        </w:tc>
        <w:tc>
          <w:tcPr>
            <w:tcW w:w="458" w:type="pct"/>
            <w:vAlign w:val="center"/>
          </w:tcPr>
          <w:p w14:paraId="2EF70DCD">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412" w:type="pct"/>
            <w:vAlign w:val="center"/>
          </w:tcPr>
          <w:p w14:paraId="17B4C39C">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项</w:t>
            </w:r>
          </w:p>
        </w:tc>
        <w:tc>
          <w:tcPr>
            <w:tcW w:w="1009" w:type="pct"/>
            <w:vAlign w:val="center"/>
          </w:tcPr>
          <w:p w14:paraId="56D93CA0">
            <w:pPr>
              <w:jc w:val="center"/>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hint="default" w:asciiTheme="minorEastAsia" w:hAnsiTheme="minorEastAsia" w:eastAsiaTheme="minorEastAsia"/>
          <w:color w:val="auto"/>
          <w:szCs w:val="21"/>
          <w:lang w:val="en-US" w:eastAsia="zh-CN"/>
        </w:rPr>
      </w:pPr>
      <w:r>
        <w:rPr>
          <w:rFonts w:hint="eastAsia" w:asciiTheme="minorEastAsia" w:hAnsiTheme="minorEastAsia" w:eastAsiaTheme="minorEastAsia"/>
          <w:color w:val="auto"/>
          <w:szCs w:val="21"/>
        </w:rPr>
        <w:t>合同履行期限：自合同签订之日起一年</w:t>
      </w:r>
      <w:r>
        <w:rPr>
          <w:rFonts w:hint="eastAsia" w:asciiTheme="minorEastAsia" w:hAnsiTheme="minorEastAsia" w:eastAsiaTheme="minorEastAsia"/>
          <w:color w:val="auto"/>
          <w:szCs w:val="21"/>
          <w:lang w:val="en-US" w:eastAsia="zh-CN"/>
        </w:rPr>
        <w:t>或本项目预算金额（¥</w:t>
      </w:r>
      <w:r>
        <w:rPr>
          <w:rFonts w:hint="eastAsia" w:asciiTheme="minorEastAsia" w:hAnsiTheme="minorEastAsia" w:eastAsiaTheme="minorEastAsia"/>
          <w:color w:val="auto"/>
          <w:szCs w:val="21"/>
        </w:rPr>
        <w:t>279,129</w:t>
      </w:r>
      <w:r>
        <w:rPr>
          <w:rFonts w:hint="eastAsia" w:asciiTheme="minorEastAsia" w:hAnsiTheme="minorEastAsia" w:eastAsiaTheme="minorEastAsia"/>
          <w:color w:val="auto"/>
          <w:szCs w:val="21"/>
          <w:lang w:val="en-US" w:eastAsia="zh-CN"/>
        </w:rPr>
        <w:t>.00）使用完毕，以其中一项先到达的为止。</w:t>
      </w:r>
    </w:p>
    <w:p w14:paraId="55232128">
      <w:pPr>
        <w:tabs>
          <w:tab w:val="left" w:pos="284"/>
        </w:tabs>
        <w:spacing w:line="360" w:lineRule="auto"/>
        <w:rPr>
          <w:rFonts w:asciiTheme="minorEastAsia" w:hAnsiTheme="minorEastAsia" w:eastAsiaTheme="minorEastAsia"/>
          <w:color w:val="auto"/>
          <w:szCs w:val="21"/>
        </w:rPr>
      </w:pPr>
      <w:r>
        <w:rPr>
          <w:rFonts w:hint="eastAsia" w:asciiTheme="minorEastAsia" w:hAnsiTheme="minorEastAsia" w:eastAsiaTheme="minorEastAsia"/>
          <w:color w:val="auto"/>
          <w:szCs w:val="21"/>
        </w:rPr>
        <w:t>本项目（</w:t>
      </w:r>
      <w:r>
        <w:rPr>
          <w:rFonts w:hint="eastAsia" w:asciiTheme="minorEastAsia" w:hAnsiTheme="minorEastAsia" w:eastAsiaTheme="minorEastAsia"/>
          <w:color w:val="auto"/>
          <w:szCs w:val="21"/>
          <w:lang w:val="en-US" w:eastAsia="zh-CN"/>
        </w:rPr>
        <w:t>不</w:t>
      </w:r>
      <w:r>
        <w:rPr>
          <w:rFonts w:hint="eastAsia" w:asciiTheme="minorEastAsia" w:hAnsiTheme="minorEastAsia" w:eastAsiaTheme="minorEastAsia"/>
          <w:color w:val="auto"/>
          <w:szCs w:val="21"/>
        </w:rPr>
        <w:t>）接受联合体</w:t>
      </w:r>
      <w:r>
        <w:rPr>
          <w:rFonts w:hint="eastAsia" w:asciiTheme="minorEastAsia" w:hAnsiTheme="minorEastAsia" w:eastAsiaTheme="minorEastAsia"/>
          <w:color w:val="auto"/>
          <w:szCs w:val="21"/>
          <w:lang w:val="en-US" w:eastAsia="zh-CN"/>
        </w:rPr>
        <w:t>响应</w:t>
      </w:r>
      <w:r>
        <w:rPr>
          <w:rFonts w:hint="eastAsia" w:asciiTheme="minorEastAsia" w:hAnsiTheme="minorEastAsia" w:eastAsiaTheme="minorEastAsia"/>
          <w:color w:val="auto"/>
          <w:szCs w:val="21"/>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kern w:val="0"/>
          <w:szCs w:val="21"/>
          <w:lang w:eastAsia="zh-Hans"/>
        </w:rPr>
        <w:t>无</w:t>
      </w:r>
      <w:r>
        <w:rPr>
          <w:rFonts w:hint="eastAsia" w:ascii="宋体" w:hAnsi="宋体"/>
          <w:b/>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keepNext w:val="0"/>
        <w:keepLines w:val="0"/>
        <w:pageBreakBefore w:val="0"/>
        <w:widowControl/>
        <w:numPr>
          <w:ilvl w:val="0"/>
          <w:numId w:val="4"/>
        </w:numPr>
        <w:kinsoku/>
        <w:wordWrap w:val="0"/>
        <w:overflowPunct/>
        <w:topLinePunct w:val="0"/>
        <w:autoSpaceDE/>
        <w:autoSpaceDN/>
        <w:bidi w:val="0"/>
        <w:adjustRightInd/>
        <w:snapToGrid/>
        <w:spacing w:line="360" w:lineRule="auto"/>
        <w:ind w:left="0" w:hanging="420" w:hangingChars="200"/>
        <w:jc w:val="left"/>
        <w:textAlignment w:val="auto"/>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color w:val="auto"/>
          <w:kern w:val="0"/>
          <w:szCs w:val="21"/>
          <w:lang w:eastAsia="zh-Hans"/>
        </w:rPr>
      </w:pPr>
      <w:r>
        <w:rPr>
          <w:rFonts w:ascii="宋体" w:hAnsi="宋体"/>
          <w:kern w:val="0"/>
          <w:szCs w:val="21"/>
          <w:lang w:eastAsia="zh-Hans"/>
        </w:rPr>
        <w:t>单位负责人为同一人或者存在直接控股、管理关系的不同供应商，不得同时参加本采购项目（或</w:t>
      </w:r>
      <w:r>
        <w:rPr>
          <w:rFonts w:ascii="宋体" w:hAnsi="宋体"/>
          <w:color w:val="auto"/>
          <w:kern w:val="0"/>
          <w:szCs w:val="21"/>
          <w:lang w:eastAsia="zh-Hans"/>
        </w:rPr>
        <w:t>采购包）投标（响应）。为本项目提供整体设计、规范编制或者项目管理、监理、检测等服务的供应商，不得再参与本项目投标（响应）。</w:t>
      </w:r>
      <w:r>
        <w:rPr>
          <w:rFonts w:ascii="宋体" w:hAnsi="宋体"/>
          <w:bCs/>
          <w:color w:val="auto"/>
          <w:kern w:val="0"/>
          <w:szCs w:val="21"/>
        </w:rPr>
        <w:t>提供资格条件承诺函（详见</w:t>
      </w:r>
      <w:r>
        <w:rPr>
          <w:rFonts w:hint="eastAsia" w:ascii="宋体" w:hAnsi="宋体"/>
          <w:bCs/>
          <w:color w:val="auto"/>
          <w:kern w:val="0"/>
          <w:szCs w:val="21"/>
        </w:rPr>
        <w:t>响应</w:t>
      </w:r>
      <w:r>
        <w:rPr>
          <w:rFonts w:ascii="宋体" w:hAnsi="宋体"/>
          <w:bCs/>
          <w:color w:val="auto"/>
          <w:kern w:val="0"/>
          <w:szCs w:val="21"/>
        </w:rPr>
        <w:t>文件格式）。</w:t>
      </w:r>
    </w:p>
    <w:p w14:paraId="3DA9B9E6">
      <w:pPr>
        <w:widowControl/>
        <w:numPr>
          <w:ilvl w:val="0"/>
          <w:numId w:val="4"/>
        </w:numPr>
        <w:spacing w:line="360" w:lineRule="auto"/>
        <w:ind w:left="420" w:hanging="422" w:hangingChars="200"/>
        <w:jc w:val="left"/>
        <w:outlineLvl w:val="3"/>
        <w:rPr>
          <w:rFonts w:ascii="宋体" w:hAnsi="宋体"/>
          <w:b/>
          <w:bCs/>
          <w:color w:val="auto"/>
          <w:kern w:val="0"/>
          <w:szCs w:val="21"/>
          <w:lang w:eastAsia="zh-Hans"/>
        </w:rPr>
      </w:pPr>
      <w:r>
        <w:rPr>
          <w:rFonts w:hint="eastAsia" w:ascii="宋体" w:hAnsi="宋体"/>
          <w:b/>
          <w:bCs/>
          <w:color w:val="auto"/>
          <w:kern w:val="0"/>
          <w:szCs w:val="21"/>
        </w:rPr>
        <w:t>其他特定资格要求：供应商必须为经中国银行保险监督管理委员会及其授权的派出机构批准在中华人民共和国境内设立和营业并依法被核定许可经营机动车保险业务的保险机构，供应商为保险公司及其分支机构的须提供在有效期内的《保险许可证》复印件加盖供应商公章。</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9B1A6CC">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04</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11</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04</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18</w:t>
      </w:r>
      <w:r>
        <w:rPr>
          <w:rFonts w:hint="eastAsia" w:cs="宋体" w:asciiTheme="minorEastAsia" w:hAnsiTheme="minorEastAsia" w:eastAsiaTheme="minorEastAsia"/>
          <w:szCs w:val="21"/>
          <w:u w:val="non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地点：东莞市南城街道雅园产业园区路5号1栋1楼或微信搜索公众号“广东智汇城市招标采购有限公司”</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420" w:leftChars="200" w:firstLine="0" w:firstLineChars="0"/>
        <w:textAlignment w:val="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04</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22</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14</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14B2688C">
      <w:pPr>
        <w:pStyle w:val="70"/>
        <w:keepNext w:val="0"/>
        <w:keepLines w:val="0"/>
        <w:pageBreakBefore w:val="0"/>
        <w:widowControl w:val="0"/>
        <w:tabs>
          <w:tab w:val="left" w:pos="426"/>
        </w:tabs>
        <w:kinsoku/>
        <w:wordWrap/>
        <w:overflowPunct/>
        <w:topLinePunct w:val="0"/>
        <w:autoSpaceDE/>
        <w:autoSpaceDN/>
        <w:bidi w:val="0"/>
        <w:adjustRightInd/>
        <w:snapToGrid/>
        <w:spacing w:line="360" w:lineRule="auto"/>
        <w:ind w:left="420" w:leftChars="200" w:firstLine="0" w:firstLineChars="0"/>
        <w:textAlignment w:val="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地点：东莞市南城街道雅园产业园区路5号1栋1楼</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none"/>
        </w:rPr>
        <w:t>年</w:t>
      </w:r>
      <w:r>
        <w:rPr>
          <w:rFonts w:hint="eastAsia" w:cs="宋体" w:asciiTheme="minorEastAsia" w:hAnsiTheme="minorEastAsia" w:eastAsiaTheme="minorEastAsia"/>
          <w:szCs w:val="21"/>
          <w:u w:val="single"/>
          <w:lang w:val="en-US" w:eastAsia="zh-CN"/>
        </w:rPr>
        <w:t>04</w:t>
      </w:r>
      <w:r>
        <w:rPr>
          <w:rFonts w:hint="eastAsia" w:cs="宋体" w:asciiTheme="minorEastAsia" w:hAnsiTheme="minorEastAsia" w:eastAsiaTheme="minorEastAsia"/>
          <w:szCs w:val="21"/>
          <w:u w:val="none"/>
        </w:rPr>
        <w:t>月</w:t>
      </w:r>
      <w:r>
        <w:rPr>
          <w:rFonts w:hint="eastAsia" w:cs="宋体" w:asciiTheme="minorEastAsia" w:hAnsiTheme="minorEastAsia" w:eastAsiaTheme="minorEastAsia"/>
          <w:szCs w:val="21"/>
          <w:u w:val="single"/>
          <w:lang w:val="en-US" w:eastAsia="zh-CN"/>
        </w:rPr>
        <w:t>22</w:t>
      </w:r>
      <w:r>
        <w:rPr>
          <w:rFonts w:hint="eastAsia" w:cs="宋体" w:asciiTheme="minorEastAsia" w:hAnsiTheme="minorEastAsia" w:eastAsiaTheme="minorEastAsia"/>
          <w:szCs w:val="21"/>
          <w:u w:val="none"/>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14</w:t>
      </w:r>
      <w:r>
        <w:rPr>
          <w:rFonts w:hint="eastAsia" w:asciiTheme="minorEastAsia" w:hAnsiTheme="minorEastAsia" w:eastAsiaTheme="minorEastAsia"/>
          <w:color w:val="000000" w:themeColor="text1"/>
          <w:szCs w:val="21"/>
          <w:u w:val="non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none"/>
          <w14:textFill>
            <w14:solidFill>
              <w14:schemeClr w14:val="tx1"/>
            </w14:solidFill>
          </w14:textFill>
        </w:rPr>
        <w:t>分</w:t>
      </w:r>
      <w:r>
        <w:rPr>
          <w:rFonts w:hint="eastAsia" w:asciiTheme="minorEastAsia" w:hAnsiTheme="minorEastAsia" w:eastAsiaTheme="minorEastAsia"/>
          <w:color w:val="auto"/>
          <w:szCs w:val="21"/>
        </w:rPr>
        <w:t>（北京时间）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地点：东莞市南城街道雅园产业园区路5号1栋1楼</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w:t>
      </w:r>
      <w:r>
        <w:rPr>
          <w:rFonts w:hint="eastAsia" w:asciiTheme="minorEastAsia" w:hAnsiTheme="minorEastAsia" w:eastAsiaTheme="minorEastAsia"/>
          <w:bCs/>
          <w:color w:val="auto"/>
          <w:szCs w:val="21"/>
        </w:rPr>
        <w:t>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金融</w:t>
      </w:r>
      <w:r>
        <w:rPr>
          <w:rFonts w:hint="eastAsia" w:asciiTheme="minorEastAsia" w:hAnsiTheme="minorEastAsia" w:eastAsiaTheme="minorEastAsia"/>
          <w:bCs/>
          <w:color w:val="auto"/>
          <w:szCs w:val="21"/>
          <w:u w:val="single"/>
        </w:rPr>
        <w:t>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r>
        <w:rPr>
          <w:rFonts w:hint="eastAsia" w:asciiTheme="minorEastAsia" w:hAnsiTheme="minorEastAsia" w:eastAsiaTheme="minorEastAsia"/>
          <w:bCs/>
          <w:color w:val="auto"/>
          <w:szCs w:val="21"/>
          <w:lang w:val="en-US" w:eastAsia="zh-CN"/>
        </w:rPr>
        <w:t>根据</w:t>
      </w:r>
      <w:r>
        <w:rPr>
          <w:rFonts w:hint="eastAsia" w:asciiTheme="minorEastAsia" w:hAnsiTheme="minorEastAsia" w:eastAsiaTheme="minorEastAsia"/>
          <w:bCs/>
          <w:color w:val="auto"/>
          <w:szCs w:val="21"/>
        </w:rPr>
        <w:t>关于印发《金融业企业划型标准规定》的通知</w:t>
      </w:r>
      <w:r>
        <w:rPr>
          <w:rFonts w:hint="eastAsia" w:asciiTheme="minorEastAsia" w:hAnsiTheme="minorEastAsia" w:eastAsiaTheme="minorEastAsia"/>
          <w:bCs/>
          <w:color w:val="auto"/>
          <w:szCs w:val="21"/>
          <w:lang w:eastAsia="zh-CN"/>
        </w:rPr>
        <w:t>（</w:t>
      </w:r>
      <w:r>
        <w:rPr>
          <w:rFonts w:hint="eastAsia" w:asciiTheme="minorEastAsia" w:hAnsiTheme="minorEastAsia" w:eastAsiaTheme="minorEastAsia"/>
          <w:bCs/>
          <w:color w:val="auto"/>
          <w:szCs w:val="21"/>
        </w:rPr>
        <w:t>银发〔2015〕309号</w:t>
      </w:r>
      <w:r>
        <w:rPr>
          <w:rFonts w:hint="eastAsia" w:asciiTheme="minorEastAsia" w:hAnsiTheme="minorEastAsia" w:eastAsiaTheme="minorEastAsia"/>
          <w:bCs/>
          <w:color w:val="auto"/>
          <w:szCs w:val="21"/>
          <w:lang w:eastAsia="zh-CN"/>
        </w:rPr>
        <w:t>）</w:t>
      </w:r>
      <w:r>
        <w:rPr>
          <w:rFonts w:hint="eastAsia" w:asciiTheme="minorEastAsia" w:hAnsiTheme="minorEastAsia" w:eastAsiaTheme="minorEastAsia"/>
          <w:bCs/>
          <w:color w:val="auto"/>
          <w:szCs w:val="21"/>
          <w:lang w:val="en-US" w:eastAsia="zh-CN"/>
        </w:rPr>
        <w:t>规定：保险业金融机构。资产总额5000亿元以下的为中小微型企业。其中，资产总额400亿元及以上的为中型企业，资产总额20亿元及以上的为小型企业，资产总额20亿元以下的为微型企业。</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0"/>
        <w:keepNext w:val="0"/>
        <w:keepLines w:val="0"/>
        <w:pageBreakBefore w:val="0"/>
        <w:widowControl w:val="0"/>
        <w:kinsoku/>
        <w:wordWrap w:val="0"/>
        <w:overflowPunct/>
        <w:topLinePunct w:val="0"/>
        <w:autoSpaceDE/>
        <w:autoSpaceDN/>
        <w:bidi w:val="0"/>
        <w:adjustRightInd/>
        <w:snapToGrid/>
        <w:spacing w:line="360" w:lineRule="auto"/>
        <w:ind w:left="420" w:firstLine="0" w:firstLineChars="0"/>
        <w:textAlignment w:val="auto"/>
        <w:rPr>
          <w:rFonts w:asciiTheme="minorEastAsia" w:hAnsiTheme="minorEastAsia" w:eastAsiaTheme="minorEastAsia"/>
          <w:bCs/>
          <w:color w:val="auto"/>
          <w:spacing w:val="0"/>
          <w:sz w:val="21"/>
          <w:szCs w:val="21"/>
        </w:rPr>
      </w:pPr>
      <w:r>
        <w:rPr>
          <w:rFonts w:hint="eastAsia" w:ascii="宋体" w:hAnsi="宋体"/>
          <w:color w:val="auto"/>
          <w:spacing w:val="0"/>
          <w:sz w:val="21"/>
          <w:szCs w:val="21"/>
        </w:rPr>
        <w:t>中国采购与招标网</w:t>
      </w:r>
      <w:r>
        <w:rPr>
          <w:rFonts w:ascii="宋体" w:hAnsi="宋体"/>
          <w:color w:val="auto"/>
          <w:spacing w:val="0"/>
          <w:sz w:val="21"/>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采购人信息</w:t>
      </w:r>
    </w:p>
    <w:p w14:paraId="4900A1DC">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称：东莞市公安局长安分局</w:t>
      </w:r>
    </w:p>
    <w:p w14:paraId="384E59E3">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址：东莞市长安镇东门中路19号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联系方式：陈小姐 13798777308</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hint="eastAsia" w:ascii="宋体" w:hAnsi="宋体"/>
          <w:bCs/>
          <w:color w:val="000000" w:themeColor="text1"/>
          <w:szCs w:val="21"/>
          <w:lang w:val="en-US" w:eastAsia="zh-CN"/>
          <w14:textFill>
            <w14:solidFill>
              <w14:schemeClr w14:val="tx1"/>
            </w14:solidFill>
          </w14:textFill>
        </w:rPr>
        <w:t xml:space="preserve">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称：广东智汇城市招标采购有限公司</w:t>
      </w:r>
    </w:p>
    <w:p w14:paraId="3C2A19C1">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auto"/>
          <w:szCs w:val="21"/>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04</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11</w:t>
      </w:r>
      <w:bookmarkStart w:id="69" w:name="_GoBack"/>
      <w:bookmarkEnd w:id="69"/>
      <w:r>
        <w:rPr>
          <w:rFonts w:hint="eastAsia" w:asciiTheme="minorEastAsia" w:hAnsiTheme="minorEastAsia" w:eastAsiaTheme="minorEastAsia"/>
          <w:b/>
          <w:color w:val="000000" w:themeColor="text1"/>
          <w:szCs w:val="21"/>
          <w14:textFill>
            <w14:solidFill>
              <w14:schemeClr w14:val="tx1"/>
            </w14:solidFill>
          </w14:textFill>
        </w:rPr>
        <w:t>日</w:t>
      </w:r>
    </w:p>
    <w:p w14:paraId="201BA6D3">
      <w:pPr>
        <w:rPr>
          <w:rFonts w:asciiTheme="minorEastAsia" w:hAnsiTheme="minorEastAsia" w:eastAsiaTheme="minorEastAsia"/>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170228129"/>
      <w:bookmarkStart w:id="8" w:name="_Toc9097650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1917F190">
      <w:pPr>
        <w:snapToGrid w:val="0"/>
        <w:spacing w:line="360" w:lineRule="auto"/>
        <w:contextualSpacing/>
        <w:rPr>
          <w:rFonts w:ascii="宋体" w:hAnsi="宋体"/>
          <w:b/>
          <w:szCs w:val="21"/>
        </w:rPr>
      </w:pPr>
      <w:bookmarkStart w:id="9" w:name="_Hlk90919605"/>
      <w:r>
        <w:rPr>
          <w:rFonts w:hint="eastAsia" w:ascii="宋体" w:hAnsi="宋体"/>
          <w:b/>
          <w:szCs w:val="21"/>
        </w:rPr>
        <w:t>说明：</w:t>
      </w:r>
    </w:p>
    <w:p w14:paraId="469AD730">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71793A08">
      <w:pPr>
        <w:snapToGrid w:val="0"/>
        <w:spacing w:line="360" w:lineRule="auto"/>
        <w:contextualSpacing/>
        <w:rPr>
          <w:rFonts w:ascii="等线" w:hAnsi="等线" w:eastAsia="等线"/>
        </w:rPr>
      </w:pPr>
    </w:p>
    <w:p w14:paraId="52B4396B">
      <w:pPr>
        <w:numPr>
          <w:ilvl w:val="0"/>
          <w:numId w:val="8"/>
        </w:numPr>
        <w:snapToGrid w:val="0"/>
        <w:spacing w:line="360" w:lineRule="auto"/>
        <w:ind w:left="442" w:hanging="442"/>
        <w:contextualSpacing/>
        <w:rPr>
          <w:rFonts w:ascii="等线" w:hAnsi="等线" w:eastAsia="等线"/>
        </w:rPr>
      </w:pPr>
      <w:r>
        <w:rPr>
          <w:rFonts w:ascii="宋体" w:hAnsi="宋体"/>
          <w:b/>
          <w:bCs/>
        </w:rPr>
        <w:t>项目概况</w:t>
      </w:r>
    </w:p>
    <w:p w14:paraId="670BA917">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b w:val="0"/>
          <w:bCs/>
          <w:szCs w:val="21"/>
        </w:rPr>
      </w:pPr>
      <w:r>
        <w:rPr>
          <w:rFonts w:hint="eastAsia" w:ascii="宋体" w:hAnsi="宋体"/>
          <w:b w:val="0"/>
          <w:bCs/>
          <w:szCs w:val="21"/>
        </w:rPr>
        <w:t>为进一步提高和完善单位机动车道路交通保障，东莞市公安局长安分局</w:t>
      </w:r>
      <w:r>
        <w:rPr>
          <w:rFonts w:hint="eastAsia" w:ascii="宋体" w:hAnsi="宋体"/>
          <w:b w:val="0"/>
          <w:bCs/>
          <w:szCs w:val="21"/>
          <w:lang w:val="en-US" w:eastAsia="zh-CN"/>
        </w:rPr>
        <w:t>拟通过竞争性磋商方式</w:t>
      </w:r>
      <w:r>
        <w:rPr>
          <w:rFonts w:hint="eastAsia" w:ascii="宋体" w:hAnsi="宋体"/>
          <w:b w:val="0"/>
          <w:bCs/>
          <w:szCs w:val="21"/>
        </w:rPr>
        <w:t>为东莞市长安镇辅警大队全体在册警用摩托车</w:t>
      </w:r>
      <w:r>
        <w:rPr>
          <w:rFonts w:hint="eastAsia" w:ascii="宋体" w:hAnsi="宋体"/>
          <w:b w:val="0"/>
          <w:bCs/>
          <w:szCs w:val="21"/>
          <w:lang w:val="en-US" w:eastAsia="zh-CN"/>
        </w:rPr>
        <w:t>选取一家供应商提供</w:t>
      </w:r>
      <w:r>
        <w:rPr>
          <w:rFonts w:hint="eastAsia" w:ascii="宋体" w:hAnsi="宋体"/>
          <w:b w:val="0"/>
          <w:bCs/>
          <w:szCs w:val="21"/>
        </w:rPr>
        <w:t>保险</w:t>
      </w:r>
      <w:r>
        <w:rPr>
          <w:rFonts w:hint="eastAsia" w:ascii="宋体" w:hAnsi="宋体"/>
          <w:b w:val="0"/>
          <w:bCs/>
          <w:szCs w:val="21"/>
          <w:lang w:val="en-US" w:eastAsia="zh-CN"/>
        </w:rPr>
        <w:t>服务</w:t>
      </w:r>
      <w:r>
        <w:rPr>
          <w:rFonts w:hint="eastAsia" w:ascii="宋体" w:hAnsi="宋体"/>
          <w:b w:val="0"/>
          <w:bCs/>
          <w:szCs w:val="21"/>
        </w:rPr>
        <w:t>。</w:t>
      </w:r>
    </w:p>
    <w:p w14:paraId="4562D4C9">
      <w:pPr>
        <w:numPr>
          <w:ilvl w:val="0"/>
          <w:numId w:val="8"/>
        </w:numPr>
        <w:snapToGrid w:val="0"/>
        <w:spacing w:line="360" w:lineRule="auto"/>
        <w:ind w:left="442" w:hanging="442"/>
        <w:contextualSpacing/>
        <w:rPr>
          <w:rFonts w:ascii="宋体" w:hAnsi="宋体"/>
          <w:b/>
          <w:szCs w:val="21"/>
        </w:rPr>
      </w:pPr>
      <w:r>
        <w:rPr>
          <w:rFonts w:ascii="宋体" w:hAnsi="宋体"/>
          <w:b/>
          <w:bCs/>
        </w:rPr>
        <w:t>采购标的</w:t>
      </w:r>
    </w:p>
    <w:p w14:paraId="7B89FF67">
      <w:pPr>
        <w:numPr>
          <w:ilvl w:val="0"/>
          <w:numId w:val="9"/>
        </w:numPr>
        <w:snapToGrid w:val="0"/>
        <w:spacing w:line="360" w:lineRule="auto"/>
        <w:contextualSpacing/>
        <w:rPr>
          <w:rFonts w:ascii="宋体" w:hAnsi="宋体"/>
          <w:bCs/>
          <w:szCs w:val="21"/>
        </w:rPr>
      </w:pPr>
      <w:r>
        <w:rPr>
          <w:rFonts w:ascii="宋体" w:hAnsi="宋体"/>
          <w:bCs/>
          <w:szCs w:val="21"/>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3601"/>
        <w:gridCol w:w="1228"/>
        <w:gridCol w:w="1243"/>
        <w:gridCol w:w="2389"/>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44" w:type="pct"/>
            <w:vAlign w:val="center"/>
          </w:tcPr>
          <w:p w14:paraId="7818113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序号</w:t>
            </w:r>
          </w:p>
        </w:tc>
        <w:tc>
          <w:tcPr>
            <w:tcW w:w="1938" w:type="pct"/>
            <w:vAlign w:val="center"/>
          </w:tcPr>
          <w:p w14:paraId="4E5891E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标的名称</w:t>
            </w:r>
          </w:p>
        </w:tc>
        <w:tc>
          <w:tcPr>
            <w:tcW w:w="661" w:type="pct"/>
            <w:vAlign w:val="center"/>
          </w:tcPr>
          <w:p w14:paraId="36E1B2D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数量</w:t>
            </w:r>
          </w:p>
        </w:tc>
        <w:tc>
          <w:tcPr>
            <w:tcW w:w="669" w:type="pct"/>
            <w:vAlign w:val="center"/>
          </w:tcPr>
          <w:p w14:paraId="0B97BCB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单位</w:t>
            </w:r>
          </w:p>
        </w:tc>
        <w:tc>
          <w:tcPr>
            <w:tcW w:w="1286" w:type="pct"/>
            <w:vAlign w:val="center"/>
          </w:tcPr>
          <w:p w14:paraId="572FE9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
                <w:bCs w:val="0"/>
                <w:szCs w:val="21"/>
              </w:rPr>
            </w:pPr>
            <w:r>
              <w:rPr>
                <w:rFonts w:hint="eastAsia" w:ascii="宋体" w:hAnsi="宋体" w:eastAsia="宋体"/>
                <w:b/>
                <w:bCs w:val="0"/>
                <w:szCs w:val="21"/>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444" w:type="pct"/>
            <w:vAlign w:val="center"/>
          </w:tcPr>
          <w:p w14:paraId="39FF9E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
                <w:bCs w:val="0"/>
                <w:szCs w:val="21"/>
                <w:lang w:val="en-US" w:eastAsia="zh-CN"/>
              </w:rPr>
            </w:pPr>
            <w:r>
              <w:rPr>
                <w:rFonts w:hint="eastAsia" w:ascii="宋体" w:hAnsi="宋体"/>
                <w:b/>
                <w:bCs w:val="0"/>
                <w:szCs w:val="21"/>
                <w:lang w:val="en-US" w:eastAsia="zh-CN"/>
              </w:rPr>
              <w:t>1</w:t>
            </w:r>
          </w:p>
        </w:tc>
        <w:tc>
          <w:tcPr>
            <w:tcW w:w="1938" w:type="pct"/>
            <w:vAlign w:val="center"/>
          </w:tcPr>
          <w:p w14:paraId="1E6532D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Theme="minorEastAsia" w:hAnsiTheme="minorEastAsia" w:eastAsiaTheme="minorEastAsia"/>
                <w:bCs/>
                <w:szCs w:val="21"/>
              </w:rPr>
              <w:t>警用摩托车保险服务</w:t>
            </w:r>
          </w:p>
        </w:tc>
        <w:tc>
          <w:tcPr>
            <w:tcW w:w="661" w:type="pct"/>
            <w:vAlign w:val="center"/>
          </w:tcPr>
          <w:p w14:paraId="2B5B54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bCs/>
                <w:szCs w:val="21"/>
                <w:lang w:val="en-US" w:eastAsia="zh-CN"/>
              </w:rPr>
              <w:t>1</w:t>
            </w:r>
          </w:p>
        </w:tc>
        <w:tc>
          <w:tcPr>
            <w:tcW w:w="669" w:type="pct"/>
            <w:vAlign w:val="center"/>
          </w:tcPr>
          <w:p w14:paraId="69C2543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bCs/>
                <w:szCs w:val="21"/>
                <w:lang w:val="en-US" w:eastAsia="zh-CN"/>
              </w:rPr>
            </w:pPr>
            <w:r>
              <w:rPr>
                <w:rFonts w:hint="eastAsia" w:ascii="宋体" w:hAnsi="宋体"/>
                <w:bCs/>
                <w:szCs w:val="21"/>
                <w:lang w:val="en-US" w:eastAsia="zh-CN"/>
              </w:rPr>
              <w:t>项</w:t>
            </w:r>
          </w:p>
        </w:tc>
        <w:tc>
          <w:tcPr>
            <w:tcW w:w="1286" w:type="pct"/>
            <w:vAlign w:val="center"/>
          </w:tcPr>
          <w:p w14:paraId="5F2525B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eastAsia="宋体"/>
                <w:bCs/>
                <w:szCs w:val="21"/>
              </w:rPr>
            </w:pPr>
            <w:r>
              <w:rPr>
                <w:rFonts w:hint="eastAsia" w:ascii="宋体" w:hAnsi="宋体"/>
                <w:bCs/>
                <w:color w:val="auto"/>
                <w:szCs w:val="21"/>
                <w:lang w:val="en-US" w:eastAsia="zh-CN"/>
              </w:rPr>
              <w:t>金融</w:t>
            </w:r>
            <w:r>
              <w:rPr>
                <w:rFonts w:hint="eastAsia" w:ascii="宋体" w:hAnsi="宋体" w:eastAsia="宋体"/>
                <w:bCs/>
                <w:color w:val="auto"/>
                <w:szCs w:val="21"/>
              </w:rPr>
              <w:t>业</w:t>
            </w:r>
          </w:p>
        </w:tc>
      </w:tr>
    </w:tbl>
    <w:p w14:paraId="48980B12">
      <w:pPr>
        <w:numPr>
          <w:ilvl w:val="0"/>
          <w:numId w:val="8"/>
        </w:numPr>
        <w:snapToGrid w:val="0"/>
        <w:spacing w:line="360" w:lineRule="auto"/>
        <w:ind w:left="442" w:hanging="442"/>
        <w:contextualSpacing/>
        <w:rPr>
          <w:rFonts w:ascii="宋体" w:hAnsi="宋体"/>
          <w:b/>
          <w:szCs w:val="21"/>
        </w:rPr>
      </w:pPr>
      <w:r>
        <w:rPr>
          <w:rFonts w:ascii="宋体" w:hAnsi="宋体"/>
          <w:b/>
          <w:bCs/>
        </w:rPr>
        <w:t>商务要求</w:t>
      </w:r>
    </w:p>
    <w:p w14:paraId="0BED9725">
      <w:pPr>
        <w:numPr>
          <w:ilvl w:val="0"/>
          <w:numId w:val="10"/>
        </w:numPr>
        <w:snapToGrid w:val="0"/>
        <w:spacing w:line="360" w:lineRule="auto"/>
        <w:contextualSpacing/>
        <w:rPr>
          <w:rFonts w:ascii="宋体" w:hAnsi="宋体"/>
          <w:iCs/>
          <w:szCs w:val="21"/>
        </w:rPr>
      </w:pPr>
      <w:r>
        <w:rPr>
          <w:rFonts w:hint="eastAsia" w:ascii="宋体" w:hAnsi="宋体"/>
          <w:iCs/>
          <w:szCs w:val="21"/>
        </w:rPr>
        <w:t>服务时间</w:t>
      </w:r>
      <w:r>
        <w:rPr>
          <w:rFonts w:hint="eastAsia" w:ascii="宋体" w:hAnsi="宋体"/>
          <w:iCs/>
          <w:szCs w:val="21"/>
          <w:lang w:eastAsia="zh-CN"/>
        </w:rPr>
        <w:t>：自合同签订之日起一年或本项目预算金额（¥279,129.00）使用完毕，以其中一项先到达的为止。</w:t>
      </w:r>
    </w:p>
    <w:p w14:paraId="34CC259B">
      <w:pPr>
        <w:numPr>
          <w:ilvl w:val="0"/>
          <w:numId w:val="10"/>
        </w:numPr>
        <w:snapToGrid w:val="0"/>
        <w:spacing w:line="360" w:lineRule="auto"/>
        <w:contextualSpacing/>
        <w:rPr>
          <w:rFonts w:ascii="宋体" w:hAnsi="宋体"/>
          <w:iCs/>
          <w:szCs w:val="21"/>
        </w:rPr>
      </w:pPr>
      <w:r>
        <w:rPr>
          <w:rFonts w:hint="eastAsia" w:ascii="宋体" w:hAnsi="宋体"/>
          <w:iCs/>
          <w:szCs w:val="21"/>
        </w:rPr>
        <w:t>服务地点</w:t>
      </w:r>
      <w:r>
        <w:rPr>
          <w:rFonts w:hint="eastAsia" w:ascii="宋体" w:hAnsi="宋体"/>
          <w:iCs/>
          <w:szCs w:val="21"/>
          <w:lang w:eastAsia="zh-CN"/>
        </w:rPr>
        <w:t>：</w:t>
      </w:r>
      <w:r>
        <w:rPr>
          <w:rFonts w:hint="eastAsia" w:ascii="宋体" w:hAnsi="宋体"/>
          <w:iCs/>
          <w:szCs w:val="21"/>
          <w:lang w:val="en-US" w:eastAsia="zh-CN"/>
        </w:rPr>
        <w:t>东莞市长安镇或采购人指定地点。</w:t>
      </w:r>
    </w:p>
    <w:p w14:paraId="2D08EF1F">
      <w:pPr>
        <w:numPr>
          <w:ilvl w:val="0"/>
          <w:numId w:val="10"/>
        </w:numPr>
        <w:snapToGrid w:val="0"/>
        <w:spacing w:line="360" w:lineRule="auto"/>
        <w:contextualSpacing/>
        <w:rPr>
          <w:rFonts w:ascii="宋体" w:hAnsi="宋体"/>
          <w:b/>
          <w:bCs/>
          <w:iCs/>
          <w:szCs w:val="21"/>
          <w:u w:val="single"/>
        </w:rPr>
      </w:pPr>
      <w:r>
        <w:rPr>
          <w:rFonts w:hint="eastAsia" w:ascii="宋体" w:hAnsi="宋体"/>
          <w:b/>
          <w:bCs/>
          <w:iCs/>
          <w:szCs w:val="21"/>
          <w:u w:val="single"/>
          <w:lang w:val="en-US" w:eastAsia="zh-CN"/>
        </w:rPr>
        <w:t>★报价说明：</w:t>
      </w:r>
    </w:p>
    <w:p w14:paraId="2296AB42">
      <w:pPr>
        <w:keepNext w:val="0"/>
        <w:keepLines w:val="0"/>
        <w:pageBreakBefore w:val="0"/>
        <w:widowControl w:val="0"/>
        <w:numPr>
          <w:ilvl w:val="0"/>
          <w:numId w:val="11"/>
        </w:numPr>
        <w:tabs>
          <w:tab w:val="left" w:pos="284"/>
        </w:tabs>
        <w:kinsoku/>
        <w:wordWrap/>
        <w:overflowPunct/>
        <w:topLinePunct w:val="0"/>
        <w:autoSpaceDE/>
        <w:autoSpaceDN/>
        <w:bidi w:val="0"/>
        <w:adjustRightInd/>
        <w:snapToGrid w:val="0"/>
        <w:spacing w:line="360" w:lineRule="auto"/>
        <w:ind w:left="315" w:hanging="316" w:hangingChars="150"/>
        <w:contextualSpacing/>
        <w:textAlignment w:val="auto"/>
        <w:rPr>
          <w:rFonts w:ascii="宋体" w:hAnsi="宋体"/>
          <w:b/>
          <w:bCs/>
          <w:iCs/>
          <w:color w:val="auto"/>
          <w:szCs w:val="21"/>
          <w:u w:val="single"/>
        </w:rPr>
      </w:pPr>
      <w:r>
        <w:rPr>
          <w:rFonts w:hint="eastAsia" w:ascii="宋体" w:hAnsi="宋体"/>
          <w:b/>
          <w:bCs/>
          <w:iCs/>
          <w:color w:val="auto"/>
          <w:szCs w:val="21"/>
          <w:u w:val="single"/>
        </w:rPr>
        <w:t>本项目</w:t>
      </w:r>
      <w:r>
        <w:rPr>
          <w:rFonts w:hint="eastAsia" w:ascii="宋体" w:hAnsi="宋体"/>
          <w:b/>
          <w:bCs/>
          <w:iCs/>
          <w:color w:val="auto"/>
          <w:szCs w:val="21"/>
          <w:u w:val="single"/>
          <w:lang w:val="en-US" w:eastAsia="zh-CN"/>
        </w:rPr>
        <w:t>警用摩托车保险费用</w:t>
      </w:r>
      <w:r>
        <w:rPr>
          <w:rFonts w:hint="eastAsia" w:ascii="宋体" w:hAnsi="宋体"/>
          <w:b/>
          <w:bCs/>
          <w:iCs/>
          <w:color w:val="auto"/>
          <w:szCs w:val="21"/>
          <w:u w:val="single"/>
        </w:rPr>
        <w:t>单价最高限价为</w:t>
      </w:r>
      <w:r>
        <w:rPr>
          <w:rFonts w:hint="eastAsia" w:ascii="宋体" w:hAnsi="宋体"/>
          <w:b/>
          <w:bCs/>
          <w:iCs/>
          <w:color w:val="auto"/>
          <w:szCs w:val="21"/>
          <w:u w:val="single"/>
          <w:lang w:val="en-US" w:eastAsia="zh-CN"/>
        </w:rPr>
        <w:t>1,121.0</w:t>
      </w:r>
      <w:r>
        <w:rPr>
          <w:rFonts w:hint="eastAsia" w:ascii="宋体" w:hAnsi="宋体"/>
          <w:b/>
          <w:bCs/>
          <w:iCs/>
          <w:color w:val="auto"/>
          <w:szCs w:val="21"/>
          <w:u w:val="single"/>
        </w:rPr>
        <w:t>0元/</w:t>
      </w:r>
      <w:r>
        <w:rPr>
          <w:rFonts w:hint="eastAsia" w:ascii="宋体" w:hAnsi="宋体"/>
          <w:b/>
          <w:bCs/>
          <w:iCs/>
          <w:color w:val="auto"/>
          <w:szCs w:val="21"/>
          <w:u w:val="single"/>
          <w:lang w:val="en-US" w:eastAsia="zh-CN"/>
        </w:rPr>
        <w:t>台/年</w:t>
      </w:r>
      <w:r>
        <w:rPr>
          <w:rFonts w:hint="eastAsia" w:ascii="宋体" w:hAnsi="宋体"/>
          <w:b/>
          <w:bCs/>
          <w:iCs/>
          <w:color w:val="auto"/>
          <w:szCs w:val="21"/>
          <w:u w:val="single"/>
        </w:rPr>
        <w:t>，</w:t>
      </w:r>
      <w:r>
        <w:rPr>
          <w:rFonts w:hint="eastAsia" w:ascii="宋体" w:hAnsi="宋体"/>
          <w:b/>
          <w:bCs/>
          <w:iCs/>
          <w:color w:val="auto"/>
          <w:szCs w:val="21"/>
          <w:u w:val="single"/>
          <w:lang w:val="en-US" w:eastAsia="zh-CN"/>
        </w:rPr>
        <w:t>响应供应商响应</w:t>
      </w:r>
      <w:r>
        <w:rPr>
          <w:rFonts w:hint="eastAsia" w:ascii="宋体" w:hAnsi="宋体"/>
          <w:b/>
          <w:bCs/>
          <w:iCs/>
          <w:color w:val="auto"/>
          <w:szCs w:val="21"/>
          <w:u w:val="single"/>
        </w:rPr>
        <w:t>单价不得超出单价最高限价，否则将导致投标无效（供应商所报</w:t>
      </w:r>
      <w:r>
        <w:rPr>
          <w:rFonts w:hint="eastAsia" w:ascii="宋体" w:hAnsi="宋体"/>
          <w:b/>
          <w:bCs/>
          <w:iCs/>
          <w:color w:val="auto"/>
          <w:szCs w:val="21"/>
          <w:u w:val="single"/>
          <w:lang w:val="en-US" w:eastAsia="zh-CN"/>
        </w:rPr>
        <w:t>单价必</w:t>
      </w:r>
      <w:r>
        <w:rPr>
          <w:rFonts w:hint="eastAsia" w:ascii="宋体" w:hAnsi="宋体"/>
          <w:b/>
          <w:bCs/>
          <w:iCs/>
          <w:color w:val="auto"/>
          <w:szCs w:val="21"/>
          <w:u w:val="single"/>
        </w:rPr>
        <w:t>须在中国银行保险监督管理委员会批准的范围内且不能与国家及地方有关法律法规抵触，否则由此产生的损失和法律责任由供应商自行承担）</w:t>
      </w:r>
      <w:r>
        <w:rPr>
          <w:rFonts w:hint="eastAsia" w:ascii="宋体" w:hAnsi="宋体"/>
          <w:b/>
          <w:bCs/>
          <w:iCs/>
          <w:color w:val="auto"/>
          <w:szCs w:val="21"/>
          <w:u w:val="single"/>
          <w:lang w:eastAsia="zh-CN"/>
        </w:rPr>
        <w:t>；</w:t>
      </w:r>
    </w:p>
    <w:p w14:paraId="0F441688">
      <w:pPr>
        <w:keepNext w:val="0"/>
        <w:keepLines w:val="0"/>
        <w:pageBreakBefore w:val="0"/>
        <w:widowControl w:val="0"/>
        <w:numPr>
          <w:ilvl w:val="0"/>
          <w:numId w:val="11"/>
        </w:numPr>
        <w:tabs>
          <w:tab w:val="left" w:pos="284"/>
        </w:tabs>
        <w:kinsoku/>
        <w:wordWrap/>
        <w:overflowPunct/>
        <w:topLinePunct w:val="0"/>
        <w:autoSpaceDE/>
        <w:autoSpaceDN/>
        <w:bidi w:val="0"/>
        <w:adjustRightInd/>
        <w:snapToGrid w:val="0"/>
        <w:spacing w:line="360" w:lineRule="auto"/>
        <w:ind w:left="315" w:hanging="316" w:hangingChars="150"/>
        <w:contextualSpacing/>
        <w:textAlignment w:val="auto"/>
        <w:rPr>
          <w:rFonts w:ascii="宋体" w:hAnsi="宋体"/>
          <w:b/>
          <w:bCs/>
          <w:iCs/>
          <w:color w:val="auto"/>
          <w:szCs w:val="21"/>
          <w:u w:val="single"/>
        </w:rPr>
      </w:pPr>
      <w:r>
        <w:rPr>
          <w:rFonts w:hint="eastAsia" w:ascii="宋体" w:hAnsi="宋体"/>
          <w:b/>
          <w:bCs/>
          <w:iCs/>
          <w:color w:val="auto"/>
          <w:szCs w:val="21"/>
          <w:u w:val="single"/>
        </w:rPr>
        <w:t>供应商报价应综合考虑项目所涉及的所有内容，包含东莞市长安镇辅警大队全体在册警用摩托车</w:t>
      </w:r>
      <w:r>
        <w:rPr>
          <w:rFonts w:hint="eastAsia" w:ascii="宋体" w:hAnsi="宋体"/>
          <w:b/>
          <w:bCs/>
          <w:iCs/>
          <w:color w:val="auto"/>
          <w:szCs w:val="21"/>
          <w:u w:val="single"/>
          <w:lang w:eastAsia="zh-CN"/>
        </w:rPr>
        <w:t>（</w:t>
      </w:r>
      <w:r>
        <w:rPr>
          <w:rFonts w:hint="eastAsia" w:ascii="宋体" w:hAnsi="宋体"/>
          <w:b/>
          <w:bCs/>
          <w:iCs/>
          <w:color w:val="auto"/>
          <w:szCs w:val="21"/>
          <w:u w:val="single"/>
          <w:lang w:val="en-US" w:eastAsia="zh-CN"/>
        </w:rPr>
        <w:t>含服务期内新增车辆</w:t>
      </w:r>
      <w:r>
        <w:rPr>
          <w:rFonts w:hint="eastAsia" w:ascii="宋体" w:hAnsi="宋体"/>
          <w:b/>
          <w:bCs/>
          <w:iCs/>
          <w:color w:val="auto"/>
          <w:szCs w:val="21"/>
          <w:u w:val="single"/>
          <w:lang w:eastAsia="zh-CN"/>
        </w:rPr>
        <w:t>）</w:t>
      </w:r>
      <w:r>
        <w:rPr>
          <w:rFonts w:hint="eastAsia" w:ascii="宋体" w:hAnsi="宋体"/>
          <w:b/>
          <w:bCs/>
          <w:iCs/>
          <w:color w:val="auto"/>
          <w:szCs w:val="21"/>
          <w:u w:val="single"/>
        </w:rPr>
        <w:t>的机动车第三者责任保险、车上人员责任保险</w:t>
      </w:r>
      <w:r>
        <w:rPr>
          <w:rFonts w:hint="eastAsia" w:ascii="宋体" w:hAnsi="宋体"/>
          <w:b/>
          <w:bCs/>
          <w:iCs/>
          <w:color w:val="auto"/>
          <w:szCs w:val="21"/>
          <w:u w:val="single"/>
          <w:lang w:eastAsia="zh-CN"/>
        </w:rPr>
        <w:t>、</w:t>
      </w:r>
      <w:r>
        <w:rPr>
          <w:rFonts w:hint="eastAsia" w:ascii="宋体" w:hAnsi="宋体"/>
          <w:b/>
          <w:bCs/>
          <w:iCs/>
          <w:color w:val="auto"/>
          <w:szCs w:val="21"/>
          <w:u w:val="single"/>
        </w:rPr>
        <w:t>交通事故责任强制保险和车船税等。其中，由成交供应商代为购买保险车辆交通事故责任强制保险及缴纳车船税，</w:t>
      </w:r>
      <w:r>
        <w:rPr>
          <w:rFonts w:hint="eastAsia" w:ascii="宋体" w:hAnsi="宋体"/>
          <w:b/>
          <w:bCs/>
          <w:iCs/>
          <w:color w:val="auto"/>
          <w:szCs w:val="21"/>
          <w:u w:val="single"/>
          <w:lang w:val="en-US" w:eastAsia="zh-CN"/>
        </w:rPr>
        <w:t>所需费用由成交供应商承担，</w:t>
      </w:r>
      <w:r>
        <w:rPr>
          <w:rFonts w:hint="eastAsia" w:ascii="宋体" w:hAnsi="宋体"/>
          <w:b/>
          <w:bCs/>
          <w:iCs/>
          <w:color w:val="auto"/>
          <w:szCs w:val="21"/>
          <w:u w:val="single"/>
        </w:rPr>
        <w:t>收费须按中国银行保险监督管理委员会制定的最新版《机动车交通事故责任强制保险费率方案》、《广东省机动车车船税代收代缴管理办法》和车船税税目税费表的统一规定执行，供应商不得以此为由向采购人收取额外费用。</w:t>
      </w:r>
    </w:p>
    <w:p w14:paraId="16CB89DF">
      <w:pPr>
        <w:numPr>
          <w:ilvl w:val="0"/>
          <w:numId w:val="10"/>
        </w:numPr>
        <w:snapToGrid w:val="0"/>
        <w:spacing w:line="360" w:lineRule="auto"/>
        <w:contextualSpacing/>
        <w:rPr>
          <w:rFonts w:ascii="宋体" w:hAnsi="宋体"/>
          <w:iCs/>
          <w:szCs w:val="21"/>
        </w:rPr>
      </w:pPr>
      <w:r>
        <w:rPr>
          <w:rFonts w:hint="eastAsia" w:ascii="宋体" w:hAnsi="宋体"/>
          <w:iCs/>
          <w:szCs w:val="21"/>
        </w:rPr>
        <w:t>付款方式</w:t>
      </w:r>
      <w:r>
        <w:rPr>
          <w:rFonts w:hint="eastAsia" w:ascii="宋体" w:hAnsi="宋体"/>
          <w:iCs/>
          <w:szCs w:val="21"/>
          <w:lang w:eastAsia="zh-CN"/>
        </w:rPr>
        <w:t>：</w:t>
      </w:r>
    </w:p>
    <w:p w14:paraId="7121C945">
      <w:pPr>
        <w:keepNext w:val="0"/>
        <w:keepLines w:val="0"/>
        <w:pageBreakBefore w:val="0"/>
        <w:widowControl w:val="0"/>
        <w:numPr>
          <w:ilvl w:val="0"/>
          <w:numId w:val="12"/>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ascii="宋体" w:hAnsi="宋体"/>
          <w:iCs/>
          <w:szCs w:val="21"/>
        </w:rPr>
      </w:pPr>
      <w:r>
        <w:rPr>
          <w:rFonts w:hint="eastAsia" w:ascii="宋体" w:hAnsi="宋体"/>
          <w:iCs/>
          <w:szCs w:val="21"/>
        </w:rPr>
        <w:t>保险费按东莞市长安镇辅警大队全体在册警用摩托车中须投保车辆保险到期批次进行结算，成交供应商在上批次保险到期前30日内须将该批次警用摩托车下一年度的保险清单及支付申请书等相关资料交给采购人确认</w:t>
      </w:r>
      <w:r>
        <w:rPr>
          <w:rFonts w:hint="eastAsia" w:ascii="宋体" w:hAnsi="宋体"/>
          <w:iCs/>
          <w:szCs w:val="21"/>
          <w:lang w:eastAsia="zh-CN"/>
        </w:rPr>
        <w:t>；</w:t>
      </w:r>
    </w:p>
    <w:p w14:paraId="732BC8D9">
      <w:pPr>
        <w:keepNext w:val="0"/>
        <w:keepLines w:val="0"/>
        <w:pageBreakBefore w:val="0"/>
        <w:widowControl w:val="0"/>
        <w:numPr>
          <w:ilvl w:val="0"/>
          <w:numId w:val="12"/>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ascii="宋体" w:hAnsi="宋体"/>
          <w:iCs/>
          <w:szCs w:val="21"/>
        </w:rPr>
      </w:pPr>
      <w:r>
        <w:rPr>
          <w:rFonts w:hint="eastAsia" w:ascii="宋体" w:hAnsi="宋体"/>
          <w:iCs/>
          <w:szCs w:val="21"/>
          <w:lang w:val="en-US" w:eastAsia="zh-CN"/>
        </w:rPr>
        <w:t>经采购人</w:t>
      </w:r>
      <w:r>
        <w:rPr>
          <w:rFonts w:hint="eastAsia" w:ascii="宋体" w:hAnsi="宋体"/>
          <w:iCs/>
          <w:szCs w:val="21"/>
        </w:rPr>
        <w:t>确认无误后，成交供应商须在5个工作日内将相应的保险单</w:t>
      </w:r>
      <w:r>
        <w:rPr>
          <w:rFonts w:hint="eastAsia" w:ascii="宋体" w:hAnsi="宋体"/>
          <w:iCs/>
          <w:szCs w:val="21"/>
          <w:lang w:val="en-US" w:eastAsia="zh-CN"/>
        </w:rPr>
        <w:t>及等额、合规</w:t>
      </w:r>
      <w:r>
        <w:rPr>
          <w:rFonts w:hint="eastAsia" w:ascii="宋体" w:hAnsi="宋体"/>
          <w:iCs/>
          <w:szCs w:val="21"/>
        </w:rPr>
        <w:t>发票提交给采购人，</w:t>
      </w:r>
      <w:r>
        <w:rPr>
          <w:rFonts w:hint="eastAsia" w:ascii="宋体" w:hAnsi="宋体"/>
          <w:iCs/>
          <w:szCs w:val="21"/>
          <w:lang w:val="en-US" w:eastAsia="zh-CN"/>
        </w:rPr>
        <w:t>采购人</w:t>
      </w:r>
      <w:r>
        <w:rPr>
          <w:rFonts w:hint="eastAsia" w:ascii="宋体" w:hAnsi="宋体"/>
          <w:iCs/>
          <w:szCs w:val="21"/>
        </w:rPr>
        <w:t>在收到</w:t>
      </w:r>
      <w:r>
        <w:rPr>
          <w:rFonts w:hint="eastAsia" w:ascii="宋体" w:hAnsi="宋体"/>
          <w:iCs/>
          <w:szCs w:val="21"/>
          <w:lang w:val="en-US" w:eastAsia="zh-CN"/>
        </w:rPr>
        <w:t>成交供应商合格资料后10个工作日内</w:t>
      </w:r>
      <w:r>
        <w:rPr>
          <w:rFonts w:hint="eastAsia" w:ascii="宋体" w:hAnsi="宋体"/>
          <w:iCs/>
          <w:szCs w:val="21"/>
        </w:rPr>
        <w:t>一次性支付该批次需求单的保险费用。</w:t>
      </w:r>
    </w:p>
    <w:p w14:paraId="1974EC55">
      <w:pPr>
        <w:numPr>
          <w:ilvl w:val="0"/>
          <w:numId w:val="10"/>
        </w:numPr>
        <w:snapToGrid w:val="0"/>
        <w:spacing w:line="360" w:lineRule="auto"/>
        <w:contextualSpacing/>
        <w:rPr>
          <w:rFonts w:ascii="宋体" w:hAnsi="宋体"/>
          <w:iCs/>
          <w:szCs w:val="21"/>
        </w:rPr>
      </w:pPr>
      <w:r>
        <w:rPr>
          <w:rFonts w:hint="eastAsia" w:ascii="宋体" w:hAnsi="宋体"/>
          <w:iCs/>
          <w:szCs w:val="21"/>
          <w:lang w:val="en-US" w:eastAsia="zh-CN"/>
        </w:rPr>
        <w:t>验收要求：</w:t>
      </w:r>
    </w:p>
    <w:p w14:paraId="0C0CBE57">
      <w:pPr>
        <w:keepNext w:val="0"/>
        <w:keepLines w:val="0"/>
        <w:pageBreakBefore w:val="0"/>
        <w:widowControl w:val="0"/>
        <w:numPr>
          <w:ilvl w:val="0"/>
          <w:numId w:val="13"/>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Times New Roman"/>
          <w:iCs/>
          <w:szCs w:val="21"/>
          <w:lang w:val="en-US" w:eastAsia="zh-CN"/>
        </w:rPr>
      </w:pPr>
      <w:r>
        <w:rPr>
          <w:rFonts w:hint="eastAsia" w:ascii="宋体" w:hAnsi="宋体" w:eastAsia="宋体" w:cs="Times New Roman"/>
          <w:iCs/>
          <w:szCs w:val="21"/>
          <w:lang w:val="en-US" w:eastAsia="zh-CN"/>
        </w:rPr>
        <w:t>车险资料：经投保的车辆，成交供应商均须在采购人确认后5个工作日提供包括但不限于机动车防伪保险单1份、机动车辆保险证1份、机动车辆各种险种的保险条款资料（纸质或及电子档）原件等车辆投保资料。</w:t>
      </w:r>
    </w:p>
    <w:p w14:paraId="574BF3D4">
      <w:pPr>
        <w:keepNext w:val="0"/>
        <w:keepLines w:val="0"/>
        <w:pageBreakBefore w:val="0"/>
        <w:widowControl w:val="0"/>
        <w:numPr>
          <w:ilvl w:val="0"/>
          <w:numId w:val="13"/>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Times New Roman"/>
          <w:iCs/>
          <w:szCs w:val="21"/>
          <w:lang w:val="en-US" w:eastAsia="zh-CN"/>
        </w:rPr>
      </w:pPr>
      <w:r>
        <w:rPr>
          <w:rFonts w:hint="eastAsia" w:ascii="宋体" w:hAnsi="宋体" w:eastAsia="宋体" w:cs="Times New Roman"/>
          <w:iCs/>
          <w:szCs w:val="21"/>
          <w:lang w:val="en-US" w:eastAsia="zh-CN"/>
        </w:rPr>
        <w:t>验收时间及要求：在车辆车险资料原件交付时，由双方对被保险车辆、险种、投保时间、车险资料、保险费等进行验收。</w:t>
      </w:r>
    </w:p>
    <w:p w14:paraId="08634CF9">
      <w:pPr>
        <w:numPr>
          <w:ilvl w:val="0"/>
          <w:numId w:val="8"/>
        </w:numPr>
        <w:snapToGrid w:val="0"/>
        <w:spacing w:line="360" w:lineRule="auto"/>
        <w:ind w:left="442" w:hanging="442"/>
        <w:contextualSpacing/>
        <w:rPr>
          <w:rFonts w:ascii="宋体" w:hAnsi="宋体"/>
          <w:b/>
          <w:szCs w:val="21"/>
        </w:rPr>
      </w:pPr>
      <w:r>
        <w:rPr>
          <w:rFonts w:ascii="宋体" w:hAnsi="宋体"/>
          <w:b/>
          <w:bCs/>
        </w:rPr>
        <w:t>技术要求</w:t>
      </w:r>
    </w:p>
    <w:p w14:paraId="648C984A">
      <w:pPr>
        <w:numPr>
          <w:ilvl w:val="0"/>
          <w:numId w:val="14"/>
        </w:numPr>
        <w:snapToGrid w:val="0"/>
        <w:spacing w:line="360" w:lineRule="auto"/>
        <w:contextualSpacing/>
        <w:rPr>
          <w:rFonts w:ascii="宋体" w:hAnsi="宋体"/>
          <w:color w:val="auto"/>
          <w:szCs w:val="21"/>
        </w:rPr>
      </w:pPr>
      <w:r>
        <w:rPr>
          <w:rFonts w:hint="eastAsia" w:ascii="宋体" w:hAnsi="宋体"/>
          <w:iCs/>
          <w:color w:val="auto"/>
          <w:szCs w:val="21"/>
        </w:rPr>
        <w:t>警用摩托车</w:t>
      </w:r>
      <w:r>
        <w:rPr>
          <w:rFonts w:hint="eastAsia" w:ascii="宋体" w:hAnsi="宋体"/>
          <w:iCs/>
          <w:color w:val="auto"/>
          <w:szCs w:val="21"/>
          <w:lang w:val="en-US" w:eastAsia="zh-CN"/>
        </w:rPr>
        <w:t>保险</w:t>
      </w:r>
      <w:r>
        <w:rPr>
          <w:rFonts w:ascii="宋体" w:hAnsi="宋体"/>
          <w:color w:val="auto"/>
          <w:szCs w:val="21"/>
        </w:rPr>
        <w:t>要求</w:t>
      </w:r>
    </w:p>
    <w:p w14:paraId="00BB32B1">
      <w:pPr>
        <w:numPr>
          <w:ilvl w:val="0"/>
          <w:numId w:val="15"/>
        </w:numPr>
        <w:tabs>
          <w:tab w:val="left" w:pos="284"/>
        </w:tabs>
        <w:snapToGrid w:val="0"/>
        <w:spacing w:line="360" w:lineRule="auto"/>
        <w:contextualSpacing/>
        <w:rPr>
          <w:rFonts w:ascii="宋体" w:hAnsi="宋体"/>
          <w:color w:val="auto"/>
          <w:szCs w:val="21"/>
        </w:rPr>
      </w:pPr>
      <w:r>
        <w:rPr>
          <w:rFonts w:hint="eastAsia" w:ascii="宋体" w:hAnsi="宋体"/>
          <w:color w:val="auto"/>
          <w:szCs w:val="21"/>
        </w:rPr>
        <w:t>保险险种和范围</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2323"/>
        <w:gridCol w:w="5102"/>
        <w:gridCol w:w="1207"/>
      </w:tblGrid>
      <w:tr w14:paraId="22DE6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49" w:type="pct"/>
            <w:noWrap w:val="0"/>
            <w:vAlign w:val="center"/>
          </w:tcPr>
          <w:p w14:paraId="63EACCA7">
            <w:pPr>
              <w:tabs>
                <w:tab w:val="left" w:pos="426"/>
              </w:tabs>
              <w:spacing w:line="360" w:lineRule="auto"/>
              <w:jc w:val="center"/>
              <w:rPr>
                <w:rFonts w:hint="eastAsia" w:ascii="宋体" w:hAnsi="宋体" w:cs="宋体"/>
                <w:b/>
                <w:bCs w:val="0"/>
                <w:color w:val="auto"/>
                <w:sz w:val="21"/>
                <w:szCs w:val="21"/>
              </w:rPr>
            </w:pPr>
            <w:r>
              <w:rPr>
                <w:rFonts w:hint="eastAsia" w:ascii="宋体" w:hAnsi="宋体" w:cs="宋体"/>
                <w:b/>
                <w:bCs w:val="0"/>
                <w:color w:val="auto"/>
                <w:sz w:val="21"/>
                <w:szCs w:val="21"/>
              </w:rPr>
              <w:t>序号</w:t>
            </w:r>
          </w:p>
        </w:tc>
        <w:tc>
          <w:tcPr>
            <w:tcW w:w="1251" w:type="pct"/>
            <w:noWrap w:val="0"/>
            <w:vAlign w:val="center"/>
          </w:tcPr>
          <w:p w14:paraId="4DD99585">
            <w:pPr>
              <w:tabs>
                <w:tab w:val="left" w:pos="426"/>
              </w:tabs>
              <w:spacing w:line="360" w:lineRule="auto"/>
              <w:jc w:val="center"/>
              <w:rPr>
                <w:rFonts w:hint="eastAsia" w:ascii="宋体" w:hAnsi="宋体" w:cs="宋体"/>
                <w:b/>
                <w:bCs w:val="0"/>
                <w:color w:val="auto"/>
                <w:sz w:val="21"/>
                <w:szCs w:val="21"/>
              </w:rPr>
            </w:pPr>
            <w:r>
              <w:rPr>
                <w:rFonts w:hint="eastAsia" w:ascii="宋体" w:hAnsi="宋体" w:cs="宋体"/>
                <w:b/>
                <w:bCs w:val="0"/>
                <w:color w:val="auto"/>
                <w:sz w:val="21"/>
                <w:szCs w:val="21"/>
              </w:rPr>
              <w:t>保险名称</w:t>
            </w:r>
          </w:p>
        </w:tc>
        <w:tc>
          <w:tcPr>
            <w:tcW w:w="2748" w:type="pct"/>
            <w:noWrap w:val="0"/>
            <w:vAlign w:val="center"/>
          </w:tcPr>
          <w:p w14:paraId="470F9218">
            <w:pPr>
              <w:tabs>
                <w:tab w:val="left" w:pos="426"/>
              </w:tabs>
              <w:spacing w:line="360" w:lineRule="auto"/>
              <w:jc w:val="center"/>
              <w:rPr>
                <w:rFonts w:hint="eastAsia" w:ascii="宋体" w:hAnsi="宋体" w:cs="宋体"/>
                <w:b/>
                <w:bCs w:val="0"/>
                <w:color w:val="auto"/>
                <w:sz w:val="21"/>
                <w:szCs w:val="21"/>
              </w:rPr>
            </w:pPr>
            <w:r>
              <w:rPr>
                <w:rFonts w:hint="eastAsia" w:ascii="宋体" w:hAnsi="宋体" w:cs="宋体"/>
                <w:b/>
                <w:bCs w:val="0"/>
                <w:color w:val="auto"/>
                <w:sz w:val="21"/>
                <w:szCs w:val="21"/>
              </w:rPr>
              <w:t>保险金额</w:t>
            </w:r>
          </w:p>
        </w:tc>
        <w:tc>
          <w:tcPr>
            <w:tcW w:w="650" w:type="pct"/>
            <w:noWrap w:val="0"/>
            <w:vAlign w:val="center"/>
          </w:tcPr>
          <w:p w14:paraId="731FD22C">
            <w:pPr>
              <w:tabs>
                <w:tab w:val="left" w:pos="426"/>
              </w:tabs>
              <w:spacing w:line="360" w:lineRule="auto"/>
              <w:jc w:val="center"/>
              <w:rPr>
                <w:rFonts w:hint="eastAsia" w:ascii="宋体" w:hAnsi="宋体" w:eastAsia="宋体" w:cs="宋体"/>
                <w:b/>
                <w:bCs w:val="0"/>
                <w:color w:val="auto"/>
                <w:sz w:val="21"/>
                <w:szCs w:val="21"/>
                <w:lang w:eastAsia="zh-CN"/>
              </w:rPr>
            </w:pPr>
            <w:r>
              <w:rPr>
                <w:rFonts w:hint="eastAsia" w:ascii="宋体" w:hAnsi="宋体" w:cs="宋体"/>
                <w:b/>
                <w:bCs w:val="0"/>
                <w:color w:val="auto"/>
                <w:sz w:val="21"/>
                <w:szCs w:val="21"/>
              </w:rPr>
              <w:t>参保</w:t>
            </w:r>
            <w:r>
              <w:rPr>
                <w:rFonts w:hint="eastAsia" w:ascii="宋体" w:hAnsi="宋体" w:cs="宋体"/>
                <w:b/>
                <w:bCs w:val="0"/>
                <w:color w:val="auto"/>
                <w:sz w:val="21"/>
                <w:szCs w:val="21"/>
                <w:lang w:val="en-US" w:eastAsia="zh-CN"/>
              </w:rPr>
              <w:t>范围</w:t>
            </w:r>
          </w:p>
        </w:tc>
      </w:tr>
      <w:tr w14:paraId="47122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49" w:type="pct"/>
            <w:noWrap w:val="0"/>
            <w:vAlign w:val="center"/>
          </w:tcPr>
          <w:p w14:paraId="1D3C05FA">
            <w:pPr>
              <w:tabs>
                <w:tab w:val="left" w:pos="426"/>
              </w:tabs>
              <w:spacing w:line="360" w:lineRule="auto"/>
              <w:jc w:val="center"/>
              <w:rPr>
                <w:rFonts w:hint="eastAsia" w:ascii="宋体" w:hAnsi="宋体" w:cs="宋体"/>
                <w:b/>
                <w:bCs w:val="0"/>
                <w:color w:val="auto"/>
                <w:sz w:val="21"/>
                <w:szCs w:val="21"/>
                <w:highlight w:val="none"/>
              </w:rPr>
            </w:pPr>
            <w:r>
              <w:rPr>
                <w:rFonts w:hint="eastAsia" w:ascii="宋体" w:hAnsi="宋体" w:cs="宋体"/>
                <w:b/>
                <w:bCs w:val="0"/>
                <w:color w:val="auto"/>
                <w:sz w:val="21"/>
                <w:szCs w:val="21"/>
                <w:highlight w:val="none"/>
              </w:rPr>
              <w:t>1</w:t>
            </w:r>
          </w:p>
        </w:tc>
        <w:tc>
          <w:tcPr>
            <w:tcW w:w="1251" w:type="pct"/>
            <w:noWrap w:val="0"/>
            <w:vAlign w:val="center"/>
          </w:tcPr>
          <w:p w14:paraId="3749ED25">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机动车第三者责任保险</w:t>
            </w:r>
          </w:p>
        </w:tc>
        <w:tc>
          <w:tcPr>
            <w:tcW w:w="2748" w:type="pct"/>
            <w:noWrap w:val="0"/>
            <w:vAlign w:val="center"/>
          </w:tcPr>
          <w:p w14:paraId="56DC8382">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100万元/台</w:t>
            </w:r>
          </w:p>
        </w:tc>
        <w:tc>
          <w:tcPr>
            <w:tcW w:w="650" w:type="pct"/>
            <w:vMerge w:val="restart"/>
            <w:noWrap w:val="0"/>
            <w:vAlign w:val="center"/>
          </w:tcPr>
          <w:p w14:paraId="6DCDBCB8">
            <w:pPr>
              <w:tabs>
                <w:tab w:val="left" w:pos="426"/>
              </w:tabs>
              <w:spacing w:line="360" w:lineRule="auto"/>
              <w:jc w:val="center"/>
              <w:rPr>
                <w:rFonts w:hint="eastAsia" w:ascii="宋体" w:hAnsi="宋体" w:eastAsia="宋体" w:cs="宋体"/>
                <w:bCs/>
                <w:color w:val="auto"/>
                <w:sz w:val="21"/>
                <w:szCs w:val="21"/>
                <w:highlight w:val="none"/>
                <w:lang w:eastAsia="zh-CN"/>
              </w:rPr>
            </w:pPr>
            <w:r>
              <w:rPr>
                <w:rFonts w:hint="eastAsia" w:ascii="宋体" w:hAnsi="宋体" w:cs="宋体"/>
                <w:bCs/>
                <w:color w:val="auto"/>
                <w:sz w:val="21"/>
                <w:szCs w:val="21"/>
                <w:highlight w:val="none"/>
                <w:lang w:val="en-US" w:eastAsia="zh-CN"/>
              </w:rPr>
              <w:t>东莞市长安镇辅警大队全体在册警用摩托车（约</w:t>
            </w:r>
            <w:r>
              <w:rPr>
                <w:rFonts w:hint="eastAsia" w:ascii="宋体" w:hAnsi="宋体" w:cs="宋体"/>
                <w:bCs/>
                <w:color w:val="auto"/>
                <w:sz w:val="21"/>
                <w:szCs w:val="21"/>
                <w:highlight w:val="none"/>
              </w:rPr>
              <w:t>24</w:t>
            </w:r>
            <w:r>
              <w:rPr>
                <w:rFonts w:hint="eastAsia" w:ascii="宋体" w:hAnsi="宋体" w:cs="宋体"/>
                <w:bCs/>
                <w:color w:val="auto"/>
                <w:sz w:val="21"/>
                <w:szCs w:val="21"/>
                <w:highlight w:val="none"/>
                <w:lang w:val="en-US" w:eastAsia="zh-CN"/>
              </w:rPr>
              <w:t>9</w:t>
            </w:r>
            <w:r>
              <w:rPr>
                <w:rFonts w:hint="eastAsia" w:ascii="宋体" w:hAnsi="宋体" w:cs="宋体"/>
                <w:bCs/>
                <w:color w:val="auto"/>
                <w:sz w:val="21"/>
                <w:szCs w:val="21"/>
                <w:highlight w:val="none"/>
              </w:rPr>
              <w:t>台</w:t>
            </w:r>
            <w:r>
              <w:rPr>
                <w:rFonts w:hint="eastAsia" w:ascii="宋体" w:hAnsi="宋体" w:cs="宋体"/>
                <w:bCs/>
                <w:color w:val="auto"/>
                <w:sz w:val="21"/>
                <w:szCs w:val="21"/>
                <w:highlight w:val="none"/>
                <w:lang w:val="en-US" w:eastAsia="zh-CN"/>
              </w:rPr>
              <w:t>）</w:t>
            </w:r>
          </w:p>
        </w:tc>
      </w:tr>
      <w:tr w14:paraId="1C08C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49" w:type="pct"/>
            <w:noWrap w:val="0"/>
            <w:vAlign w:val="center"/>
          </w:tcPr>
          <w:p w14:paraId="157C5E17">
            <w:pPr>
              <w:tabs>
                <w:tab w:val="left" w:pos="426"/>
              </w:tabs>
              <w:spacing w:line="360" w:lineRule="auto"/>
              <w:jc w:val="center"/>
              <w:rPr>
                <w:rFonts w:hint="eastAsia" w:ascii="宋体" w:hAnsi="宋体" w:cs="宋体"/>
                <w:b/>
                <w:bCs w:val="0"/>
                <w:color w:val="auto"/>
                <w:sz w:val="21"/>
                <w:szCs w:val="21"/>
                <w:highlight w:val="none"/>
              </w:rPr>
            </w:pPr>
            <w:r>
              <w:rPr>
                <w:rFonts w:hint="eastAsia" w:ascii="宋体" w:hAnsi="宋体" w:cs="宋体"/>
                <w:b/>
                <w:bCs w:val="0"/>
                <w:color w:val="auto"/>
                <w:sz w:val="21"/>
                <w:szCs w:val="21"/>
                <w:highlight w:val="none"/>
              </w:rPr>
              <w:t>2</w:t>
            </w:r>
          </w:p>
        </w:tc>
        <w:tc>
          <w:tcPr>
            <w:tcW w:w="1251" w:type="pct"/>
            <w:noWrap w:val="0"/>
            <w:vAlign w:val="center"/>
          </w:tcPr>
          <w:p w14:paraId="2F536066">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车上人员责任保险</w:t>
            </w:r>
          </w:p>
        </w:tc>
        <w:tc>
          <w:tcPr>
            <w:tcW w:w="2748" w:type="pct"/>
            <w:noWrap w:val="0"/>
            <w:vAlign w:val="center"/>
          </w:tcPr>
          <w:p w14:paraId="10538129">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lang w:val="en-US" w:eastAsia="zh-CN"/>
              </w:rPr>
              <w:t>19</w:t>
            </w:r>
            <w:r>
              <w:rPr>
                <w:rFonts w:hint="eastAsia" w:ascii="宋体" w:hAnsi="宋体" w:cs="宋体"/>
                <w:bCs/>
                <w:color w:val="auto"/>
                <w:sz w:val="21"/>
                <w:szCs w:val="21"/>
                <w:highlight w:val="none"/>
              </w:rPr>
              <w:t>万元/台</w:t>
            </w:r>
          </w:p>
          <w:p w14:paraId="60288CA2">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（其中司机10万/座、乘客</w:t>
            </w:r>
            <w:r>
              <w:rPr>
                <w:rFonts w:hint="eastAsia" w:ascii="宋体" w:hAnsi="宋体" w:cs="宋体"/>
                <w:bCs/>
                <w:color w:val="auto"/>
                <w:sz w:val="21"/>
                <w:szCs w:val="21"/>
                <w:highlight w:val="none"/>
                <w:lang w:val="en-US" w:eastAsia="zh-CN"/>
              </w:rPr>
              <w:t>9</w:t>
            </w:r>
            <w:r>
              <w:rPr>
                <w:rFonts w:hint="eastAsia" w:ascii="宋体" w:hAnsi="宋体" w:cs="宋体"/>
                <w:bCs/>
                <w:color w:val="auto"/>
                <w:sz w:val="21"/>
                <w:szCs w:val="21"/>
                <w:highlight w:val="none"/>
              </w:rPr>
              <w:t>万/座）</w:t>
            </w:r>
          </w:p>
        </w:tc>
        <w:tc>
          <w:tcPr>
            <w:tcW w:w="650" w:type="pct"/>
            <w:vMerge w:val="continue"/>
            <w:noWrap w:val="0"/>
            <w:vAlign w:val="center"/>
          </w:tcPr>
          <w:p w14:paraId="2E98FD88">
            <w:pPr>
              <w:tabs>
                <w:tab w:val="left" w:pos="426"/>
              </w:tabs>
              <w:spacing w:line="360" w:lineRule="auto"/>
              <w:jc w:val="center"/>
              <w:rPr>
                <w:rFonts w:hint="eastAsia" w:ascii="宋体" w:hAnsi="宋体" w:cs="宋体"/>
                <w:bCs/>
                <w:color w:val="auto"/>
                <w:sz w:val="21"/>
                <w:szCs w:val="21"/>
                <w:highlight w:val="none"/>
              </w:rPr>
            </w:pPr>
          </w:p>
        </w:tc>
      </w:tr>
      <w:tr w14:paraId="0865A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49" w:type="pct"/>
            <w:noWrap w:val="0"/>
            <w:vAlign w:val="center"/>
          </w:tcPr>
          <w:p w14:paraId="4A7F9DCC">
            <w:pPr>
              <w:tabs>
                <w:tab w:val="left" w:pos="426"/>
              </w:tabs>
              <w:spacing w:line="360" w:lineRule="auto"/>
              <w:jc w:val="center"/>
              <w:rPr>
                <w:rFonts w:hint="eastAsia" w:ascii="宋体" w:hAnsi="宋体" w:eastAsia="宋体" w:cs="宋体"/>
                <w:b/>
                <w:bCs w:val="0"/>
                <w:color w:val="auto"/>
                <w:sz w:val="21"/>
                <w:szCs w:val="21"/>
                <w:highlight w:val="none"/>
                <w:lang w:val="en-US" w:eastAsia="zh-CN"/>
              </w:rPr>
            </w:pPr>
            <w:r>
              <w:rPr>
                <w:rFonts w:hint="eastAsia" w:ascii="宋体" w:hAnsi="宋体" w:cs="宋体"/>
                <w:b/>
                <w:bCs w:val="0"/>
                <w:color w:val="auto"/>
                <w:sz w:val="21"/>
                <w:szCs w:val="21"/>
                <w:highlight w:val="none"/>
                <w:lang w:val="en-US" w:eastAsia="zh-CN"/>
              </w:rPr>
              <w:t>3</w:t>
            </w:r>
          </w:p>
        </w:tc>
        <w:tc>
          <w:tcPr>
            <w:tcW w:w="1251" w:type="pct"/>
            <w:noWrap w:val="0"/>
            <w:vAlign w:val="center"/>
          </w:tcPr>
          <w:p w14:paraId="5636D197">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交通事故责任强制保险</w:t>
            </w:r>
          </w:p>
          <w:p w14:paraId="7CC0B277">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lang w:val="en-US" w:eastAsia="zh-CN"/>
              </w:rPr>
              <w:t>（含</w:t>
            </w:r>
            <w:r>
              <w:rPr>
                <w:rFonts w:hint="eastAsia" w:ascii="宋体" w:hAnsi="宋体" w:cs="宋体"/>
                <w:bCs/>
                <w:color w:val="auto"/>
                <w:sz w:val="21"/>
                <w:szCs w:val="21"/>
                <w:highlight w:val="none"/>
              </w:rPr>
              <w:t>车船税</w:t>
            </w:r>
            <w:r>
              <w:rPr>
                <w:rFonts w:hint="eastAsia" w:ascii="宋体" w:hAnsi="宋体" w:cs="宋体"/>
                <w:bCs/>
                <w:color w:val="auto"/>
                <w:sz w:val="21"/>
                <w:szCs w:val="21"/>
                <w:highlight w:val="none"/>
                <w:lang w:val="en-US" w:eastAsia="zh-CN"/>
              </w:rPr>
              <w:t>）</w:t>
            </w:r>
          </w:p>
        </w:tc>
        <w:tc>
          <w:tcPr>
            <w:tcW w:w="2748" w:type="pct"/>
            <w:noWrap w:val="0"/>
            <w:vAlign w:val="center"/>
          </w:tcPr>
          <w:p w14:paraId="5E82B5FA">
            <w:pPr>
              <w:tabs>
                <w:tab w:val="left" w:pos="426"/>
              </w:tabs>
              <w:spacing w:line="360" w:lineRule="auto"/>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按中国银保监会发布的《中国银保监会关于调整交强险责任限额和费率浮动系数的公告》标准执行</w:t>
            </w:r>
          </w:p>
        </w:tc>
        <w:tc>
          <w:tcPr>
            <w:tcW w:w="650" w:type="pct"/>
            <w:vMerge w:val="continue"/>
            <w:noWrap w:val="0"/>
            <w:vAlign w:val="center"/>
          </w:tcPr>
          <w:p w14:paraId="4CE836B5">
            <w:pPr>
              <w:tabs>
                <w:tab w:val="left" w:pos="426"/>
              </w:tabs>
              <w:spacing w:line="360" w:lineRule="auto"/>
              <w:jc w:val="center"/>
              <w:rPr>
                <w:rFonts w:hint="eastAsia" w:ascii="宋体" w:hAnsi="宋体" w:cs="宋体"/>
                <w:bCs/>
                <w:color w:val="auto"/>
                <w:sz w:val="21"/>
                <w:szCs w:val="21"/>
                <w:highlight w:val="none"/>
              </w:rPr>
            </w:pPr>
          </w:p>
        </w:tc>
      </w:tr>
    </w:tbl>
    <w:p w14:paraId="65F61D77">
      <w:pPr>
        <w:keepNext w:val="0"/>
        <w:keepLines w:val="0"/>
        <w:pageBreakBefore w:val="0"/>
        <w:widowControl w:val="0"/>
        <w:tabs>
          <w:tab w:val="left" w:pos="42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0790EA0B">
      <w:pPr>
        <w:keepNext w:val="0"/>
        <w:keepLines w:val="0"/>
        <w:pageBreakBefore w:val="0"/>
        <w:widowControl w:val="0"/>
        <w:numPr>
          <w:ilvl w:val="0"/>
          <w:numId w:val="16"/>
        </w:numPr>
        <w:tabs>
          <w:tab w:val="left" w:pos="426"/>
        </w:tabs>
        <w:kinsoku/>
        <w:wordWrap/>
        <w:overflowPunct/>
        <w:topLinePunct w:val="0"/>
        <w:autoSpaceDE/>
        <w:autoSpaceDN/>
        <w:bidi w:val="0"/>
        <w:adjustRightInd/>
        <w:snapToGrid w:val="0"/>
        <w:spacing w:line="360" w:lineRule="auto"/>
        <w:ind w:left="845" w:leftChars="200" w:hanging="425"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在服务期内，采购人</w:t>
      </w:r>
      <w:r>
        <w:rPr>
          <w:rFonts w:hint="eastAsia" w:ascii="宋体" w:hAnsi="宋体"/>
          <w:iCs/>
          <w:color w:val="auto"/>
          <w:szCs w:val="21"/>
          <w:highlight w:val="none"/>
        </w:rPr>
        <w:t>在册警用摩托车</w:t>
      </w:r>
      <w:r>
        <w:rPr>
          <w:rFonts w:hint="eastAsia" w:ascii="宋体" w:hAnsi="宋体" w:cs="宋体"/>
          <w:color w:val="auto"/>
          <w:szCs w:val="21"/>
          <w:highlight w:val="none"/>
          <w:lang w:val="en-US" w:eastAsia="zh-CN"/>
        </w:rPr>
        <w:t>险购买需求及信息发生变化的</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新增或删减后仍</w:t>
      </w:r>
      <w:r>
        <w:rPr>
          <w:rFonts w:hint="eastAsia" w:ascii="宋体" w:hAnsi="宋体" w:eastAsia="宋体" w:cs="宋体"/>
          <w:color w:val="auto"/>
          <w:szCs w:val="21"/>
          <w:highlight w:val="none"/>
        </w:rPr>
        <w:t>适用于本项目</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成交供应商不得以此为由拒绝履行本项目采购合同规定的义务</w:t>
      </w:r>
      <w:r>
        <w:rPr>
          <w:rFonts w:hint="eastAsia" w:ascii="宋体" w:hAnsi="宋体" w:eastAsia="宋体" w:cs="宋体"/>
          <w:color w:val="auto"/>
          <w:szCs w:val="21"/>
          <w:highlight w:val="none"/>
        </w:rPr>
        <w:t>。</w:t>
      </w:r>
    </w:p>
    <w:p w14:paraId="6E50D53C">
      <w:pPr>
        <w:keepNext w:val="0"/>
        <w:keepLines w:val="0"/>
        <w:pageBreakBefore w:val="0"/>
        <w:widowControl w:val="0"/>
        <w:numPr>
          <w:ilvl w:val="0"/>
          <w:numId w:val="16"/>
        </w:numPr>
        <w:tabs>
          <w:tab w:val="left" w:pos="426"/>
        </w:tabs>
        <w:kinsoku/>
        <w:wordWrap/>
        <w:overflowPunct/>
        <w:topLinePunct w:val="0"/>
        <w:autoSpaceDE/>
        <w:autoSpaceDN/>
        <w:bidi w:val="0"/>
        <w:adjustRightInd/>
        <w:snapToGrid w:val="0"/>
        <w:spacing w:line="360" w:lineRule="auto"/>
        <w:ind w:left="845" w:leftChars="200" w:hanging="425"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所投保</w:t>
      </w:r>
      <w:r>
        <w:rPr>
          <w:rFonts w:hint="eastAsia" w:ascii="宋体" w:hAnsi="宋体"/>
          <w:iCs/>
          <w:color w:val="auto"/>
          <w:szCs w:val="21"/>
          <w:highlight w:val="none"/>
        </w:rPr>
        <w:t>警用摩托车</w:t>
      </w:r>
      <w:r>
        <w:rPr>
          <w:rFonts w:hint="eastAsia" w:ascii="宋体" w:hAnsi="宋体" w:eastAsia="宋体" w:cs="宋体"/>
          <w:color w:val="auto"/>
          <w:szCs w:val="21"/>
          <w:highlight w:val="none"/>
        </w:rPr>
        <w:t>的警灯、警报器、射灯、摄像设备、车辆车身标识等为</w:t>
      </w:r>
      <w:r>
        <w:rPr>
          <w:rFonts w:hint="eastAsia" w:ascii="宋体" w:hAnsi="宋体" w:cs="宋体"/>
          <w:color w:val="auto"/>
          <w:szCs w:val="21"/>
          <w:highlight w:val="none"/>
          <w:lang w:val="en-US" w:eastAsia="zh-CN"/>
        </w:rPr>
        <w:t>车辆</w:t>
      </w:r>
      <w:r>
        <w:rPr>
          <w:rFonts w:hint="eastAsia" w:ascii="宋体" w:hAnsi="宋体" w:eastAsia="宋体" w:cs="宋体"/>
          <w:color w:val="auto"/>
          <w:szCs w:val="21"/>
          <w:highlight w:val="none"/>
        </w:rPr>
        <w:t>的必要装备，与投保车辆视为统一整体，理赔时按车辆损失责任范围内赔付。</w:t>
      </w:r>
    </w:p>
    <w:p w14:paraId="1F4860B9">
      <w:pPr>
        <w:keepNext w:val="0"/>
        <w:keepLines w:val="0"/>
        <w:pageBreakBefore w:val="0"/>
        <w:widowControl w:val="0"/>
        <w:numPr>
          <w:ilvl w:val="0"/>
          <w:numId w:val="16"/>
        </w:numPr>
        <w:tabs>
          <w:tab w:val="left" w:pos="426"/>
        </w:tabs>
        <w:kinsoku/>
        <w:wordWrap/>
        <w:overflowPunct/>
        <w:topLinePunct w:val="0"/>
        <w:autoSpaceDE/>
        <w:autoSpaceDN/>
        <w:bidi w:val="0"/>
        <w:adjustRightInd/>
        <w:snapToGrid w:val="0"/>
        <w:spacing w:line="360" w:lineRule="auto"/>
        <w:ind w:left="845" w:leftChars="200" w:hanging="425"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由于各车辆登记时间不同，采购人可根据各</w:t>
      </w:r>
      <w:r>
        <w:rPr>
          <w:rFonts w:hint="eastAsia" w:ascii="宋体" w:hAnsi="宋体"/>
          <w:iCs/>
          <w:color w:val="auto"/>
          <w:szCs w:val="21"/>
          <w:highlight w:val="none"/>
        </w:rPr>
        <w:t>警用摩托车</w:t>
      </w:r>
      <w:r>
        <w:rPr>
          <w:rFonts w:hint="eastAsia" w:ascii="宋体" w:hAnsi="宋体" w:eastAsia="宋体" w:cs="宋体"/>
          <w:color w:val="auto"/>
          <w:szCs w:val="21"/>
          <w:highlight w:val="none"/>
        </w:rPr>
        <w:t>保险到期情况进行投保。</w:t>
      </w:r>
    </w:p>
    <w:p w14:paraId="15AA0371">
      <w:pPr>
        <w:numPr>
          <w:ilvl w:val="0"/>
          <w:numId w:val="15"/>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保障方案（以下</w:t>
      </w:r>
      <w:r>
        <w:rPr>
          <w:rFonts w:hint="eastAsia" w:ascii="宋体" w:hAnsi="宋体"/>
          <w:color w:val="auto"/>
          <w:szCs w:val="21"/>
          <w:highlight w:val="none"/>
          <w:lang w:val="en-US" w:eastAsia="zh-CN"/>
        </w:rPr>
        <w:t>要求为基础要求，最终投保</w:t>
      </w:r>
      <w:r>
        <w:rPr>
          <w:rFonts w:hint="eastAsia" w:ascii="宋体" w:hAnsi="宋体"/>
          <w:color w:val="auto"/>
          <w:szCs w:val="21"/>
          <w:highlight w:val="none"/>
        </w:rPr>
        <w:t>由采购人根据实际要求确定）</w:t>
      </w:r>
    </w:p>
    <w:p w14:paraId="77DB06C0">
      <w:pPr>
        <w:keepNext w:val="0"/>
        <w:keepLines w:val="0"/>
        <w:pageBreakBefore w:val="0"/>
        <w:widowControl w:val="0"/>
        <w:numPr>
          <w:ilvl w:val="0"/>
          <w:numId w:val="17"/>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default" w:ascii="宋体" w:hAnsi="宋体" w:cs="宋体"/>
          <w:color w:val="auto"/>
          <w:szCs w:val="21"/>
          <w:highlight w:val="none"/>
          <w:lang w:val="en-US" w:eastAsia="zh-CN"/>
        </w:rPr>
      </w:pPr>
      <w:r>
        <w:rPr>
          <w:rFonts w:hint="default" w:ascii="宋体" w:hAnsi="宋体" w:cs="宋体"/>
          <w:color w:val="auto"/>
          <w:szCs w:val="21"/>
          <w:highlight w:val="none"/>
          <w:lang w:val="en-US" w:eastAsia="zh-CN"/>
        </w:rPr>
        <w:t>机动车第三者责任保险</w:t>
      </w:r>
      <w:r>
        <w:rPr>
          <w:rFonts w:hint="eastAsia" w:ascii="宋体" w:hAnsi="宋体" w:cs="宋体"/>
          <w:color w:val="auto"/>
          <w:szCs w:val="21"/>
          <w:highlight w:val="none"/>
          <w:lang w:val="en-US" w:eastAsia="zh-CN"/>
        </w:rPr>
        <w:t>：</w:t>
      </w:r>
      <w:r>
        <w:rPr>
          <w:rFonts w:hint="default" w:ascii="宋体" w:hAnsi="宋体" w:cs="宋体"/>
          <w:color w:val="auto"/>
          <w:szCs w:val="21"/>
          <w:highlight w:val="none"/>
          <w:lang w:val="en-US" w:eastAsia="zh-CN"/>
        </w:rPr>
        <w:t>在保险期间内，被保险人或其允许的驾驶、操作人员在使用被保险特种车辆过程中发生意外事故，致使第三者遭受人身伤亡或财产直接损毁，成交</w:t>
      </w:r>
      <w:r>
        <w:rPr>
          <w:rFonts w:hint="eastAsia" w:ascii="宋体" w:hAnsi="宋体" w:cs="宋体"/>
          <w:color w:val="auto"/>
          <w:szCs w:val="21"/>
          <w:highlight w:val="none"/>
          <w:lang w:val="en-US" w:eastAsia="zh-CN"/>
        </w:rPr>
        <w:t>供应商</w:t>
      </w:r>
      <w:r>
        <w:rPr>
          <w:rFonts w:hint="default" w:ascii="宋体" w:hAnsi="宋体" w:cs="宋体"/>
          <w:color w:val="auto"/>
          <w:szCs w:val="21"/>
          <w:highlight w:val="none"/>
          <w:lang w:val="en-US" w:eastAsia="zh-CN"/>
        </w:rPr>
        <w:t>按该被保险人的机动车第三者责任保险金额100万元给付机动车第三者责任保险金。</w:t>
      </w:r>
    </w:p>
    <w:p w14:paraId="102BDF72">
      <w:pPr>
        <w:keepNext w:val="0"/>
        <w:keepLines w:val="0"/>
        <w:pageBreakBefore w:val="0"/>
        <w:widowControl w:val="0"/>
        <w:numPr>
          <w:ilvl w:val="0"/>
          <w:numId w:val="17"/>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default" w:ascii="宋体" w:hAnsi="宋体" w:cs="宋体"/>
          <w:color w:val="auto"/>
          <w:szCs w:val="21"/>
          <w:highlight w:val="none"/>
          <w:lang w:val="en-US" w:eastAsia="zh-CN"/>
        </w:rPr>
      </w:pPr>
      <w:r>
        <w:rPr>
          <w:rFonts w:hint="default" w:ascii="宋体" w:hAnsi="宋体" w:cs="宋体"/>
          <w:color w:val="auto"/>
          <w:szCs w:val="21"/>
          <w:highlight w:val="none"/>
          <w:lang w:val="en-US" w:eastAsia="zh-CN"/>
        </w:rPr>
        <w:t>车上人员责任保险</w:t>
      </w:r>
      <w:r>
        <w:rPr>
          <w:rFonts w:hint="eastAsia" w:ascii="宋体" w:hAnsi="宋体" w:cs="宋体"/>
          <w:color w:val="auto"/>
          <w:szCs w:val="21"/>
          <w:highlight w:val="none"/>
          <w:lang w:val="en-US" w:eastAsia="zh-CN"/>
        </w:rPr>
        <w:t>：</w:t>
      </w:r>
      <w:r>
        <w:rPr>
          <w:rFonts w:hint="default" w:ascii="宋体" w:hAnsi="宋体" w:cs="宋体"/>
          <w:color w:val="auto"/>
          <w:szCs w:val="21"/>
          <w:highlight w:val="none"/>
          <w:lang w:val="en-US" w:eastAsia="zh-CN"/>
        </w:rPr>
        <w:t>在保险期间内，被保险人或其允许的合法驾驶人在使用被保险特种车辆过程中发生意外事故</w:t>
      </w:r>
      <w:r>
        <w:rPr>
          <w:rFonts w:hint="eastAsia" w:ascii="宋体" w:hAnsi="宋体" w:cs="宋体"/>
          <w:color w:val="auto"/>
          <w:szCs w:val="21"/>
          <w:highlight w:val="none"/>
          <w:lang w:val="en-US" w:eastAsia="zh-CN"/>
        </w:rPr>
        <w:t>，</w:t>
      </w:r>
      <w:r>
        <w:rPr>
          <w:rFonts w:hint="default" w:ascii="宋体" w:hAnsi="宋体" w:cs="宋体"/>
          <w:color w:val="auto"/>
          <w:szCs w:val="21"/>
          <w:highlight w:val="none"/>
          <w:lang w:val="en-US" w:eastAsia="zh-CN"/>
        </w:rPr>
        <w:t>致使车上人员遭受人身伤亡，成交</w:t>
      </w:r>
      <w:r>
        <w:rPr>
          <w:rFonts w:hint="eastAsia" w:ascii="宋体" w:hAnsi="宋体" w:cs="宋体"/>
          <w:color w:val="auto"/>
          <w:szCs w:val="21"/>
          <w:highlight w:val="none"/>
          <w:lang w:val="en-US" w:eastAsia="zh-CN"/>
        </w:rPr>
        <w:t>供应商</w:t>
      </w:r>
      <w:r>
        <w:rPr>
          <w:rFonts w:hint="default" w:ascii="宋体" w:hAnsi="宋体" w:cs="宋体"/>
          <w:color w:val="auto"/>
          <w:szCs w:val="21"/>
          <w:highlight w:val="none"/>
          <w:lang w:val="en-US" w:eastAsia="zh-CN"/>
        </w:rPr>
        <w:t>按该被保险人的车上人员责任保险金额19万元给付车上人员责任保险金，其中司机10万/座、乘客9万/座。</w:t>
      </w:r>
    </w:p>
    <w:p w14:paraId="5F741E96">
      <w:pPr>
        <w:numPr>
          <w:ilvl w:val="0"/>
          <w:numId w:val="14"/>
        </w:numPr>
        <w:snapToGrid w:val="0"/>
        <w:spacing w:line="360" w:lineRule="auto"/>
        <w:contextualSpacing/>
        <w:rPr>
          <w:rFonts w:ascii="宋体" w:hAnsi="宋体"/>
          <w:color w:val="auto"/>
          <w:szCs w:val="21"/>
          <w:highlight w:val="none"/>
        </w:rPr>
      </w:pPr>
      <w:r>
        <w:rPr>
          <w:rFonts w:ascii="宋体" w:hAnsi="宋体"/>
          <w:color w:val="auto"/>
          <w:szCs w:val="21"/>
          <w:highlight w:val="none"/>
        </w:rPr>
        <w:t>服务内容及要求</w:t>
      </w:r>
    </w:p>
    <w:p w14:paraId="6CE10D4A">
      <w:pPr>
        <w:keepNext w:val="0"/>
        <w:keepLines w:val="0"/>
        <w:pageBreakBefore w:val="0"/>
        <w:widowControl w:val="0"/>
        <w:numPr>
          <w:ilvl w:val="0"/>
          <w:numId w:val="1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color w:val="auto"/>
          <w:szCs w:val="21"/>
          <w:highlight w:val="none"/>
        </w:rPr>
      </w:pPr>
      <w:r>
        <w:rPr>
          <w:rFonts w:hint="eastAsia" w:ascii="宋体" w:hAnsi="宋体"/>
          <w:color w:val="auto"/>
          <w:szCs w:val="21"/>
          <w:highlight w:val="none"/>
        </w:rPr>
        <w:t>保险责任</w:t>
      </w:r>
    </w:p>
    <w:p w14:paraId="3923719D">
      <w:pPr>
        <w:numPr>
          <w:ilvl w:val="0"/>
          <w:numId w:val="19"/>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在保险期限内，</w:t>
      </w:r>
      <w:r>
        <w:rPr>
          <w:rFonts w:hint="eastAsia" w:ascii="宋体" w:hAnsi="宋体"/>
          <w:color w:val="auto"/>
          <w:szCs w:val="21"/>
          <w:highlight w:val="none"/>
          <w:lang w:eastAsia="zh-CN"/>
        </w:rPr>
        <w:t>成交供应商</w:t>
      </w:r>
      <w:r>
        <w:rPr>
          <w:rFonts w:hint="eastAsia" w:ascii="宋体" w:hAnsi="宋体"/>
          <w:color w:val="auto"/>
          <w:szCs w:val="21"/>
          <w:highlight w:val="none"/>
        </w:rPr>
        <w:t>根据采购人选择投保的险种，按照中国银行保险监督管理委员会批复条款所载明的保险责任承担赔偿。</w:t>
      </w:r>
    </w:p>
    <w:p w14:paraId="1A6E97A3">
      <w:pPr>
        <w:numPr>
          <w:ilvl w:val="0"/>
          <w:numId w:val="19"/>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投保方式：以</w:t>
      </w:r>
      <w:r>
        <w:rPr>
          <w:rFonts w:hint="eastAsia" w:ascii="宋体" w:hAnsi="宋体"/>
          <w:color w:val="auto"/>
          <w:szCs w:val="21"/>
          <w:highlight w:val="none"/>
          <w:lang w:val="en-US" w:eastAsia="zh-CN"/>
        </w:rPr>
        <w:t>采购人</w:t>
      </w:r>
      <w:r>
        <w:rPr>
          <w:rFonts w:hint="eastAsia" w:ascii="宋体" w:hAnsi="宋体"/>
          <w:color w:val="auto"/>
          <w:szCs w:val="21"/>
          <w:highlight w:val="none"/>
        </w:rPr>
        <w:t>提供的保险名单、格式模板为准。</w:t>
      </w:r>
    </w:p>
    <w:p w14:paraId="500A4F34">
      <w:pPr>
        <w:numPr>
          <w:ilvl w:val="0"/>
          <w:numId w:val="19"/>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关于保全：</w:t>
      </w:r>
    </w:p>
    <w:p w14:paraId="54676B6D">
      <w:pPr>
        <w:numPr>
          <w:ilvl w:val="0"/>
          <w:numId w:val="20"/>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提供系统供保全批改，系统收到保全资料，次日零时起保生效。</w:t>
      </w:r>
    </w:p>
    <w:p w14:paraId="41EA1ECE">
      <w:pPr>
        <w:numPr>
          <w:ilvl w:val="0"/>
          <w:numId w:val="20"/>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新增车辆，提供系统供保全批改，系统收到保全资料，次日零时起保生效，由于加保产生的保费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采购人于</w:t>
      </w:r>
      <w:r>
        <w:rPr>
          <w:rFonts w:hint="eastAsia" w:ascii="宋体" w:hAnsi="宋体"/>
          <w:color w:val="auto"/>
          <w:szCs w:val="21"/>
          <w:highlight w:val="none"/>
        </w:rPr>
        <w:t>30天内结算。</w:t>
      </w:r>
    </w:p>
    <w:p w14:paraId="5A8537C6">
      <w:pPr>
        <w:keepNext w:val="0"/>
        <w:keepLines w:val="0"/>
        <w:pageBreakBefore w:val="0"/>
        <w:widowControl w:val="0"/>
        <w:numPr>
          <w:ilvl w:val="0"/>
          <w:numId w:val="1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color w:val="auto"/>
          <w:szCs w:val="21"/>
          <w:highlight w:val="none"/>
        </w:rPr>
      </w:pPr>
      <w:r>
        <w:rPr>
          <w:rFonts w:hint="eastAsia" w:ascii="宋体" w:hAnsi="宋体"/>
          <w:color w:val="auto"/>
          <w:szCs w:val="21"/>
          <w:highlight w:val="none"/>
        </w:rPr>
        <w:t>服务要求</w:t>
      </w:r>
    </w:p>
    <w:p w14:paraId="5FBA7CB2">
      <w:pPr>
        <w:adjustRightInd w:val="0"/>
        <w:spacing w:line="360" w:lineRule="auto"/>
        <w:contextualSpacing/>
        <w:jc w:val="left"/>
        <w:rPr>
          <w:rFonts w:hint="eastAsia" w:ascii="宋体" w:hAnsi="宋体"/>
          <w:color w:val="auto"/>
          <w:szCs w:val="21"/>
          <w:highlight w:val="none"/>
        </w:rPr>
      </w:pPr>
      <w:r>
        <w:rPr>
          <w:rFonts w:hint="eastAsia" w:ascii="宋体" w:hAnsi="宋体"/>
          <w:color w:val="auto"/>
          <w:szCs w:val="21"/>
          <w:highlight w:val="none"/>
          <w:lang w:eastAsia="zh-CN"/>
        </w:rPr>
        <w:t>成交供应商</w:t>
      </w:r>
      <w:r>
        <w:rPr>
          <w:rFonts w:hint="eastAsia" w:ascii="宋体" w:hAnsi="宋体"/>
          <w:color w:val="auto"/>
          <w:szCs w:val="21"/>
          <w:highlight w:val="none"/>
        </w:rPr>
        <w:t>对以下需求需逐条做出响应：</w:t>
      </w:r>
    </w:p>
    <w:p w14:paraId="695501F7">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采购人/投保人、</w:t>
      </w:r>
      <w:r>
        <w:rPr>
          <w:rFonts w:hint="eastAsia" w:ascii="宋体" w:hAnsi="宋体"/>
          <w:color w:val="auto"/>
          <w:szCs w:val="21"/>
          <w:highlight w:val="none"/>
          <w:lang w:eastAsia="zh-CN"/>
        </w:rPr>
        <w:t>成交供应商</w:t>
      </w:r>
      <w:r>
        <w:rPr>
          <w:rFonts w:hint="eastAsia" w:ascii="宋体" w:hAnsi="宋体"/>
          <w:color w:val="auto"/>
          <w:szCs w:val="21"/>
          <w:highlight w:val="none"/>
        </w:rPr>
        <w:t>、被保险人、受益人按照本项目保险协议的约定及《中华人民共和国保险法》的规定享有权利，承担义务。</w:t>
      </w:r>
    </w:p>
    <w:p w14:paraId="3B660FCB">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保证采购人获得优先服务的权利，</w:t>
      </w:r>
      <w:r>
        <w:rPr>
          <w:rFonts w:hint="eastAsia" w:ascii="宋体" w:hAnsi="宋体"/>
          <w:color w:val="auto"/>
          <w:szCs w:val="21"/>
          <w:highlight w:val="none"/>
          <w:lang w:eastAsia="zh-CN"/>
        </w:rPr>
        <w:t>成交供应商</w:t>
      </w:r>
      <w:r>
        <w:rPr>
          <w:rFonts w:hint="eastAsia" w:ascii="宋体" w:hAnsi="宋体"/>
          <w:color w:val="auto"/>
          <w:szCs w:val="21"/>
          <w:highlight w:val="none"/>
        </w:rPr>
        <w:t>应根据被保险单位的通知及时与被保险单位签订机动车保险单。</w:t>
      </w:r>
    </w:p>
    <w:p w14:paraId="03BAF06E">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成立“警用摩托车保险统保项目”领导小组，在本协议签署后投入管理运作，负责各项内容，包括承保、理赔等服务的组织实施与总体管理，督促落实各项具体服务承诺工作。</w:t>
      </w:r>
    </w:p>
    <w:p w14:paraId="456DA2F4">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须指派一名服务态度好、责任心强且熟悉理赔流程的专职人员专人对接，能提供迅速、便捷的第一现场查勘服务和覆盖全省、响应快速的定损服务，并且负责上门办理保险的承保与理赔等事宜。</w:t>
      </w:r>
    </w:p>
    <w:p w14:paraId="29F8E0DC">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提供异地出险、就地理赔服务。凡是车辆在外地出险，可直接拨打服务热线电话，由当地的保险机构提供查勘定损服务。</w:t>
      </w:r>
    </w:p>
    <w:p w14:paraId="354DC414">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响应速度：对于采购人员工提出的疑问</w:t>
      </w:r>
      <w:r>
        <w:rPr>
          <w:rFonts w:hint="eastAsia" w:ascii="宋体" w:hAnsi="宋体"/>
          <w:color w:val="auto"/>
          <w:szCs w:val="21"/>
          <w:highlight w:val="none"/>
          <w:lang w:eastAsia="zh-CN"/>
        </w:rPr>
        <w:t>成交供应商</w:t>
      </w:r>
      <w:r>
        <w:rPr>
          <w:rFonts w:hint="eastAsia" w:ascii="宋体" w:hAnsi="宋体"/>
          <w:color w:val="auto"/>
          <w:szCs w:val="21"/>
          <w:highlight w:val="none"/>
        </w:rPr>
        <w:t>须在2个小时内响应，</w:t>
      </w:r>
      <w:r>
        <w:rPr>
          <w:rFonts w:hint="eastAsia" w:ascii="宋体" w:hAnsi="宋体"/>
          <w:color w:val="auto"/>
          <w:szCs w:val="21"/>
          <w:highlight w:val="none"/>
          <w:lang w:eastAsia="zh-CN"/>
        </w:rPr>
        <w:t>成交供应商</w:t>
      </w:r>
      <w:r>
        <w:rPr>
          <w:rFonts w:hint="eastAsia" w:ascii="宋体" w:hAnsi="宋体"/>
          <w:color w:val="auto"/>
          <w:szCs w:val="21"/>
          <w:highlight w:val="none"/>
        </w:rPr>
        <w:t>须在2个工作日内提供相关人员的承保证明并加盖公章。</w:t>
      </w:r>
    </w:p>
    <w:p w14:paraId="35089825">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val="en-US" w:eastAsia="zh-CN"/>
        </w:rPr>
        <w:t>现场勘查时效：成交供应商应设有24小时全天报案服务电话，并派专人受理索赔接报案。投保人驾驶员或安全员报案后，保险机构查勘员应在5分钟内同报案人取得联系，收到报案后40分钟内赶到现场，并为报案人提供现场处理指引。所有案件均要求保险机构查勘员到达现场，经投保人安全员同意的，可通过电话引导无须到达现场。</w:t>
      </w:r>
    </w:p>
    <w:p w14:paraId="1DD597ED">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未经</w:t>
      </w:r>
      <w:r>
        <w:rPr>
          <w:rFonts w:hint="eastAsia" w:ascii="宋体" w:hAnsi="宋体"/>
          <w:color w:val="auto"/>
          <w:szCs w:val="21"/>
          <w:highlight w:val="none"/>
          <w:lang w:val="en-US" w:eastAsia="zh-CN"/>
        </w:rPr>
        <w:t>采购人</w:t>
      </w:r>
      <w:r>
        <w:rPr>
          <w:rFonts w:hint="eastAsia" w:ascii="宋体" w:hAnsi="宋体"/>
          <w:color w:val="auto"/>
          <w:szCs w:val="21"/>
          <w:highlight w:val="none"/>
        </w:rPr>
        <w:t>同意，</w:t>
      </w:r>
      <w:r>
        <w:rPr>
          <w:rFonts w:hint="eastAsia" w:ascii="宋体" w:hAnsi="宋体"/>
          <w:color w:val="auto"/>
          <w:szCs w:val="21"/>
          <w:highlight w:val="none"/>
          <w:lang w:eastAsia="zh-CN"/>
        </w:rPr>
        <w:t>成交供应商</w:t>
      </w:r>
      <w:r>
        <w:rPr>
          <w:rFonts w:hint="eastAsia" w:ascii="宋体" w:hAnsi="宋体"/>
          <w:color w:val="auto"/>
          <w:szCs w:val="21"/>
          <w:highlight w:val="none"/>
        </w:rPr>
        <w:t>不得将本项目所载义务、责任分出给其他保险公司承担。</w:t>
      </w:r>
    </w:p>
    <w:p w14:paraId="794320CE">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eastAsia="zh-CN"/>
        </w:rPr>
        <w:t>成交供应商</w:t>
      </w:r>
      <w:r>
        <w:rPr>
          <w:rFonts w:hint="eastAsia" w:ascii="宋体" w:hAnsi="宋体"/>
          <w:color w:val="auto"/>
          <w:szCs w:val="21"/>
          <w:highlight w:val="none"/>
        </w:rPr>
        <w:t>收到被保险人或者受益人的赔偿或者给付保险金的请求后，对属于保险责任的，</w:t>
      </w:r>
      <w:r>
        <w:rPr>
          <w:rFonts w:hint="eastAsia" w:ascii="宋体" w:hAnsi="宋体"/>
          <w:color w:val="auto"/>
          <w:szCs w:val="21"/>
          <w:highlight w:val="none"/>
          <w:lang w:eastAsia="zh-CN"/>
        </w:rPr>
        <w:t>成交供应商</w:t>
      </w:r>
      <w:r>
        <w:rPr>
          <w:rFonts w:hint="eastAsia" w:ascii="宋体" w:hAnsi="宋体"/>
          <w:color w:val="auto"/>
          <w:szCs w:val="21"/>
          <w:highlight w:val="none"/>
        </w:rPr>
        <w:t>须在五日内，履行赔偿或者给付保险金义务。</w:t>
      </w:r>
    </w:p>
    <w:p w14:paraId="48902E10">
      <w:pPr>
        <w:numPr>
          <w:ilvl w:val="0"/>
          <w:numId w:val="2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供应商</w:t>
      </w:r>
      <w:r>
        <w:rPr>
          <w:rFonts w:hint="eastAsia" w:ascii="宋体" w:hAnsi="宋体"/>
          <w:color w:val="auto"/>
          <w:szCs w:val="21"/>
          <w:highlight w:val="none"/>
          <w:lang w:val="en-US" w:eastAsia="zh-CN"/>
        </w:rPr>
        <w:t>需为本项目提供</w:t>
      </w:r>
      <w:r>
        <w:rPr>
          <w:rFonts w:hint="eastAsia" w:ascii="宋体" w:hAnsi="宋体"/>
          <w:color w:val="auto"/>
          <w:szCs w:val="21"/>
          <w:highlight w:val="none"/>
        </w:rPr>
        <w:t>在发生重特大事故损失的保险应急预案，包括</w:t>
      </w:r>
      <w:r>
        <w:rPr>
          <w:rFonts w:hint="eastAsia" w:ascii="宋体" w:hAnsi="宋体"/>
          <w:color w:val="auto"/>
          <w:szCs w:val="21"/>
          <w:highlight w:val="none"/>
          <w:lang w:val="en-US" w:eastAsia="zh-CN"/>
        </w:rPr>
        <w:t>但不限于</w:t>
      </w:r>
      <w:r>
        <w:rPr>
          <w:rFonts w:hint="eastAsia" w:ascii="宋体" w:hAnsi="宋体"/>
          <w:color w:val="auto"/>
          <w:szCs w:val="21"/>
          <w:highlight w:val="none"/>
        </w:rPr>
        <w:t>理赔绿色通道、医疗探视、快捷救援</w:t>
      </w:r>
      <w:r>
        <w:rPr>
          <w:rFonts w:hint="eastAsia" w:ascii="宋体" w:hAnsi="宋体"/>
          <w:color w:val="auto"/>
          <w:szCs w:val="21"/>
          <w:highlight w:val="none"/>
          <w:lang w:val="en-US" w:eastAsia="zh-CN"/>
        </w:rPr>
        <w:t>等</w:t>
      </w:r>
      <w:r>
        <w:rPr>
          <w:rFonts w:hint="eastAsia" w:ascii="宋体" w:hAnsi="宋体"/>
          <w:color w:val="auto"/>
          <w:szCs w:val="21"/>
          <w:highlight w:val="none"/>
        </w:rPr>
        <w:t>的行动举措</w:t>
      </w:r>
      <w:r>
        <w:rPr>
          <w:rFonts w:hint="eastAsia" w:ascii="宋体" w:hAnsi="宋体"/>
          <w:color w:val="auto"/>
          <w:szCs w:val="21"/>
          <w:highlight w:val="none"/>
          <w:lang w:eastAsia="zh-CN"/>
        </w:rPr>
        <w:t>。</w:t>
      </w:r>
    </w:p>
    <w:p w14:paraId="4BCFFC58">
      <w:pPr>
        <w:keepNext w:val="0"/>
        <w:keepLines w:val="0"/>
        <w:pageBreakBefore w:val="0"/>
        <w:widowControl w:val="0"/>
        <w:numPr>
          <w:ilvl w:val="0"/>
          <w:numId w:val="1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color w:val="auto"/>
          <w:szCs w:val="21"/>
          <w:highlight w:val="none"/>
        </w:rPr>
      </w:pPr>
      <w:r>
        <w:rPr>
          <w:rFonts w:hint="eastAsia" w:ascii="宋体" w:hAnsi="宋体"/>
          <w:color w:val="auto"/>
          <w:szCs w:val="21"/>
          <w:highlight w:val="none"/>
        </w:rPr>
        <w:t>赔款时效承诺</w:t>
      </w:r>
    </w:p>
    <w:p w14:paraId="6968E468">
      <w:pPr>
        <w:adjustRightInd w:val="0"/>
        <w:spacing w:line="360" w:lineRule="auto"/>
        <w:contextualSpacing/>
        <w:jc w:val="left"/>
        <w:rPr>
          <w:rFonts w:hint="eastAsia" w:ascii="宋体" w:hAnsi="宋体"/>
          <w:color w:val="auto"/>
          <w:szCs w:val="21"/>
          <w:highlight w:val="none"/>
        </w:rPr>
      </w:pPr>
      <w:r>
        <w:rPr>
          <w:rFonts w:hint="eastAsia" w:ascii="宋体" w:hAnsi="宋体"/>
          <w:color w:val="auto"/>
          <w:szCs w:val="21"/>
          <w:highlight w:val="none"/>
        </w:rPr>
        <w:t>“主动、迅速、准确、合理”地处理赔案，使被保险人得到最快的补偿。</w:t>
      </w:r>
    </w:p>
    <w:p w14:paraId="0E3AFEA4">
      <w:pPr>
        <w:numPr>
          <w:ilvl w:val="0"/>
          <w:numId w:val="2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保险人对符合保险责任及不需要调查的索赔，收到投保人提交的资料后，5个工作日内对符合保险责任且资料齐全的索赔进行赔付并划赔款。</w:t>
      </w:r>
    </w:p>
    <w:p w14:paraId="2EB2DA4E">
      <w:pPr>
        <w:numPr>
          <w:ilvl w:val="0"/>
          <w:numId w:val="2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eastAsia="zh-CN"/>
        </w:rPr>
        <w:t>成交供应商</w:t>
      </w:r>
      <w:r>
        <w:rPr>
          <w:rFonts w:hint="eastAsia" w:ascii="宋体" w:hAnsi="宋体"/>
          <w:color w:val="auto"/>
          <w:szCs w:val="21"/>
          <w:highlight w:val="none"/>
        </w:rPr>
        <w:t>对需要补充或重新提交资料的索赔，在1个工作日内一次性提出，并通知到被保险人。</w:t>
      </w:r>
    </w:p>
    <w:p w14:paraId="53CA5AF6">
      <w:pPr>
        <w:numPr>
          <w:ilvl w:val="0"/>
          <w:numId w:val="2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对于拒赔案件，经审核无异议后，由</w:t>
      </w:r>
      <w:r>
        <w:rPr>
          <w:rFonts w:hint="eastAsia" w:ascii="宋体" w:hAnsi="宋体"/>
          <w:color w:val="auto"/>
          <w:szCs w:val="21"/>
          <w:highlight w:val="none"/>
          <w:lang w:eastAsia="zh-CN"/>
        </w:rPr>
        <w:t>成交供应商</w:t>
      </w:r>
      <w:r>
        <w:rPr>
          <w:rFonts w:hint="eastAsia" w:ascii="宋体" w:hAnsi="宋体"/>
          <w:color w:val="auto"/>
          <w:szCs w:val="21"/>
          <w:highlight w:val="none"/>
        </w:rPr>
        <w:t>在1-3个工作日内联系申请人，并发出拒绝赔偿或者拒绝给付保险金通知书及理由书。</w:t>
      </w:r>
    </w:p>
    <w:p w14:paraId="5D865D44">
      <w:pPr>
        <w:numPr>
          <w:ilvl w:val="0"/>
          <w:numId w:val="2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特殊需要调查案件，收到完整资料后15个工作日做出理赔决定，超出约定的理赔时限的，</w:t>
      </w:r>
      <w:r>
        <w:rPr>
          <w:rFonts w:hint="eastAsia" w:ascii="宋体" w:hAnsi="宋体"/>
          <w:color w:val="auto"/>
          <w:szCs w:val="21"/>
          <w:highlight w:val="none"/>
          <w:lang w:eastAsia="zh-CN"/>
        </w:rPr>
        <w:t>成交供应商</w:t>
      </w:r>
      <w:r>
        <w:rPr>
          <w:rFonts w:hint="eastAsia" w:ascii="宋体" w:hAnsi="宋体"/>
          <w:color w:val="auto"/>
          <w:szCs w:val="21"/>
          <w:highlight w:val="none"/>
        </w:rPr>
        <w:t>须发出延赔通知书给被保险人。</w:t>
      </w:r>
    </w:p>
    <w:p w14:paraId="7ADB26D3">
      <w:pPr>
        <w:keepNext w:val="0"/>
        <w:keepLines w:val="0"/>
        <w:pageBreakBefore w:val="0"/>
        <w:widowControl w:val="0"/>
        <w:numPr>
          <w:ilvl w:val="0"/>
          <w:numId w:val="1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color w:val="auto"/>
          <w:szCs w:val="21"/>
          <w:highlight w:val="none"/>
        </w:rPr>
      </w:pPr>
      <w:r>
        <w:rPr>
          <w:rFonts w:hint="eastAsia" w:ascii="宋体" w:hAnsi="宋体"/>
          <w:color w:val="auto"/>
          <w:szCs w:val="21"/>
          <w:highlight w:val="none"/>
        </w:rPr>
        <w:t>对</w:t>
      </w:r>
      <w:r>
        <w:rPr>
          <w:rFonts w:hint="eastAsia" w:ascii="宋体" w:hAnsi="宋体"/>
          <w:color w:val="auto"/>
          <w:szCs w:val="21"/>
          <w:highlight w:val="none"/>
          <w:lang w:eastAsia="zh-CN"/>
        </w:rPr>
        <w:t>成交供应商</w:t>
      </w:r>
      <w:r>
        <w:rPr>
          <w:rFonts w:hint="eastAsia" w:ascii="宋体" w:hAnsi="宋体"/>
          <w:color w:val="auto"/>
          <w:szCs w:val="21"/>
          <w:highlight w:val="none"/>
        </w:rPr>
        <w:t>要求</w:t>
      </w:r>
    </w:p>
    <w:p w14:paraId="5924C2DD">
      <w:pPr>
        <w:numPr>
          <w:ilvl w:val="0"/>
          <w:numId w:val="23"/>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eastAsia="zh-CN"/>
        </w:rPr>
        <w:t>成交供应商</w:t>
      </w:r>
      <w:r>
        <w:rPr>
          <w:rFonts w:hint="eastAsia" w:ascii="宋体" w:hAnsi="宋体"/>
          <w:color w:val="auto"/>
          <w:szCs w:val="21"/>
          <w:highlight w:val="none"/>
        </w:rPr>
        <w:t>符合《保险公司偿付能力管理规定》</w:t>
      </w:r>
    </w:p>
    <w:p w14:paraId="07B9CEC9">
      <w:pPr>
        <w:numPr>
          <w:ilvl w:val="0"/>
          <w:numId w:val="23"/>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eastAsia="zh-CN"/>
        </w:rPr>
        <w:t>成交供应商</w:t>
      </w:r>
      <w:r>
        <w:rPr>
          <w:rFonts w:hint="eastAsia" w:ascii="宋体" w:hAnsi="宋体"/>
          <w:color w:val="auto"/>
          <w:szCs w:val="21"/>
          <w:highlight w:val="none"/>
        </w:rPr>
        <w:t>应当具有健全偿付能力管理体系，确保偿付能力达标。</w:t>
      </w:r>
    </w:p>
    <w:p w14:paraId="5D4E560A">
      <w:pPr>
        <w:numPr>
          <w:ilvl w:val="0"/>
          <w:numId w:val="23"/>
        </w:numPr>
        <w:adjustRightInd w:val="0"/>
        <w:spacing w:line="360" w:lineRule="auto"/>
        <w:ind w:left="425" w:leftChars="0" w:hanging="425" w:firstLineChars="0"/>
        <w:contextualSpacing/>
        <w:jc w:val="left"/>
        <w:rPr>
          <w:rFonts w:hint="eastAsia" w:ascii="宋体" w:hAnsi="宋体"/>
          <w:color w:val="auto"/>
          <w:szCs w:val="21"/>
        </w:rPr>
      </w:pPr>
      <w:r>
        <w:rPr>
          <w:rFonts w:hint="eastAsia" w:ascii="宋体" w:hAnsi="宋体"/>
          <w:color w:val="auto"/>
          <w:szCs w:val="21"/>
          <w:highlight w:val="none"/>
          <w:lang w:eastAsia="zh-CN"/>
        </w:rPr>
        <w:t>成交供应商</w:t>
      </w:r>
      <w:r>
        <w:rPr>
          <w:rFonts w:hint="eastAsia" w:ascii="宋体" w:hAnsi="宋体"/>
          <w:color w:val="auto"/>
          <w:szCs w:val="21"/>
          <w:highlight w:val="none"/>
        </w:rPr>
        <w:t>应做好保险车辆档案管理，定期为被保险人开展安全教育。</w:t>
      </w:r>
    </w:p>
    <w:p w14:paraId="1B046762">
      <w:pPr>
        <w:numPr>
          <w:ilvl w:val="0"/>
          <w:numId w:val="23"/>
        </w:numPr>
        <w:adjustRightInd w:val="0"/>
        <w:spacing w:line="360" w:lineRule="auto"/>
        <w:ind w:left="425" w:leftChars="0" w:hanging="425" w:firstLineChars="0"/>
        <w:contextualSpacing/>
        <w:jc w:val="left"/>
        <w:rPr>
          <w:rFonts w:ascii="宋体" w:hAnsi="宋体"/>
          <w:color w:val="auto"/>
          <w:szCs w:val="21"/>
        </w:rPr>
      </w:pPr>
      <w:r>
        <w:rPr>
          <w:rFonts w:hint="eastAsia" w:ascii="宋体" w:hAnsi="宋体"/>
          <w:color w:val="auto"/>
          <w:szCs w:val="21"/>
          <w:lang w:eastAsia="zh-CN"/>
        </w:rPr>
        <w:t>成交供应商</w:t>
      </w:r>
      <w:r>
        <w:rPr>
          <w:rFonts w:hint="eastAsia" w:ascii="宋体" w:hAnsi="宋体"/>
          <w:color w:val="auto"/>
          <w:szCs w:val="21"/>
        </w:rPr>
        <w:t>需对投入本项目的服务人员进行保险业务知识讲座培训。</w:t>
      </w:r>
    </w:p>
    <w:bookmarkEnd w:id="9"/>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0" w:name="_Toc170228130"/>
      <w:r>
        <w:rPr>
          <w:rFonts w:hint="eastAsia" w:asciiTheme="minorEastAsia" w:hAnsiTheme="minorEastAsia" w:eastAsiaTheme="minorEastAsia"/>
          <w:spacing w:val="20"/>
          <w:sz w:val="32"/>
          <w:szCs w:val="32"/>
        </w:rPr>
        <w:t>第三章 磋商须知</w:t>
      </w:r>
      <w:bookmarkEnd w:id="10"/>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24"/>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25"/>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25"/>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25"/>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25"/>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25"/>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25"/>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24"/>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kern w:val="0"/>
                <w:szCs w:val="21"/>
              </w:rPr>
            </w:pPr>
            <w:r>
              <w:rPr>
                <w:rFonts w:hint="eastAsia" w:ascii="宋体" w:hAnsi="宋体"/>
                <w:kern w:val="0"/>
                <w:szCs w:val="21"/>
              </w:rPr>
              <w:t>服务</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评</w:t>
            </w:r>
            <w:r>
              <w:rPr>
                <w:rFonts w:hint="eastAsia" w:ascii="宋体" w:hAnsi="宋体"/>
                <w:color w:val="auto"/>
                <w:kern w:val="0"/>
                <w:szCs w:val="21"/>
                <w:lang w:eastAsia="zh-Hans"/>
              </w:rPr>
              <w:t>审</w:t>
            </w:r>
            <w:r>
              <w:rPr>
                <w:rFonts w:ascii="宋体" w:hAnsi="宋体"/>
                <w:color w:val="auto"/>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84" w:type="pct"/>
            <w:vAlign w:val="center"/>
          </w:tcPr>
          <w:p w14:paraId="0ADC601D">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6</w:t>
            </w:r>
          </w:p>
        </w:tc>
        <w:tc>
          <w:tcPr>
            <w:tcW w:w="997" w:type="pct"/>
            <w:vAlign w:val="center"/>
          </w:tcPr>
          <w:p w14:paraId="435FEBF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val="en-US" w:eastAsia="zh-CN"/>
              </w:rPr>
              <w:t>不收取</w:t>
            </w:r>
            <w:r>
              <w:rPr>
                <w:rFonts w:ascii="宋体" w:hAnsi="宋体"/>
                <w:color w:val="auto"/>
                <w:kern w:val="0"/>
                <w:szCs w:val="21"/>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366DC476">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2C16A99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7C753E67">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3C06A1E">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ascii="宋体" w:hAnsi="宋体"/>
                <w:kern w:val="0"/>
                <w:szCs w:val="21"/>
                <w:lang w:eastAsia="zh-Hans"/>
              </w:rPr>
              <w:t>本项目采购代理服务费采用定额方式收取，服务费金额为：¥6,000.00（大写：人民币陆仟元整）。</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lang w:eastAsia="zh-Hans"/>
              </w:rPr>
            </w:pPr>
            <w:r>
              <w:rPr>
                <w:rFonts w:hint="eastAsia" w:ascii="宋体" w:hAnsi="宋体"/>
                <w:color w:val="auto"/>
                <w:szCs w:val="21"/>
                <w:lang w:val="en-US" w:eastAsia="zh-CN"/>
              </w:rPr>
              <w:t>不收取</w:t>
            </w:r>
            <w:r>
              <w:rPr>
                <w:rFonts w:ascii="宋体" w:hAnsi="宋体"/>
                <w:color w:val="auto"/>
                <w:szCs w:val="21"/>
                <w:lang w:val="zh-CN"/>
              </w:rPr>
              <w:t>。</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24"/>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26"/>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26"/>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26"/>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26"/>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26"/>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30891E70">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9"/>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3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3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24"/>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24"/>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34"/>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35"/>
        </w:numPr>
        <w:snapToGrid w:val="0"/>
        <w:spacing w:after="312" w:afterLines="100" w:line="360" w:lineRule="auto"/>
        <w:ind w:left="442" w:hanging="442" w:firstLineChars="0"/>
        <w:contextualSpacing/>
        <w:jc w:val="left"/>
        <w:rPr>
          <w:rFonts w:ascii="宋体" w:hAnsi="宋体"/>
          <w:kern w:val="0"/>
          <w:szCs w:val="21"/>
          <w:lang w:eastAsia="zh-Hans"/>
        </w:rPr>
      </w:pPr>
      <w:r>
        <w:rPr>
          <w:rFonts w:ascii="宋体" w:hAnsi="宋体"/>
          <w:kern w:val="0"/>
          <w:szCs w:val="21"/>
          <w:lang w:eastAsia="zh-Hans"/>
        </w:rPr>
        <w:t>供应商应</w:t>
      </w:r>
      <w:r>
        <w:rPr>
          <w:rFonts w:ascii="宋体" w:hAnsi="宋体"/>
          <w:color w:val="auto"/>
          <w:kern w:val="0"/>
          <w:szCs w:val="21"/>
          <w:lang w:eastAsia="zh-Hans"/>
        </w:rPr>
        <w:t>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34"/>
        </w:numPr>
        <w:snapToGrid w:val="0"/>
        <w:spacing w:before="156" w:beforeLines="50" w:line="360" w:lineRule="auto"/>
        <w:ind w:left="442" w:hanging="442" w:firstLineChars="0"/>
        <w:contextualSpacing/>
        <w:jc w:val="left"/>
        <w:outlineLvl w:val="3"/>
        <w:rPr>
          <w:rFonts w:ascii="宋体" w:hAnsi="宋体"/>
          <w:kern w:val="0"/>
          <w:szCs w:val="21"/>
          <w:lang w:eastAsia="zh-Hans"/>
        </w:rPr>
      </w:pPr>
      <w:bookmarkStart w:id="11" w:name="_Toc416771341"/>
      <w:bookmarkStart w:id="12" w:name="_Toc410738954"/>
      <w:bookmarkStart w:id="13" w:name="_Toc416770231"/>
      <w:bookmarkStart w:id="14" w:name="_Toc410736154"/>
      <w:r>
        <w:rPr>
          <w:rFonts w:hint="eastAsia" w:asciiTheme="minorEastAsia" w:hAnsiTheme="minorEastAsia" w:eastAsiaTheme="minorEastAsia"/>
          <w:b/>
          <w:bCs/>
        </w:rPr>
        <w:t>响应文件的式样和签署</w:t>
      </w:r>
      <w:bookmarkEnd w:id="11"/>
      <w:bookmarkEnd w:id="12"/>
      <w:bookmarkEnd w:id="13"/>
      <w:bookmarkEnd w:id="14"/>
    </w:p>
    <w:p w14:paraId="6DE5B1BD">
      <w:pPr>
        <w:pStyle w:val="70"/>
        <w:numPr>
          <w:ilvl w:val="0"/>
          <w:numId w:val="36"/>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36"/>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37"/>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37"/>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36"/>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34"/>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5" w:name="_Toc416771342"/>
      <w:bookmarkStart w:id="16" w:name="_Toc410738955"/>
      <w:bookmarkStart w:id="17" w:name="_Toc416770232"/>
      <w:bookmarkStart w:id="18" w:name="_Toc502738627"/>
      <w:bookmarkStart w:id="19" w:name="_Toc410736155"/>
      <w:r>
        <w:rPr>
          <w:rFonts w:hint="eastAsia" w:asciiTheme="minorEastAsia" w:hAnsiTheme="minorEastAsia" w:eastAsiaTheme="minorEastAsia"/>
          <w:b/>
          <w:bCs/>
        </w:rPr>
        <w:t>响应文件的递交</w:t>
      </w:r>
      <w:bookmarkEnd w:id="15"/>
      <w:bookmarkEnd w:id="16"/>
      <w:bookmarkEnd w:id="17"/>
      <w:bookmarkEnd w:id="18"/>
      <w:bookmarkEnd w:id="19"/>
    </w:p>
    <w:p w14:paraId="79DB5479">
      <w:pPr>
        <w:pStyle w:val="70"/>
        <w:numPr>
          <w:ilvl w:val="0"/>
          <w:numId w:val="38"/>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0" w:name="_Toc410738956"/>
      <w:bookmarkStart w:id="21" w:name="_Toc410736156"/>
      <w:bookmarkStart w:id="22" w:name="_Toc416770233"/>
      <w:bookmarkStart w:id="23" w:name="_Toc416771343"/>
      <w:r>
        <w:rPr>
          <w:rFonts w:hint="eastAsia" w:asciiTheme="minorEastAsia" w:hAnsiTheme="minorEastAsia" w:eastAsiaTheme="minorEastAsia"/>
          <w:b/>
          <w:bCs/>
        </w:rPr>
        <w:t>响应文件的密封和标记</w:t>
      </w:r>
      <w:bookmarkEnd w:id="20"/>
      <w:bookmarkEnd w:id="21"/>
      <w:bookmarkEnd w:id="22"/>
      <w:bookmarkEnd w:id="23"/>
    </w:p>
    <w:p w14:paraId="6E44954C">
      <w:pPr>
        <w:pStyle w:val="70"/>
        <w:numPr>
          <w:ilvl w:val="0"/>
          <w:numId w:val="39"/>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9"/>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4" w:name="_Hlk86740118"/>
      <w:r>
        <w:rPr>
          <w:rFonts w:hint="eastAsia" w:ascii="宋体" w:hAnsi="宋体"/>
          <w:bCs/>
          <w:szCs w:val="21"/>
        </w:rPr>
        <w:t>须同时提交以下文件</w:t>
      </w:r>
      <w:bookmarkEnd w:id="24"/>
      <w:r>
        <w:rPr>
          <w:rFonts w:hint="eastAsia" w:ascii="宋体" w:hAnsi="宋体"/>
          <w:bCs/>
          <w:szCs w:val="21"/>
        </w:rPr>
        <w:t>：</w:t>
      </w:r>
      <w:bookmarkStart w:id="25"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5"/>
      <w:r>
        <w:rPr>
          <w:rFonts w:hint="eastAsia" w:ascii="宋体" w:hAnsi="宋体"/>
          <w:bCs/>
          <w:szCs w:val="21"/>
        </w:rPr>
        <w:t>。</w:t>
      </w:r>
    </w:p>
    <w:p w14:paraId="7840E142">
      <w:pPr>
        <w:pStyle w:val="70"/>
        <w:numPr>
          <w:ilvl w:val="0"/>
          <w:numId w:val="39"/>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6"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6"/>
    <w:p w14:paraId="6C0EA5E6">
      <w:pPr>
        <w:pStyle w:val="70"/>
        <w:widowControl/>
        <w:numPr>
          <w:ilvl w:val="0"/>
          <w:numId w:val="34"/>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7" w:name="_Toc416771344"/>
      <w:bookmarkStart w:id="28" w:name="_Toc410738957"/>
      <w:bookmarkStart w:id="29" w:name="_Toc416770234"/>
      <w:bookmarkStart w:id="30" w:name="_Toc410736157"/>
      <w:r>
        <w:rPr>
          <w:rFonts w:hint="eastAsia" w:asciiTheme="minorEastAsia" w:hAnsiTheme="minorEastAsia" w:eastAsiaTheme="minorEastAsia"/>
          <w:b/>
          <w:bCs/>
        </w:rPr>
        <w:t>响应文件包装密封</w:t>
      </w:r>
    </w:p>
    <w:p w14:paraId="08FF4B64">
      <w:pPr>
        <w:pStyle w:val="70"/>
        <w:numPr>
          <w:ilvl w:val="0"/>
          <w:numId w:val="40"/>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40"/>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40"/>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40"/>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34"/>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7"/>
      <w:bookmarkEnd w:id="28"/>
      <w:bookmarkEnd w:id="29"/>
      <w:bookmarkEnd w:id="30"/>
    </w:p>
    <w:p w14:paraId="7C40EA8C">
      <w:pPr>
        <w:pStyle w:val="70"/>
        <w:numPr>
          <w:ilvl w:val="0"/>
          <w:numId w:val="41"/>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41"/>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41"/>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34"/>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42"/>
        </w:numPr>
        <w:snapToGrid w:val="0"/>
        <w:spacing w:line="360" w:lineRule="auto"/>
        <w:ind w:left="426" w:hanging="426" w:firstLineChars="0"/>
        <w:contextualSpacing/>
        <w:jc w:val="left"/>
        <w:rPr>
          <w:rFonts w:ascii="宋体" w:hAnsi="宋体"/>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42"/>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56E49514">
      <w:pPr>
        <w:pStyle w:val="70"/>
        <w:widowControl/>
        <w:numPr>
          <w:ilvl w:val="0"/>
          <w:numId w:val="34"/>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kern w:val="0"/>
          <w:szCs w:val="21"/>
          <w:lang w:eastAsia="zh-Hans"/>
        </w:rPr>
        <w:t>响应保证</w:t>
      </w:r>
      <w:r>
        <w:rPr>
          <w:rFonts w:ascii="宋体" w:hAnsi="宋体"/>
          <w:b/>
          <w:color w:val="auto"/>
          <w:kern w:val="0"/>
          <w:szCs w:val="21"/>
          <w:lang w:eastAsia="zh-Hans"/>
        </w:rPr>
        <w:t>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0"/>
        <w:widowControl/>
        <w:numPr>
          <w:ilvl w:val="0"/>
          <w:numId w:val="44"/>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ascii="宋体" w:hAnsi="宋体"/>
          <w:kern w:val="0"/>
          <w:szCs w:val="21"/>
          <w:lang w:eastAsia="zh-Hans"/>
        </w:rPr>
        <w:t>规定的金额和缴纳要求缴纳响应保证金，并作为其响应文件的组成部分。</w:t>
      </w:r>
    </w:p>
    <w:p w14:paraId="2DF501F8">
      <w:pPr>
        <w:pStyle w:val="70"/>
        <w:widowControl/>
        <w:numPr>
          <w:ilvl w:val="0"/>
          <w:numId w:val="44"/>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kern w:val="0"/>
          <w:szCs w:val="21"/>
          <w:lang w:eastAsia="zh-Hans"/>
        </w:rPr>
        <w:t>规定的金额递交至采购代理机构，到账情况以开标时采购代理机构查询的信息为准。</w:t>
      </w:r>
    </w:p>
    <w:p w14:paraId="67E0E52B">
      <w:pPr>
        <w:pStyle w:val="70"/>
        <w:widowControl/>
        <w:numPr>
          <w:ilvl w:val="0"/>
          <w:numId w:val="44"/>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4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4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34"/>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34"/>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34"/>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24"/>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50"/>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50"/>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52"/>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53"/>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24"/>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54"/>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55"/>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54"/>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57"/>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57"/>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57"/>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8"/>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8"/>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8"/>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8"/>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56"/>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w:t>
      </w:r>
      <w:r>
        <w:rPr>
          <w:rFonts w:ascii="宋体" w:hAnsi="宋体"/>
          <w:color w:val="auto"/>
          <w:kern w:val="0"/>
          <w:szCs w:val="21"/>
          <w:lang w:eastAsia="zh-Hans"/>
        </w:rPr>
        <w:t>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56"/>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陈子菱</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54"/>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kern w:val="0"/>
          <w:szCs w:val="21"/>
          <w:lang w:eastAsia="zh-Hans"/>
        </w:rPr>
        <w:t>质疑人对采购人或采购代理机构的质疑答复不满意或在规定时间内未得到答复的，可以在答复期满后15个工作日内，向本</w:t>
      </w:r>
      <w:r>
        <w:rPr>
          <w:rFonts w:ascii="宋体" w:hAnsi="宋体"/>
          <w:color w:val="auto"/>
          <w:kern w:val="0"/>
          <w:szCs w:val="21"/>
          <w:lang w:eastAsia="zh-Hans"/>
        </w:rPr>
        <w:t>项目监督管理部门提起投诉。</w:t>
      </w:r>
    </w:p>
    <w:p w14:paraId="4C767DFE">
      <w:pPr>
        <w:pStyle w:val="70"/>
        <w:widowControl/>
        <w:numPr>
          <w:ilvl w:val="0"/>
          <w:numId w:val="24"/>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59"/>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9"/>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24"/>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合同签订和履行</w:t>
      </w:r>
    </w:p>
    <w:p w14:paraId="6EB11016">
      <w:pPr>
        <w:pStyle w:val="70"/>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0"/>
        <w:widowControl/>
        <w:numPr>
          <w:ilvl w:val="0"/>
          <w:numId w:val="6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6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62"/>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62"/>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1" w:name="_Toc391627751"/>
      <w:bookmarkStart w:id="32" w:name="_Toc521951135"/>
      <w:bookmarkStart w:id="33" w:name="_Toc405313955"/>
      <w:bookmarkStart w:id="34" w:name="_Toc170228131"/>
      <w:r>
        <w:rPr>
          <w:rFonts w:hint="eastAsia" w:asciiTheme="minorEastAsia" w:hAnsiTheme="minorEastAsia" w:eastAsiaTheme="minorEastAsia"/>
          <w:spacing w:val="20"/>
          <w:sz w:val="32"/>
          <w:szCs w:val="32"/>
        </w:rPr>
        <w:t>第</w:t>
      </w:r>
      <w:bookmarkEnd w:id="31"/>
      <w:bookmarkEnd w:id="32"/>
      <w:bookmarkEnd w:id="33"/>
      <w:bookmarkStart w:id="35" w:name="_Hlk46687785"/>
      <w:r>
        <w:rPr>
          <w:rFonts w:hint="eastAsia" w:asciiTheme="minorEastAsia" w:hAnsiTheme="minorEastAsia" w:eastAsiaTheme="minorEastAsia"/>
          <w:spacing w:val="20"/>
          <w:sz w:val="32"/>
          <w:szCs w:val="32"/>
        </w:rPr>
        <w:t>四章 评审</w:t>
      </w:r>
      <w:bookmarkEnd w:id="34"/>
    </w:p>
    <w:bookmarkEnd w:id="35"/>
    <w:p w14:paraId="722297AE">
      <w:pPr>
        <w:pStyle w:val="70"/>
        <w:numPr>
          <w:ilvl w:val="0"/>
          <w:numId w:val="63"/>
        </w:numPr>
        <w:snapToGrid w:val="0"/>
        <w:spacing w:line="360" w:lineRule="auto"/>
        <w:ind w:left="442" w:hanging="442" w:firstLineChars="0"/>
        <w:contextualSpacing/>
        <w:rPr>
          <w:b/>
          <w:bCs/>
        </w:rPr>
      </w:pPr>
      <w:r>
        <w:rPr>
          <w:b/>
          <w:bCs/>
        </w:rPr>
        <w:t>评审要求</w:t>
      </w:r>
    </w:p>
    <w:p w14:paraId="3421EA85">
      <w:pPr>
        <w:pStyle w:val="74"/>
        <w:numPr>
          <w:ilvl w:val="3"/>
          <w:numId w:val="64"/>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64"/>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65"/>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65"/>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64"/>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6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66"/>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67"/>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67"/>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67"/>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67"/>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67"/>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66"/>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66"/>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8"/>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8"/>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8"/>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8"/>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8"/>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6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6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66"/>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66"/>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64"/>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9"/>
        </w:numPr>
        <w:snapToGrid w:val="0"/>
        <w:spacing w:line="360" w:lineRule="auto"/>
        <w:ind w:firstLineChars="0"/>
        <w:contextualSpacing/>
      </w:pPr>
      <w:r>
        <w:t>不同供应商的响应文件由同一单位或者个人编制；</w:t>
      </w:r>
    </w:p>
    <w:p w14:paraId="11BC39C9">
      <w:pPr>
        <w:pStyle w:val="70"/>
        <w:numPr>
          <w:ilvl w:val="0"/>
          <w:numId w:val="69"/>
        </w:numPr>
        <w:snapToGrid w:val="0"/>
        <w:spacing w:line="360" w:lineRule="auto"/>
        <w:ind w:firstLineChars="0"/>
        <w:contextualSpacing/>
      </w:pPr>
      <w:r>
        <w:t>不同供应商委托同一单位或者个人办理响应事宜；</w:t>
      </w:r>
    </w:p>
    <w:p w14:paraId="7D018D1D">
      <w:pPr>
        <w:pStyle w:val="70"/>
        <w:numPr>
          <w:ilvl w:val="0"/>
          <w:numId w:val="69"/>
        </w:numPr>
        <w:snapToGrid w:val="0"/>
        <w:spacing w:line="360" w:lineRule="auto"/>
        <w:ind w:firstLineChars="0"/>
        <w:contextualSpacing/>
      </w:pPr>
      <w:r>
        <w:t>不同供应商的响应文件载明的项目管理成员或者联系人员为同一人；</w:t>
      </w:r>
    </w:p>
    <w:p w14:paraId="3F8F7B1C">
      <w:pPr>
        <w:pStyle w:val="70"/>
        <w:numPr>
          <w:ilvl w:val="0"/>
          <w:numId w:val="69"/>
        </w:numPr>
        <w:snapToGrid w:val="0"/>
        <w:spacing w:line="360" w:lineRule="auto"/>
        <w:ind w:firstLineChars="0"/>
        <w:contextualSpacing/>
      </w:pPr>
      <w:r>
        <w:t>不同供应商的响应文件异常一致或者响应报价呈规律性差异；</w:t>
      </w:r>
    </w:p>
    <w:p w14:paraId="7E72B876">
      <w:pPr>
        <w:pStyle w:val="70"/>
        <w:numPr>
          <w:ilvl w:val="0"/>
          <w:numId w:val="69"/>
        </w:numPr>
        <w:snapToGrid w:val="0"/>
        <w:spacing w:line="360" w:lineRule="auto"/>
        <w:ind w:firstLineChars="0"/>
        <w:contextualSpacing/>
      </w:pPr>
      <w:r>
        <w:t>不同供应商的响应文件相互混装；</w:t>
      </w:r>
    </w:p>
    <w:p w14:paraId="121B7829">
      <w:pPr>
        <w:pStyle w:val="70"/>
        <w:numPr>
          <w:ilvl w:val="0"/>
          <w:numId w:val="69"/>
        </w:numPr>
        <w:snapToGrid w:val="0"/>
        <w:spacing w:line="360" w:lineRule="auto"/>
        <w:ind w:firstLineChars="0"/>
        <w:contextualSpacing/>
      </w:pPr>
      <w:r>
        <w:t>不同供应商的响应保证金支付款为从同一单位或个人的账户转出。</w:t>
      </w:r>
    </w:p>
    <w:p w14:paraId="42DD88F2">
      <w:pPr>
        <w:pStyle w:val="74"/>
        <w:numPr>
          <w:ilvl w:val="3"/>
          <w:numId w:val="64"/>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70"/>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70"/>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70"/>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70"/>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70"/>
        </w:numPr>
        <w:snapToGrid w:val="0"/>
        <w:spacing w:line="360" w:lineRule="auto"/>
        <w:ind w:left="442" w:hanging="442" w:firstLineChars="0"/>
        <w:contextualSpacing/>
      </w:pPr>
      <w:r>
        <w:t>供应商之间事先约定由某一特定供应商成交；</w:t>
      </w:r>
    </w:p>
    <w:p w14:paraId="66B44421">
      <w:pPr>
        <w:pStyle w:val="70"/>
        <w:numPr>
          <w:ilvl w:val="0"/>
          <w:numId w:val="70"/>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70"/>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64"/>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64"/>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71"/>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72"/>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72"/>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72"/>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w:t>
      </w:r>
      <w:r>
        <w:rPr>
          <w:rFonts w:ascii="宋体" w:hAnsi="宋体"/>
          <w:color w:val="auto"/>
        </w:rPr>
        <w:t>购预算</w:t>
      </w:r>
      <w:r>
        <w:rPr>
          <w:rFonts w:hint="eastAsia" w:ascii="宋体" w:hAnsi="宋体"/>
          <w:color w:val="auto"/>
        </w:rPr>
        <w:t>（或最高限价）</w:t>
      </w:r>
      <w:r>
        <w:rPr>
          <w:rFonts w:ascii="宋体" w:hAnsi="宋体"/>
          <w:color w:val="auto"/>
        </w:rPr>
        <w:t>的供应商</w:t>
      </w:r>
      <w:r>
        <w:rPr>
          <w:rFonts w:ascii="宋体" w:hAnsi="宋体"/>
        </w:rPr>
        <w:t>不足3家的；</w:t>
      </w:r>
    </w:p>
    <w:p w14:paraId="79CFF447">
      <w:pPr>
        <w:pStyle w:val="70"/>
        <w:numPr>
          <w:ilvl w:val="0"/>
          <w:numId w:val="72"/>
        </w:numPr>
        <w:snapToGrid w:val="0"/>
        <w:spacing w:line="360" w:lineRule="auto"/>
        <w:ind w:left="567" w:hanging="567" w:firstLineChars="0"/>
        <w:contextualSpacing/>
      </w:pPr>
      <w:r>
        <w:t>法律、法规以及磋商文件规定其他情形。</w:t>
      </w:r>
    </w:p>
    <w:p w14:paraId="39DB4BE4">
      <w:pPr>
        <w:pStyle w:val="74"/>
        <w:numPr>
          <w:ilvl w:val="3"/>
          <w:numId w:val="64"/>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64"/>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73"/>
        </w:numPr>
        <w:snapToGrid w:val="0"/>
        <w:spacing w:line="360" w:lineRule="auto"/>
        <w:ind w:firstLineChars="0"/>
        <w:contextualSpacing/>
      </w:pPr>
      <w:r>
        <w:rPr>
          <w:rFonts w:hint="eastAsia"/>
        </w:rPr>
        <w:t>对报价的计算错误按以下原则修正：</w:t>
      </w:r>
    </w:p>
    <w:p w14:paraId="03CEC0A6">
      <w:pPr>
        <w:pStyle w:val="70"/>
        <w:numPr>
          <w:ilvl w:val="0"/>
          <w:numId w:val="74"/>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74"/>
        </w:numPr>
        <w:snapToGrid w:val="0"/>
        <w:spacing w:line="360" w:lineRule="auto"/>
        <w:ind w:left="709" w:hanging="709" w:firstLineChars="0"/>
        <w:contextualSpacing/>
      </w:pPr>
      <w:r>
        <w:t>大写金额和小写金额不一致的，以大写金额为准；</w:t>
      </w:r>
    </w:p>
    <w:p w14:paraId="7ED2C147">
      <w:pPr>
        <w:pStyle w:val="70"/>
        <w:numPr>
          <w:ilvl w:val="0"/>
          <w:numId w:val="74"/>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74"/>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63"/>
        </w:numPr>
        <w:snapToGrid w:val="0"/>
        <w:spacing w:line="360" w:lineRule="auto"/>
        <w:ind w:left="442" w:hanging="442" w:firstLineChars="0"/>
        <w:contextualSpacing/>
        <w:rPr>
          <w:rFonts w:asciiTheme="minorEastAsia" w:hAnsiTheme="minorEastAsia"/>
          <w:b/>
          <w:bCs/>
          <w:color w:val="auto"/>
          <w:szCs w:val="21"/>
        </w:rPr>
      </w:pPr>
      <w:r>
        <w:rPr>
          <w:b/>
          <w:bCs/>
        </w:rPr>
        <w:t>采购</w:t>
      </w:r>
      <w:r>
        <w:rPr>
          <w:b/>
          <w:bCs/>
          <w:color w:val="auto"/>
        </w:rPr>
        <w:t>政策</w:t>
      </w:r>
    </w:p>
    <w:p w14:paraId="2E3716F7">
      <w:pPr>
        <w:pStyle w:val="70"/>
        <w:numPr>
          <w:ilvl w:val="1"/>
          <w:numId w:val="75"/>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对小型或微型企业响应的扶持</w:t>
      </w:r>
    </w:p>
    <w:p w14:paraId="1278C518">
      <w:pPr>
        <w:pStyle w:val="70"/>
        <w:numPr>
          <w:ilvl w:val="0"/>
          <w:numId w:val="76"/>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bCs/>
          <w:color w:val="auto"/>
          <w:szCs w:val="21"/>
          <w:lang w:val="en-US" w:eastAsia="zh-CN"/>
        </w:rPr>
        <w:t>参照</w:t>
      </w:r>
      <w:r>
        <w:rPr>
          <w:rFonts w:hint="eastAsia" w:asciiTheme="minorEastAsia" w:hAnsiTheme="minorEastAsia" w:eastAsiaTheme="minorEastAsia"/>
          <w:bCs/>
          <w:color w:val="auto"/>
          <w:szCs w:val="21"/>
        </w:rPr>
        <w:t>财政部、工业和信息化部制定《政府采购促进中小企业发展管理办法》的规定，对小微企业报价给予</w:t>
      </w:r>
      <w:r>
        <w:rPr>
          <w:rFonts w:asciiTheme="minorEastAsia" w:hAnsiTheme="minorEastAsia" w:eastAsiaTheme="minorEastAsia"/>
          <w:bCs/>
          <w:color w:val="auto"/>
          <w:szCs w:val="21"/>
        </w:rPr>
        <w:t>10</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（详见磋商文件第六章响应文件格式）</w:t>
      </w:r>
    </w:p>
    <w:p w14:paraId="3E2DE882">
      <w:pPr>
        <w:numPr>
          <w:ilvl w:val="1"/>
          <w:numId w:val="75"/>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numPr>
          <w:ilvl w:val="0"/>
          <w:numId w:val="77"/>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11FB98A0">
      <w:pPr>
        <w:numPr>
          <w:ilvl w:val="1"/>
          <w:numId w:val="75"/>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numPr>
          <w:ilvl w:val="0"/>
          <w:numId w:val="78"/>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w:t>
      </w:r>
      <w:r>
        <w:rPr>
          <w:rFonts w:asciiTheme="minorEastAsia" w:hAnsiTheme="minorEastAsia" w:eastAsiaTheme="minorEastAsia" w:cstheme="minorBidi"/>
          <w:bCs/>
          <w:color w:val="auto"/>
          <w:szCs w:val="21"/>
        </w:rPr>
        <w:t>惠，用扣除后的价格作为其参与评审的价格。参加采购活动的残疾人福利性单位应当提供《残疾人福利性单位声明函》</w:t>
      </w:r>
      <w:r>
        <w:rPr>
          <w:rFonts w:hint="eastAsia" w:asciiTheme="minorEastAsia" w:hAnsiTheme="minorEastAsia" w:eastAsiaTheme="minorEastAsia" w:cstheme="minorBidi"/>
          <w:bCs/>
          <w:color w:val="auto"/>
          <w:szCs w:val="21"/>
        </w:rPr>
        <w:t>。（详见磋商文件第六章响应文件格式）</w:t>
      </w:r>
    </w:p>
    <w:p w14:paraId="2FE4223E">
      <w:pPr>
        <w:numPr>
          <w:ilvl w:val="1"/>
          <w:numId w:val="75"/>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75"/>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75"/>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75"/>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4E67B586">
      <w:pPr>
        <w:pStyle w:val="70"/>
        <w:numPr>
          <w:ilvl w:val="0"/>
          <w:numId w:val="79"/>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BABAC98">
      <w:pPr>
        <w:numPr>
          <w:ilvl w:val="0"/>
          <w:numId w:val="79"/>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numPr>
          <w:ilvl w:val="1"/>
          <w:numId w:val="75"/>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4202B7EE">
      <w:pPr>
        <w:pStyle w:val="32"/>
        <w:numPr>
          <w:ilvl w:val="0"/>
          <w:numId w:val="80"/>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0D50A15D">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694B29B3">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038BABB8">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204776B5">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1082" w:type="pct"/>
            <w:vAlign w:val="center"/>
          </w:tcPr>
          <w:p w14:paraId="1678F552">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10</w:t>
            </w:r>
            <w:r>
              <w:rPr>
                <w:rFonts w:hint="eastAsia" w:asciiTheme="minorEastAsia" w:hAnsiTheme="minorEastAsia" w:eastAsiaTheme="minorEastAsia"/>
                <w:color w:val="auto"/>
              </w:rPr>
              <w:t>%</w:t>
            </w:r>
          </w:p>
        </w:tc>
        <w:tc>
          <w:tcPr>
            <w:tcW w:w="1081" w:type="pct"/>
            <w:vAlign w:val="center"/>
          </w:tcPr>
          <w:p w14:paraId="3968121F">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1081" w:type="pct"/>
            <w:vAlign w:val="center"/>
          </w:tcPr>
          <w:p w14:paraId="688C061A">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lang w:val="en-US" w:eastAsia="zh-CN"/>
              </w:rPr>
              <w:t>60</w:t>
            </w:r>
            <w:r>
              <w:rPr>
                <w:rFonts w:hint="eastAsia" w:asciiTheme="minorEastAsia" w:hAnsiTheme="minorEastAsia" w:eastAsiaTheme="minorEastAsia"/>
                <w:color w:val="auto"/>
              </w:rPr>
              <w:t>%</w:t>
            </w:r>
          </w:p>
        </w:tc>
        <w:tc>
          <w:tcPr>
            <w:tcW w:w="780" w:type="pct"/>
          </w:tcPr>
          <w:p w14:paraId="5ED3014A">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100</w:t>
            </w:r>
            <w:r>
              <w:rPr>
                <w:rFonts w:hint="eastAsia" w:asciiTheme="minorEastAsia" w:hAnsiTheme="minorEastAsia" w:eastAsiaTheme="minorEastAsia"/>
                <w:color w:val="auto"/>
              </w:rPr>
              <w:t>%</w:t>
            </w:r>
          </w:p>
        </w:tc>
      </w:tr>
    </w:tbl>
    <w:p w14:paraId="7C8730FE">
      <w:pPr>
        <w:pStyle w:val="32"/>
        <w:numPr>
          <w:ilvl w:val="0"/>
          <w:numId w:val="81"/>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9"/>
        <w:rPr>
          <w:rFonts w:hint="default"/>
          <w:b/>
          <w:sz w:val="24"/>
        </w:rPr>
      </w:pPr>
    </w:p>
    <w:p w14:paraId="530094F9">
      <w:pPr>
        <w:pStyle w:val="70"/>
        <w:numPr>
          <w:ilvl w:val="0"/>
          <w:numId w:val="63"/>
        </w:numPr>
        <w:snapToGrid w:val="0"/>
        <w:spacing w:line="360" w:lineRule="auto"/>
        <w:ind w:left="442" w:hanging="442" w:firstLineChars="0"/>
        <w:contextualSpacing/>
      </w:pPr>
      <w:r>
        <w:rPr>
          <w:b/>
          <w:bCs/>
        </w:rPr>
        <w:t>评审程序</w:t>
      </w:r>
    </w:p>
    <w:p w14:paraId="585FF1BE">
      <w:pPr>
        <w:pStyle w:val="74"/>
        <w:numPr>
          <w:ilvl w:val="0"/>
          <w:numId w:val="82"/>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83"/>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83"/>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kern w:val="0"/>
                <w:szCs w:val="21"/>
                <w:lang w:eastAsia="zh-Hans"/>
              </w:rPr>
            </w:pPr>
            <w:r>
              <w:rPr>
                <w:rFonts w:hint="eastAsia"/>
                <w:bCs/>
                <w:kern w:val="0"/>
                <w:szCs w:val="21"/>
              </w:rPr>
              <w:t>提</w:t>
            </w:r>
            <w:r>
              <w:rPr>
                <w:rFonts w:hint="eastAsia"/>
                <w:bCs/>
                <w:color w:val="auto"/>
                <w:kern w:val="0"/>
                <w:szCs w:val="21"/>
              </w:rPr>
              <w:t>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w:t>
            </w:r>
            <w:r>
              <w:rPr>
                <w:bCs/>
                <w:kern w:val="0"/>
                <w:szCs w:val="21"/>
              </w:rPr>
              <w:t>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响应文件中提供《资格条件承诺函》，格式详见磋商文件《资格条件承诺函》。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提供资格条件承诺函（详见响应文件格式）。</w:t>
            </w: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无</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w:t>
            </w:r>
            <w:r>
              <w:rPr>
                <w:rFonts w:hint="eastAsia" w:ascii="宋体" w:hAnsi="宋体"/>
                <w:kern w:val="0"/>
                <w:szCs w:val="21"/>
                <w:lang w:val="en-US" w:eastAsia="zh-CN"/>
              </w:rPr>
              <w:t>响应</w:t>
            </w:r>
            <w:r>
              <w:rPr>
                <w:rFonts w:hint="eastAsia" w:ascii="宋体" w:hAnsi="宋体"/>
                <w:kern w:val="0"/>
                <w:szCs w:val="21"/>
                <w:lang w:eastAsia="zh-Hans"/>
              </w:rPr>
              <w:t>。为本项目提供整体设计、规范编制或者项目管理、监理、检测等服务的供应商，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b w:val="0"/>
                <w:bCs w:val="0"/>
                <w:color w:val="auto"/>
                <w:kern w:val="0"/>
                <w:szCs w:val="21"/>
              </w:rPr>
            </w:pPr>
            <w:r>
              <w:rPr>
                <w:rFonts w:hint="eastAsia" w:ascii="宋体" w:hAnsi="宋体"/>
                <w:b w:val="0"/>
                <w:bCs w:val="0"/>
                <w:color w:val="auto"/>
                <w:kern w:val="0"/>
                <w:szCs w:val="21"/>
              </w:rPr>
              <w:t>3.3</w:t>
            </w:r>
          </w:p>
        </w:tc>
        <w:tc>
          <w:tcPr>
            <w:tcW w:w="1381" w:type="pct"/>
            <w:vAlign w:val="center"/>
          </w:tcPr>
          <w:p w14:paraId="619A8AB7">
            <w:pPr>
              <w:widowControl/>
              <w:snapToGrid w:val="0"/>
              <w:spacing w:line="360" w:lineRule="auto"/>
              <w:contextualSpacing/>
              <w:rPr>
                <w:rFonts w:ascii="宋体" w:hAnsi="宋体"/>
                <w:b w:val="0"/>
                <w:bCs w:val="0"/>
                <w:color w:val="auto"/>
                <w:kern w:val="0"/>
                <w:szCs w:val="21"/>
              </w:rPr>
            </w:pPr>
            <w:r>
              <w:rPr>
                <w:rFonts w:hint="eastAsia" w:ascii="宋体" w:hAnsi="宋体"/>
                <w:b w:val="0"/>
                <w:bCs w:val="0"/>
                <w:color w:val="auto"/>
                <w:kern w:val="0"/>
                <w:szCs w:val="21"/>
                <w:lang w:eastAsia="zh-Hans"/>
              </w:rPr>
              <w:t>其他特定资格要求：</w:t>
            </w:r>
          </w:p>
        </w:tc>
        <w:tc>
          <w:tcPr>
            <w:tcW w:w="3159" w:type="pct"/>
            <w:vAlign w:val="center"/>
          </w:tcPr>
          <w:p w14:paraId="00C88818">
            <w:pPr>
              <w:widowControl/>
              <w:snapToGrid w:val="0"/>
              <w:spacing w:line="360" w:lineRule="auto"/>
              <w:contextualSpacing/>
              <w:rPr>
                <w:rFonts w:ascii="宋体" w:hAnsi="宋体"/>
                <w:b w:val="0"/>
                <w:bCs w:val="0"/>
                <w:color w:val="auto"/>
                <w:kern w:val="0"/>
                <w:szCs w:val="21"/>
                <w:lang w:eastAsia="zh-Hans"/>
              </w:rPr>
            </w:pPr>
            <w:r>
              <w:rPr>
                <w:rFonts w:hint="eastAsia" w:ascii="宋体" w:hAnsi="宋体"/>
                <w:b w:val="0"/>
                <w:bCs w:val="0"/>
                <w:color w:val="auto"/>
                <w:kern w:val="0"/>
                <w:szCs w:val="21"/>
                <w:lang w:eastAsia="zh-Hans"/>
              </w:rPr>
              <w:t>供应商必须为经中国银行保险监督管理委员会及其授权的派出机构批准在中华人民共和国境内设立和营业并依法被核定许可经营机动车保险业务的保险机构，供应商为保险公司及其分支机构的须提供在有效期内的《保险许可证》复印件加盖供应商公章。</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82"/>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84"/>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84"/>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84"/>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84"/>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82"/>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85"/>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85"/>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85"/>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85"/>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82"/>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86"/>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86"/>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86"/>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82"/>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184"/>
        <w:gridCol w:w="750"/>
        <w:gridCol w:w="6653"/>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376" w:type="pct"/>
            <w:vAlign w:val="center"/>
          </w:tcPr>
          <w:p w14:paraId="326E4030">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b/>
                <w:color w:val="000000"/>
                <w:szCs w:val="21"/>
              </w:rPr>
            </w:pPr>
            <w:bookmarkStart w:id="36" w:name="_Hlk169889554"/>
            <w:r>
              <w:rPr>
                <w:rFonts w:hint="eastAsia" w:ascii="宋体" w:hAnsi="宋体"/>
                <w:b/>
                <w:color w:val="000000"/>
                <w:szCs w:val="21"/>
              </w:rPr>
              <w:t>序号</w:t>
            </w:r>
          </w:p>
        </w:tc>
        <w:tc>
          <w:tcPr>
            <w:tcW w:w="637" w:type="pct"/>
            <w:vAlign w:val="center"/>
          </w:tcPr>
          <w:p w14:paraId="4AA13D44">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b/>
                <w:color w:val="000000"/>
                <w:szCs w:val="21"/>
              </w:rPr>
            </w:pPr>
            <w:r>
              <w:rPr>
                <w:rFonts w:hint="eastAsia" w:ascii="宋体" w:hAnsi="宋体"/>
                <w:b/>
                <w:color w:val="000000"/>
                <w:szCs w:val="21"/>
              </w:rPr>
              <w:t>评分内容</w:t>
            </w:r>
          </w:p>
        </w:tc>
        <w:tc>
          <w:tcPr>
            <w:tcW w:w="403" w:type="pct"/>
            <w:vAlign w:val="center"/>
          </w:tcPr>
          <w:p w14:paraId="26B82CA7">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b/>
                <w:color w:val="000000"/>
                <w:szCs w:val="21"/>
              </w:rPr>
            </w:pPr>
            <w:r>
              <w:rPr>
                <w:rFonts w:hint="eastAsia" w:ascii="宋体" w:hAnsi="宋体"/>
                <w:b/>
                <w:color w:val="000000"/>
                <w:szCs w:val="21"/>
              </w:rPr>
              <w:t>分值</w:t>
            </w:r>
          </w:p>
        </w:tc>
        <w:tc>
          <w:tcPr>
            <w:tcW w:w="3582" w:type="pct"/>
            <w:vAlign w:val="center"/>
          </w:tcPr>
          <w:p w14:paraId="0295B912">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b/>
                <w:color w:val="000000"/>
                <w:szCs w:val="21"/>
              </w:rPr>
            </w:pPr>
            <w:r>
              <w:rPr>
                <w:rFonts w:hint="eastAsia" w:ascii="宋体" w:hAnsi="宋体"/>
                <w:b/>
                <w:color w:val="000000"/>
                <w:szCs w:val="21"/>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4"/>
            <w:vAlign w:val="center"/>
          </w:tcPr>
          <w:p w14:paraId="502F02AA">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b/>
                <w:color w:val="000000"/>
                <w:szCs w:val="21"/>
              </w:rPr>
            </w:pPr>
            <w:r>
              <w:rPr>
                <w:rFonts w:hint="eastAsia" w:ascii="宋体" w:hAnsi="宋体"/>
                <w:b/>
                <w:color w:val="000000"/>
                <w:szCs w:val="21"/>
              </w:rPr>
              <w:t>商务评审细则（</w:t>
            </w:r>
            <w:r>
              <w:rPr>
                <w:rFonts w:hint="eastAsia" w:ascii="宋体" w:hAnsi="宋体"/>
                <w:b/>
                <w:color w:val="000000"/>
                <w:szCs w:val="21"/>
                <w:lang w:val="en-US" w:eastAsia="zh-CN"/>
              </w:rPr>
              <w:t>30</w:t>
            </w:r>
            <w:r>
              <w:rPr>
                <w:rFonts w:hint="eastAsia" w:ascii="宋体" w:hAnsi="宋体"/>
                <w:b/>
                <w:color w:val="000000"/>
                <w:szCs w:val="21"/>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76" w:type="pct"/>
            <w:vAlign w:val="center"/>
          </w:tcPr>
          <w:p w14:paraId="4DEA2D98">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rPr>
              <w:t>1</w:t>
            </w:r>
          </w:p>
        </w:tc>
        <w:tc>
          <w:tcPr>
            <w:tcW w:w="637" w:type="pct"/>
            <w:vAlign w:val="center"/>
          </w:tcPr>
          <w:p w14:paraId="2BE3EF0B">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宋体" w:hAnsi="宋体" w:eastAsia="宋体"/>
                <w:bCs/>
                <w:color w:val="000000"/>
                <w:szCs w:val="21"/>
                <w:lang w:val="en-US" w:eastAsia="zh-CN"/>
              </w:rPr>
            </w:pPr>
            <w:r>
              <w:rPr>
                <w:rFonts w:hint="eastAsia" w:ascii="宋体" w:hAnsi="宋体"/>
                <w:bCs/>
                <w:color w:val="000000"/>
                <w:szCs w:val="21"/>
                <w:lang w:val="en-US" w:eastAsia="zh-CN"/>
              </w:rPr>
              <w:t>现场查勘时效承诺</w:t>
            </w:r>
          </w:p>
        </w:tc>
        <w:tc>
          <w:tcPr>
            <w:tcW w:w="403" w:type="pct"/>
            <w:vAlign w:val="center"/>
          </w:tcPr>
          <w:p w14:paraId="62565621">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Cs/>
                <w:color w:val="000000"/>
                <w:szCs w:val="21"/>
              </w:rPr>
            </w:pPr>
            <w:r>
              <w:rPr>
                <w:rFonts w:hint="eastAsia" w:ascii="宋体" w:hAnsi="宋体"/>
                <w:bCs/>
                <w:color w:val="000000"/>
                <w:szCs w:val="21"/>
                <w:lang w:val="en-US" w:eastAsia="zh-CN"/>
              </w:rPr>
              <w:t>4</w:t>
            </w:r>
            <w:r>
              <w:rPr>
                <w:rFonts w:hint="eastAsia" w:ascii="宋体" w:hAnsi="宋体"/>
                <w:bCs/>
                <w:color w:val="000000"/>
                <w:szCs w:val="21"/>
              </w:rPr>
              <w:t>分</w:t>
            </w:r>
          </w:p>
        </w:tc>
        <w:tc>
          <w:tcPr>
            <w:tcW w:w="3582" w:type="pct"/>
            <w:vAlign w:val="center"/>
          </w:tcPr>
          <w:p w14:paraId="2E7D5711">
            <w:pPr>
              <w:keepNext w:val="0"/>
              <w:keepLines w:val="0"/>
              <w:pageBreakBefore w:val="0"/>
              <w:kinsoku/>
              <w:wordWrap/>
              <w:overflowPunct/>
              <w:topLinePunct w:val="0"/>
              <w:autoSpaceDE/>
              <w:autoSpaceDN/>
              <w:bidi w:val="0"/>
              <w:adjustRightInd/>
              <w:snapToGrid w:val="0"/>
              <w:spacing w:line="360" w:lineRule="auto"/>
              <w:textAlignment w:val="auto"/>
              <w:rPr>
                <w:rFonts w:hint="default" w:ascii="宋体" w:hAnsi="宋体" w:eastAsia="宋体" w:cs="宋体"/>
                <w:b/>
                <w:bCs w:val="0"/>
                <w:color w:val="auto"/>
                <w:szCs w:val="21"/>
                <w:highlight w:val="none"/>
                <w:u w:val="none"/>
                <w:lang w:val="en-US" w:eastAsia="zh-CN"/>
              </w:rPr>
            </w:pPr>
            <w:r>
              <w:rPr>
                <w:rFonts w:hint="eastAsia" w:ascii="宋体" w:hAnsi="宋体" w:eastAsia="宋体" w:cs="宋体"/>
                <w:b/>
                <w:bCs w:val="0"/>
                <w:color w:val="auto"/>
                <w:szCs w:val="21"/>
                <w:highlight w:val="none"/>
                <w:u w:val="none"/>
                <w:lang w:val="en-US" w:eastAsia="zh-CN"/>
              </w:rPr>
              <w:t>根据响应供应商</w:t>
            </w:r>
            <w:r>
              <w:rPr>
                <w:rFonts w:hint="eastAsia" w:ascii="宋体" w:hAnsi="宋体" w:cs="宋体"/>
                <w:b/>
                <w:bCs w:val="0"/>
                <w:color w:val="auto"/>
                <w:szCs w:val="21"/>
                <w:highlight w:val="none"/>
                <w:u w:val="none"/>
                <w:lang w:val="en-US" w:eastAsia="zh-CN"/>
              </w:rPr>
              <w:t>提供的现场查勘时效承诺</w:t>
            </w:r>
            <w:r>
              <w:rPr>
                <w:rFonts w:hint="eastAsia" w:ascii="宋体" w:hAnsi="宋体" w:eastAsia="宋体" w:cs="宋体"/>
                <w:b/>
                <w:bCs w:val="0"/>
                <w:color w:val="auto"/>
                <w:szCs w:val="21"/>
                <w:highlight w:val="none"/>
                <w:u w:val="none"/>
                <w:lang w:val="en-US" w:eastAsia="zh-CN"/>
              </w:rPr>
              <w:t>进行评审：</w:t>
            </w:r>
          </w:p>
          <w:p w14:paraId="12CD1FE2">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lang w:val="en-US" w:eastAsia="zh-CN"/>
              </w:rPr>
              <w:t>1、供应商</w:t>
            </w:r>
            <w:r>
              <w:rPr>
                <w:rFonts w:hint="eastAsia" w:ascii="宋体" w:hAnsi="宋体" w:eastAsia="宋体" w:cs="宋体"/>
                <w:b w:val="0"/>
                <w:bCs/>
                <w:color w:val="auto"/>
                <w:szCs w:val="21"/>
                <w:highlight w:val="none"/>
                <w:u w:val="none"/>
              </w:rPr>
              <w:t>承诺在接到采购人通知后</w:t>
            </w:r>
            <w:r>
              <w:rPr>
                <w:rFonts w:hint="eastAsia" w:ascii="宋体" w:hAnsi="宋体" w:cs="宋体"/>
                <w:b w:val="0"/>
                <w:bCs/>
                <w:color w:val="auto"/>
                <w:szCs w:val="21"/>
                <w:highlight w:val="none"/>
                <w:u w:val="none"/>
                <w:lang w:val="en-US" w:eastAsia="zh-CN"/>
              </w:rPr>
              <w:t>5分钟内</w:t>
            </w:r>
            <w:r>
              <w:rPr>
                <w:rFonts w:hint="eastAsia" w:ascii="宋体" w:hAnsi="宋体" w:eastAsia="宋体" w:cs="宋体"/>
                <w:b w:val="0"/>
                <w:bCs/>
                <w:color w:val="auto"/>
                <w:szCs w:val="21"/>
                <w:highlight w:val="none"/>
                <w:u w:val="none"/>
              </w:rPr>
              <w:t>响应</w:t>
            </w:r>
            <w:r>
              <w:rPr>
                <w:rFonts w:hint="eastAsia" w:ascii="宋体" w:hAnsi="宋体" w:cs="宋体"/>
                <w:b w:val="0"/>
                <w:bCs/>
                <w:color w:val="auto"/>
                <w:szCs w:val="21"/>
                <w:highlight w:val="none"/>
                <w:u w:val="none"/>
                <w:lang w:val="en-US" w:eastAsia="zh-CN"/>
              </w:rPr>
              <w:t>30</w:t>
            </w:r>
            <w:r>
              <w:rPr>
                <w:rFonts w:hint="eastAsia" w:ascii="宋体" w:hAnsi="宋体" w:eastAsia="宋体" w:cs="宋体"/>
                <w:b w:val="0"/>
                <w:bCs/>
                <w:color w:val="auto"/>
                <w:szCs w:val="21"/>
                <w:highlight w:val="none"/>
                <w:u w:val="none"/>
                <w:lang w:val="en-US" w:eastAsia="zh-CN"/>
              </w:rPr>
              <w:t>分钟（含）</w:t>
            </w:r>
            <w:r>
              <w:rPr>
                <w:rFonts w:hint="eastAsia" w:ascii="宋体" w:hAnsi="宋体" w:eastAsia="宋体" w:cs="宋体"/>
                <w:b w:val="0"/>
                <w:bCs/>
                <w:color w:val="auto"/>
                <w:szCs w:val="21"/>
                <w:highlight w:val="none"/>
                <w:u w:val="none"/>
              </w:rPr>
              <w:t>内到达现场的，得</w:t>
            </w:r>
            <w:r>
              <w:rPr>
                <w:rFonts w:hint="eastAsia" w:ascii="宋体" w:hAnsi="宋体" w:cs="宋体"/>
                <w:b w:val="0"/>
                <w:bCs/>
                <w:color w:val="auto"/>
                <w:szCs w:val="21"/>
                <w:highlight w:val="none"/>
                <w:u w:val="none"/>
                <w:lang w:val="en-US" w:eastAsia="zh-CN"/>
              </w:rPr>
              <w:t>4</w:t>
            </w:r>
            <w:r>
              <w:rPr>
                <w:rFonts w:hint="eastAsia" w:ascii="宋体" w:hAnsi="宋体" w:eastAsia="宋体" w:cs="宋体"/>
                <w:b w:val="0"/>
                <w:bCs/>
                <w:color w:val="auto"/>
                <w:szCs w:val="21"/>
                <w:highlight w:val="none"/>
                <w:u w:val="none"/>
              </w:rPr>
              <w:t>分；</w:t>
            </w:r>
          </w:p>
          <w:p w14:paraId="6113785B">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lang w:val="en-US" w:eastAsia="zh-CN"/>
              </w:rPr>
              <w:t>2、供应商</w:t>
            </w:r>
            <w:r>
              <w:rPr>
                <w:rFonts w:hint="eastAsia" w:ascii="宋体" w:hAnsi="宋体" w:eastAsia="宋体" w:cs="宋体"/>
                <w:b w:val="0"/>
                <w:bCs/>
                <w:color w:val="auto"/>
                <w:szCs w:val="21"/>
                <w:highlight w:val="none"/>
                <w:u w:val="none"/>
              </w:rPr>
              <w:t>承诺在接到采购人通知后</w:t>
            </w:r>
            <w:r>
              <w:rPr>
                <w:rFonts w:hint="eastAsia" w:ascii="宋体" w:hAnsi="宋体" w:cs="宋体"/>
                <w:b w:val="0"/>
                <w:bCs/>
                <w:color w:val="auto"/>
                <w:szCs w:val="21"/>
                <w:highlight w:val="none"/>
                <w:u w:val="none"/>
                <w:lang w:val="en-US" w:eastAsia="zh-CN"/>
              </w:rPr>
              <w:t>5分钟内</w:t>
            </w:r>
            <w:r>
              <w:rPr>
                <w:rFonts w:hint="eastAsia" w:ascii="宋体" w:hAnsi="宋体" w:eastAsia="宋体" w:cs="宋体"/>
                <w:b w:val="0"/>
                <w:bCs/>
                <w:color w:val="auto"/>
                <w:szCs w:val="21"/>
                <w:highlight w:val="none"/>
                <w:u w:val="none"/>
              </w:rPr>
              <w:t>响应</w:t>
            </w:r>
            <w:r>
              <w:rPr>
                <w:rFonts w:hint="eastAsia" w:ascii="宋体" w:hAnsi="宋体" w:cs="宋体"/>
                <w:b w:val="0"/>
                <w:bCs/>
                <w:color w:val="auto"/>
                <w:szCs w:val="21"/>
                <w:highlight w:val="none"/>
                <w:u w:val="none"/>
                <w:lang w:val="en-US" w:eastAsia="zh-CN"/>
              </w:rPr>
              <w:t>35分钟</w:t>
            </w:r>
            <w:r>
              <w:rPr>
                <w:rFonts w:hint="eastAsia" w:ascii="宋体" w:hAnsi="宋体" w:eastAsia="宋体" w:cs="宋体"/>
                <w:b w:val="0"/>
                <w:bCs/>
                <w:color w:val="auto"/>
                <w:szCs w:val="21"/>
                <w:highlight w:val="none"/>
                <w:u w:val="none"/>
                <w:lang w:val="en-US" w:eastAsia="zh-CN"/>
              </w:rPr>
              <w:t>（含）</w:t>
            </w:r>
            <w:r>
              <w:rPr>
                <w:rFonts w:hint="eastAsia" w:ascii="宋体" w:hAnsi="宋体" w:eastAsia="宋体" w:cs="宋体"/>
                <w:b w:val="0"/>
                <w:bCs/>
                <w:color w:val="auto"/>
                <w:szCs w:val="21"/>
                <w:highlight w:val="none"/>
                <w:u w:val="none"/>
              </w:rPr>
              <w:t>内到达现场的，得</w:t>
            </w:r>
            <w:r>
              <w:rPr>
                <w:rFonts w:hint="eastAsia" w:ascii="宋体" w:hAnsi="宋体" w:cs="宋体"/>
                <w:b w:val="0"/>
                <w:bCs/>
                <w:color w:val="auto"/>
                <w:szCs w:val="21"/>
                <w:highlight w:val="none"/>
                <w:u w:val="none"/>
                <w:lang w:val="en-US" w:eastAsia="zh-CN"/>
              </w:rPr>
              <w:t>2</w:t>
            </w:r>
            <w:r>
              <w:rPr>
                <w:rFonts w:hint="eastAsia" w:ascii="宋体" w:hAnsi="宋体" w:eastAsia="宋体" w:cs="宋体"/>
                <w:b w:val="0"/>
                <w:bCs/>
                <w:color w:val="auto"/>
                <w:szCs w:val="21"/>
                <w:highlight w:val="none"/>
                <w:u w:val="none"/>
              </w:rPr>
              <w:t>分；</w:t>
            </w:r>
          </w:p>
          <w:p w14:paraId="4AA17F94">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lang w:val="en-US" w:eastAsia="zh-CN"/>
              </w:rPr>
              <w:t>3、供应商</w:t>
            </w:r>
            <w:r>
              <w:rPr>
                <w:rFonts w:hint="eastAsia" w:ascii="宋体" w:hAnsi="宋体" w:eastAsia="宋体" w:cs="宋体"/>
                <w:b w:val="0"/>
                <w:bCs/>
                <w:color w:val="auto"/>
                <w:szCs w:val="21"/>
                <w:highlight w:val="none"/>
                <w:u w:val="none"/>
              </w:rPr>
              <w:t>承诺在接到采购人通知后</w:t>
            </w:r>
            <w:r>
              <w:rPr>
                <w:rFonts w:hint="eastAsia" w:ascii="宋体" w:hAnsi="宋体" w:cs="宋体"/>
                <w:b w:val="0"/>
                <w:bCs/>
                <w:color w:val="auto"/>
                <w:szCs w:val="21"/>
                <w:highlight w:val="none"/>
                <w:u w:val="none"/>
                <w:lang w:val="en-US" w:eastAsia="zh-CN"/>
              </w:rPr>
              <w:t>5分钟内</w:t>
            </w:r>
            <w:r>
              <w:rPr>
                <w:rFonts w:hint="eastAsia" w:ascii="宋体" w:hAnsi="宋体" w:eastAsia="宋体" w:cs="宋体"/>
                <w:b w:val="0"/>
                <w:bCs/>
                <w:color w:val="auto"/>
                <w:szCs w:val="21"/>
                <w:highlight w:val="none"/>
                <w:u w:val="none"/>
              </w:rPr>
              <w:t>响应</w:t>
            </w:r>
            <w:r>
              <w:rPr>
                <w:rFonts w:hint="eastAsia" w:ascii="宋体" w:hAnsi="宋体" w:cs="宋体"/>
                <w:b w:val="0"/>
                <w:bCs/>
                <w:color w:val="auto"/>
                <w:szCs w:val="21"/>
                <w:highlight w:val="none"/>
                <w:u w:val="none"/>
                <w:lang w:val="en-US" w:eastAsia="zh-CN"/>
              </w:rPr>
              <w:t>40分钟</w:t>
            </w:r>
            <w:r>
              <w:rPr>
                <w:rFonts w:hint="eastAsia" w:ascii="宋体" w:hAnsi="宋体" w:eastAsia="宋体" w:cs="宋体"/>
                <w:b w:val="0"/>
                <w:bCs/>
                <w:color w:val="auto"/>
                <w:szCs w:val="21"/>
                <w:highlight w:val="none"/>
                <w:u w:val="none"/>
                <w:lang w:val="en-US" w:eastAsia="zh-CN"/>
              </w:rPr>
              <w:t>（含）</w:t>
            </w:r>
            <w:r>
              <w:rPr>
                <w:rFonts w:hint="eastAsia" w:ascii="宋体" w:hAnsi="宋体" w:eastAsia="宋体" w:cs="宋体"/>
                <w:b w:val="0"/>
                <w:bCs/>
                <w:color w:val="auto"/>
                <w:szCs w:val="21"/>
                <w:highlight w:val="none"/>
                <w:u w:val="none"/>
              </w:rPr>
              <w:t>内到达现场的，得</w:t>
            </w:r>
            <w:r>
              <w:rPr>
                <w:rFonts w:hint="eastAsia" w:ascii="宋体" w:hAnsi="宋体" w:eastAsia="宋体" w:cs="宋体"/>
                <w:b w:val="0"/>
                <w:bCs/>
                <w:color w:val="auto"/>
                <w:szCs w:val="21"/>
                <w:highlight w:val="none"/>
                <w:u w:val="none"/>
                <w:lang w:val="en-US" w:eastAsia="zh-CN"/>
              </w:rPr>
              <w:t>1</w:t>
            </w:r>
            <w:r>
              <w:rPr>
                <w:rFonts w:hint="eastAsia" w:ascii="宋体" w:hAnsi="宋体" w:eastAsia="宋体" w:cs="宋体"/>
                <w:b w:val="0"/>
                <w:bCs/>
                <w:color w:val="auto"/>
                <w:szCs w:val="21"/>
                <w:highlight w:val="none"/>
                <w:u w:val="none"/>
              </w:rPr>
              <w:t>分</w:t>
            </w:r>
            <w:r>
              <w:rPr>
                <w:rFonts w:hint="eastAsia" w:ascii="宋体" w:hAnsi="宋体" w:eastAsia="宋体" w:cs="宋体"/>
                <w:b w:val="0"/>
                <w:bCs/>
                <w:color w:val="auto"/>
                <w:szCs w:val="21"/>
                <w:highlight w:val="none"/>
                <w:u w:val="none"/>
                <w:lang w:eastAsia="zh-CN"/>
              </w:rPr>
              <w:t>；</w:t>
            </w:r>
          </w:p>
          <w:p w14:paraId="6C6BC6D7">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lang w:val="en-US" w:eastAsia="zh-CN"/>
              </w:rPr>
            </w:pPr>
            <w:r>
              <w:rPr>
                <w:rFonts w:hint="eastAsia" w:ascii="宋体" w:hAnsi="宋体" w:eastAsia="宋体" w:cs="宋体"/>
                <w:b w:val="0"/>
                <w:bCs/>
                <w:color w:val="auto"/>
                <w:szCs w:val="21"/>
                <w:highlight w:val="none"/>
                <w:u w:val="none"/>
                <w:lang w:val="en-US" w:eastAsia="zh-CN"/>
              </w:rPr>
              <w:t>4、</w:t>
            </w:r>
            <w:r>
              <w:rPr>
                <w:rFonts w:hint="eastAsia" w:ascii="宋体" w:hAnsi="宋体" w:cs="宋体"/>
                <w:b w:val="0"/>
                <w:bCs/>
                <w:color w:val="auto"/>
                <w:szCs w:val="21"/>
                <w:highlight w:val="none"/>
                <w:u w:val="none"/>
                <w:lang w:val="en-US" w:eastAsia="zh-CN"/>
              </w:rPr>
              <w:t>未提供现场查勘时效承诺或</w:t>
            </w:r>
            <w:r>
              <w:rPr>
                <w:rFonts w:hint="eastAsia" w:ascii="宋体" w:hAnsi="宋体" w:eastAsia="宋体" w:cs="宋体"/>
                <w:b w:val="0"/>
                <w:bCs/>
                <w:color w:val="auto"/>
                <w:szCs w:val="21"/>
                <w:highlight w:val="none"/>
                <w:u w:val="none"/>
              </w:rPr>
              <w:t>其他</w:t>
            </w:r>
            <w:r>
              <w:rPr>
                <w:rFonts w:hint="eastAsia" w:ascii="宋体" w:hAnsi="宋体" w:eastAsia="宋体" w:cs="宋体"/>
                <w:b w:val="0"/>
                <w:bCs/>
                <w:color w:val="auto"/>
                <w:szCs w:val="21"/>
                <w:highlight w:val="none"/>
                <w:u w:val="none"/>
                <w:lang w:val="en-US" w:eastAsia="zh-CN"/>
              </w:rPr>
              <w:t>情形的，</w:t>
            </w:r>
            <w:r>
              <w:rPr>
                <w:rFonts w:hint="eastAsia" w:ascii="宋体" w:hAnsi="宋体" w:eastAsia="宋体" w:cs="宋体"/>
                <w:b w:val="0"/>
                <w:bCs/>
                <w:color w:val="auto"/>
                <w:szCs w:val="21"/>
                <w:highlight w:val="none"/>
                <w:u w:val="none"/>
              </w:rPr>
              <w:t>得</w:t>
            </w:r>
            <w:r>
              <w:rPr>
                <w:rFonts w:hint="eastAsia" w:ascii="宋体" w:hAnsi="宋体" w:eastAsia="宋体" w:cs="宋体"/>
                <w:b w:val="0"/>
                <w:bCs/>
                <w:color w:val="auto"/>
                <w:szCs w:val="21"/>
                <w:highlight w:val="none"/>
                <w:u w:val="none"/>
                <w:lang w:val="en-US" w:eastAsia="zh-CN"/>
              </w:rPr>
              <w:t>0</w:t>
            </w:r>
            <w:r>
              <w:rPr>
                <w:rFonts w:hint="eastAsia" w:ascii="宋体" w:hAnsi="宋体" w:eastAsia="宋体" w:cs="宋体"/>
                <w:b w:val="0"/>
                <w:bCs/>
                <w:color w:val="auto"/>
                <w:szCs w:val="21"/>
                <w:highlight w:val="none"/>
                <w:u w:val="none"/>
              </w:rPr>
              <w:t>分</w:t>
            </w:r>
            <w:r>
              <w:rPr>
                <w:rFonts w:hint="eastAsia" w:ascii="宋体" w:hAnsi="宋体" w:eastAsia="宋体" w:cs="宋体"/>
                <w:b w:val="0"/>
                <w:bCs/>
                <w:color w:val="auto"/>
                <w:szCs w:val="21"/>
                <w:highlight w:val="none"/>
                <w:u w:val="none"/>
                <w:lang w:eastAsia="zh-CN"/>
              </w:rPr>
              <w:t>。</w:t>
            </w:r>
          </w:p>
          <w:p w14:paraId="5D67444C">
            <w:pPr>
              <w:keepNext w:val="0"/>
              <w:keepLines w:val="0"/>
              <w:pageBreakBefore w:val="0"/>
              <w:kinsoku/>
              <w:wordWrap/>
              <w:overflowPunct/>
              <w:topLinePunct w:val="0"/>
              <w:autoSpaceDE/>
              <w:autoSpaceDN/>
              <w:bidi w:val="0"/>
              <w:adjustRightInd/>
              <w:snapToGrid w:val="0"/>
              <w:spacing w:line="360" w:lineRule="auto"/>
              <w:textAlignment w:val="auto"/>
              <w:rPr>
                <w:rFonts w:ascii="宋体" w:hAnsi="宋体"/>
                <w:b/>
                <w:bCs/>
                <w:color w:val="000000"/>
                <w:szCs w:val="21"/>
                <w:u w:val="single"/>
              </w:rPr>
            </w:pPr>
            <w:r>
              <w:rPr>
                <w:rFonts w:hint="eastAsia" w:ascii="宋体" w:hAnsi="宋体" w:eastAsia="宋体" w:cs="宋体"/>
                <w:b/>
                <w:color w:val="auto"/>
                <w:szCs w:val="21"/>
                <w:highlight w:val="none"/>
                <w:u w:val="single"/>
              </w:rPr>
              <w:t>注：须提供单独</w:t>
            </w:r>
            <w:r>
              <w:rPr>
                <w:rFonts w:hint="eastAsia" w:ascii="宋体" w:hAnsi="宋体" w:cs="宋体"/>
                <w:b/>
                <w:color w:val="auto"/>
                <w:szCs w:val="21"/>
                <w:highlight w:val="none"/>
                <w:u w:val="single"/>
                <w:lang w:val="en-US" w:eastAsia="zh-CN"/>
              </w:rPr>
              <w:t>的</w:t>
            </w:r>
            <w:r>
              <w:rPr>
                <w:rFonts w:hint="eastAsia" w:ascii="宋体" w:hAnsi="宋体" w:eastAsia="宋体" w:cs="宋体"/>
                <w:b/>
                <w:color w:val="auto"/>
                <w:szCs w:val="21"/>
                <w:highlight w:val="none"/>
                <w:u w:val="single"/>
              </w:rPr>
              <w:t>承诺书并加盖</w:t>
            </w:r>
            <w:r>
              <w:rPr>
                <w:rFonts w:hint="eastAsia" w:ascii="宋体" w:hAnsi="宋体" w:eastAsia="宋体" w:cs="宋体"/>
                <w:b/>
                <w:color w:val="auto"/>
                <w:szCs w:val="21"/>
                <w:highlight w:val="none"/>
                <w:u w:val="single"/>
                <w:lang w:val="en-US" w:eastAsia="zh-CN"/>
              </w:rPr>
              <w:t>供应商</w:t>
            </w:r>
            <w:r>
              <w:rPr>
                <w:rFonts w:hint="eastAsia" w:ascii="宋体" w:hAnsi="宋体" w:eastAsia="宋体" w:cs="宋体"/>
                <w:b/>
                <w:color w:val="auto"/>
                <w:szCs w:val="21"/>
                <w:highlight w:val="none"/>
                <w:u w:val="single"/>
              </w:rPr>
              <w:t>公章。</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376" w:type="pct"/>
            <w:vAlign w:val="center"/>
          </w:tcPr>
          <w:p w14:paraId="2646BB94">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rPr>
              <w:t>2</w:t>
            </w:r>
          </w:p>
        </w:tc>
        <w:tc>
          <w:tcPr>
            <w:tcW w:w="637" w:type="pct"/>
            <w:vAlign w:val="center"/>
          </w:tcPr>
          <w:p w14:paraId="0296EC1E">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宋体" w:hAnsi="宋体" w:eastAsia="宋体"/>
                <w:bCs/>
                <w:color w:val="000000"/>
                <w:szCs w:val="21"/>
                <w:lang w:val="en-US" w:eastAsia="zh-CN"/>
              </w:rPr>
            </w:pPr>
            <w:r>
              <w:rPr>
                <w:rFonts w:hint="eastAsia" w:ascii="宋体" w:hAnsi="宋体"/>
                <w:bCs/>
                <w:color w:val="000000"/>
                <w:szCs w:val="21"/>
                <w:lang w:val="en-US" w:eastAsia="zh-CN"/>
              </w:rPr>
              <w:t>企业综合实力</w:t>
            </w:r>
          </w:p>
        </w:tc>
        <w:tc>
          <w:tcPr>
            <w:tcW w:w="403" w:type="pct"/>
            <w:vAlign w:val="center"/>
          </w:tcPr>
          <w:p w14:paraId="72ECFC15">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Cs/>
                <w:color w:val="000000"/>
                <w:szCs w:val="21"/>
              </w:rPr>
            </w:pPr>
            <w:r>
              <w:rPr>
                <w:rFonts w:hint="eastAsia" w:ascii="宋体" w:hAnsi="宋体"/>
                <w:bCs/>
                <w:color w:val="000000"/>
                <w:szCs w:val="21"/>
                <w:lang w:val="en-US" w:eastAsia="zh-CN"/>
              </w:rPr>
              <w:t>12</w:t>
            </w:r>
            <w:r>
              <w:rPr>
                <w:rFonts w:hint="eastAsia" w:ascii="宋体" w:hAnsi="宋体"/>
                <w:bCs/>
                <w:color w:val="000000"/>
                <w:szCs w:val="21"/>
              </w:rPr>
              <w:t>分</w:t>
            </w:r>
          </w:p>
        </w:tc>
        <w:tc>
          <w:tcPr>
            <w:tcW w:w="3582" w:type="pct"/>
            <w:vAlign w:val="center"/>
          </w:tcPr>
          <w:p w14:paraId="1AFE794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szCs w:val="21"/>
              </w:rPr>
            </w:pPr>
            <w:r>
              <w:rPr>
                <w:rFonts w:hint="eastAsia" w:ascii="宋体" w:hAnsi="宋体" w:eastAsia="宋体" w:cs="宋体"/>
                <w:b/>
                <w:bCs/>
                <w:color w:val="auto"/>
                <w:szCs w:val="21"/>
              </w:rPr>
              <w:t>1</w:t>
            </w:r>
            <w:r>
              <w:rPr>
                <w:rFonts w:hint="eastAsia" w:ascii="宋体" w:hAnsi="宋体" w:eastAsia="宋体" w:cs="宋体"/>
                <w:b/>
                <w:bCs/>
                <w:color w:val="auto"/>
                <w:szCs w:val="21"/>
                <w:lang w:eastAsia="zh-CN"/>
              </w:rPr>
              <w:t>、</w:t>
            </w:r>
            <w:r>
              <w:rPr>
                <w:rFonts w:hint="eastAsia" w:ascii="宋体" w:hAnsi="宋体" w:eastAsia="宋体" w:cs="宋体"/>
                <w:b/>
                <w:bCs/>
                <w:color w:val="auto"/>
                <w:szCs w:val="21"/>
              </w:rPr>
              <w:t>根据</w:t>
            </w:r>
            <w:r>
              <w:rPr>
                <w:rFonts w:hint="eastAsia" w:ascii="宋体" w:hAnsi="宋体" w:cs="宋体"/>
                <w:b/>
                <w:bCs/>
                <w:color w:val="auto"/>
                <w:szCs w:val="21"/>
                <w:lang w:val="en-US" w:eastAsia="zh-CN"/>
              </w:rPr>
              <w:t>响应</w:t>
            </w:r>
            <w:r>
              <w:rPr>
                <w:rFonts w:hint="eastAsia" w:ascii="宋体" w:hAnsi="宋体" w:eastAsia="宋体" w:cs="宋体"/>
                <w:b/>
                <w:bCs/>
                <w:color w:val="auto"/>
                <w:szCs w:val="21"/>
              </w:rPr>
              <w:t>供应商（含其上级公司或总公司）202</w:t>
            </w:r>
            <w:r>
              <w:rPr>
                <w:rFonts w:hint="eastAsia" w:ascii="宋体" w:hAnsi="宋体" w:eastAsia="宋体" w:cs="宋体"/>
                <w:b/>
                <w:bCs/>
                <w:color w:val="auto"/>
                <w:szCs w:val="21"/>
                <w:lang w:val="en-US" w:eastAsia="zh-CN"/>
              </w:rPr>
              <w:t>3</w:t>
            </w:r>
            <w:r>
              <w:rPr>
                <w:rFonts w:hint="eastAsia" w:ascii="宋体" w:hAnsi="宋体" w:eastAsia="宋体" w:cs="宋体"/>
                <w:b/>
                <w:bCs/>
                <w:color w:val="auto"/>
                <w:szCs w:val="21"/>
              </w:rPr>
              <w:t>年以来的风险综合评级情况进行评审：</w:t>
            </w:r>
          </w:p>
          <w:p w14:paraId="5658FA0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1</w:t>
            </w:r>
            <w:r>
              <w:rPr>
                <w:rFonts w:hint="eastAsia" w:ascii="宋体" w:hAnsi="宋体" w:eastAsia="宋体" w:cs="宋体"/>
                <w:color w:val="auto"/>
                <w:szCs w:val="21"/>
                <w:lang w:eastAsia="zh-CN"/>
              </w:rPr>
              <w:t>）</w:t>
            </w:r>
            <w:r>
              <w:rPr>
                <w:rFonts w:hint="eastAsia" w:ascii="宋体" w:hAnsi="宋体" w:eastAsia="宋体" w:cs="宋体"/>
                <w:color w:val="auto"/>
                <w:szCs w:val="21"/>
              </w:rPr>
              <w:t>累计获得4次</w:t>
            </w:r>
            <w:r>
              <w:rPr>
                <w:rFonts w:hint="eastAsia" w:ascii="宋体" w:hAnsi="宋体" w:cs="宋体"/>
                <w:color w:val="auto"/>
                <w:szCs w:val="21"/>
                <w:lang w:eastAsia="zh-CN"/>
              </w:rPr>
              <w:t>（</w:t>
            </w:r>
            <w:r>
              <w:rPr>
                <w:rFonts w:hint="eastAsia" w:ascii="宋体" w:hAnsi="宋体" w:eastAsia="宋体" w:cs="宋体"/>
                <w:color w:val="auto"/>
                <w:szCs w:val="21"/>
              </w:rPr>
              <w:t>或以上</w:t>
            </w:r>
            <w:r>
              <w:rPr>
                <w:rFonts w:hint="eastAsia" w:ascii="宋体" w:hAnsi="宋体" w:cs="宋体"/>
                <w:color w:val="auto"/>
                <w:szCs w:val="21"/>
                <w:lang w:eastAsia="zh-CN"/>
              </w:rPr>
              <w:t>）</w:t>
            </w:r>
            <w:r>
              <w:rPr>
                <w:rFonts w:hint="eastAsia" w:ascii="宋体" w:hAnsi="宋体" w:eastAsia="宋体" w:cs="宋体"/>
                <w:color w:val="auto"/>
                <w:szCs w:val="21"/>
                <w:lang w:val="en-US" w:eastAsia="zh-CN"/>
              </w:rPr>
              <w:t>B</w:t>
            </w:r>
            <w:r>
              <w:rPr>
                <w:rFonts w:hint="eastAsia" w:ascii="宋体" w:hAnsi="宋体" w:eastAsia="宋体" w:cs="宋体"/>
                <w:color w:val="auto"/>
                <w:szCs w:val="21"/>
              </w:rPr>
              <w:t>级</w:t>
            </w:r>
            <w:r>
              <w:rPr>
                <w:rFonts w:hint="eastAsia" w:ascii="宋体" w:hAnsi="宋体" w:cs="宋体"/>
                <w:color w:val="auto"/>
                <w:szCs w:val="21"/>
                <w:lang w:eastAsia="zh-CN"/>
              </w:rPr>
              <w:t>（</w:t>
            </w:r>
            <w:r>
              <w:rPr>
                <w:rFonts w:hint="eastAsia" w:ascii="宋体" w:hAnsi="宋体" w:cs="宋体"/>
                <w:color w:val="auto"/>
                <w:szCs w:val="21"/>
                <w:lang w:val="en-US" w:eastAsia="zh-CN"/>
              </w:rPr>
              <w:t>或以上</w:t>
            </w:r>
            <w:r>
              <w:rPr>
                <w:rFonts w:hint="eastAsia" w:ascii="宋体" w:hAnsi="宋体" w:cs="宋体"/>
                <w:color w:val="auto"/>
                <w:szCs w:val="21"/>
                <w:lang w:eastAsia="zh-CN"/>
              </w:rPr>
              <w:t>）</w:t>
            </w:r>
            <w:r>
              <w:rPr>
                <w:rFonts w:hint="eastAsia" w:ascii="宋体" w:hAnsi="宋体" w:eastAsia="宋体" w:cs="宋体"/>
                <w:color w:val="auto"/>
                <w:szCs w:val="21"/>
              </w:rPr>
              <w:t>评分的，得</w:t>
            </w:r>
            <w:r>
              <w:rPr>
                <w:rFonts w:hint="eastAsia" w:ascii="宋体" w:hAnsi="宋体" w:eastAsia="宋体" w:cs="宋体"/>
                <w:color w:val="auto"/>
                <w:szCs w:val="21"/>
                <w:lang w:val="en-US" w:eastAsia="zh-CN"/>
              </w:rPr>
              <w:t>4</w:t>
            </w:r>
            <w:r>
              <w:rPr>
                <w:rFonts w:hint="eastAsia" w:ascii="宋体" w:hAnsi="宋体" w:eastAsia="宋体" w:cs="宋体"/>
                <w:color w:val="auto"/>
                <w:szCs w:val="21"/>
              </w:rPr>
              <w:t>分；</w:t>
            </w:r>
          </w:p>
          <w:p w14:paraId="30A5770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2</w:t>
            </w:r>
            <w:r>
              <w:rPr>
                <w:rFonts w:hint="eastAsia" w:ascii="宋体" w:hAnsi="宋体" w:eastAsia="宋体" w:cs="宋体"/>
                <w:color w:val="auto"/>
                <w:szCs w:val="21"/>
                <w:lang w:eastAsia="zh-CN"/>
              </w:rPr>
              <w:t>）</w:t>
            </w:r>
            <w:r>
              <w:rPr>
                <w:rFonts w:hint="eastAsia" w:ascii="宋体" w:hAnsi="宋体" w:eastAsia="宋体" w:cs="宋体"/>
                <w:color w:val="auto"/>
                <w:szCs w:val="21"/>
              </w:rPr>
              <w:t>累计获得3次</w:t>
            </w:r>
            <w:r>
              <w:rPr>
                <w:rFonts w:hint="eastAsia" w:ascii="宋体" w:hAnsi="宋体" w:eastAsia="宋体" w:cs="宋体"/>
                <w:color w:val="auto"/>
                <w:szCs w:val="21"/>
                <w:lang w:val="en-US" w:eastAsia="zh-CN"/>
              </w:rPr>
              <w:t>B</w:t>
            </w:r>
            <w:r>
              <w:rPr>
                <w:rFonts w:hint="eastAsia" w:ascii="宋体" w:hAnsi="宋体" w:eastAsia="宋体" w:cs="宋体"/>
                <w:color w:val="auto"/>
                <w:szCs w:val="21"/>
              </w:rPr>
              <w:t>级</w:t>
            </w:r>
            <w:r>
              <w:rPr>
                <w:rFonts w:hint="eastAsia" w:ascii="宋体" w:hAnsi="宋体" w:cs="宋体"/>
                <w:color w:val="auto"/>
                <w:szCs w:val="21"/>
                <w:lang w:eastAsia="zh-CN"/>
              </w:rPr>
              <w:t>（</w:t>
            </w:r>
            <w:r>
              <w:rPr>
                <w:rFonts w:hint="eastAsia" w:ascii="宋体" w:hAnsi="宋体" w:cs="宋体"/>
                <w:color w:val="auto"/>
                <w:szCs w:val="21"/>
                <w:lang w:val="en-US" w:eastAsia="zh-CN"/>
              </w:rPr>
              <w:t>或以上</w:t>
            </w:r>
            <w:r>
              <w:rPr>
                <w:rFonts w:hint="eastAsia" w:ascii="宋体" w:hAnsi="宋体" w:cs="宋体"/>
                <w:color w:val="auto"/>
                <w:szCs w:val="21"/>
                <w:lang w:eastAsia="zh-CN"/>
              </w:rPr>
              <w:t>）</w:t>
            </w:r>
            <w:r>
              <w:rPr>
                <w:rFonts w:hint="eastAsia" w:ascii="宋体" w:hAnsi="宋体" w:eastAsia="宋体" w:cs="宋体"/>
                <w:color w:val="auto"/>
                <w:szCs w:val="21"/>
              </w:rPr>
              <w:t>评分的，得</w:t>
            </w:r>
            <w:r>
              <w:rPr>
                <w:rFonts w:hint="eastAsia" w:ascii="宋体" w:hAnsi="宋体" w:eastAsia="宋体" w:cs="宋体"/>
                <w:color w:val="auto"/>
                <w:szCs w:val="21"/>
                <w:lang w:val="en-US" w:eastAsia="zh-CN"/>
              </w:rPr>
              <w:t>3</w:t>
            </w:r>
            <w:r>
              <w:rPr>
                <w:rFonts w:hint="eastAsia" w:ascii="宋体" w:hAnsi="宋体" w:eastAsia="宋体" w:cs="宋体"/>
                <w:color w:val="auto"/>
                <w:szCs w:val="21"/>
              </w:rPr>
              <w:t>分；</w:t>
            </w:r>
          </w:p>
          <w:p w14:paraId="3F475FC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3</w:t>
            </w:r>
            <w:r>
              <w:rPr>
                <w:rFonts w:hint="eastAsia" w:ascii="宋体" w:hAnsi="宋体" w:eastAsia="宋体" w:cs="宋体"/>
                <w:color w:val="auto"/>
                <w:szCs w:val="21"/>
                <w:lang w:eastAsia="zh-CN"/>
              </w:rPr>
              <w:t>）</w:t>
            </w:r>
            <w:r>
              <w:rPr>
                <w:rFonts w:hint="eastAsia" w:ascii="宋体" w:hAnsi="宋体" w:eastAsia="宋体" w:cs="宋体"/>
                <w:color w:val="auto"/>
                <w:szCs w:val="21"/>
              </w:rPr>
              <w:t>累计获得2次</w:t>
            </w:r>
            <w:r>
              <w:rPr>
                <w:rFonts w:hint="eastAsia" w:ascii="宋体" w:hAnsi="宋体" w:eastAsia="宋体" w:cs="宋体"/>
                <w:color w:val="auto"/>
                <w:szCs w:val="21"/>
                <w:lang w:val="en-US" w:eastAsia="zh-CN"/>
              </w:rPr>
              <w:t>B</w:t>
            </w:r>
            <w:r>
              <w:rPr>
                <w:rFonts w:hint="eastAsia" w:ascii="宋体" w:hAnsi="宋体" w:eastAsia="宋体" w:cs="宋体"/>
                <w:color w:val="auto"/>
                <w:szCs w:val="21"/>
              </w:rPr>
              <w:t>级</w:t>
            </w:r>
            <w:r>
              <w:rPr>
                <w:rFonts w:hint="eastAsia" w:ascii="宋体" w:hAnsi="宋体" w:cs="宋体"/>
                <w:color w:val="auto"/>
                <w:szCs w:val="21"/>
                <w:lang w:eastAsia="zh-CN"/>
              </w:rPr>
              <w:t>（</w:t>
            </w:r>
            <w:r>
              <w:rPr>
                <w:rFonts w:hint="eastAsia" w:ascii="宋体" w:hAnsi="宋体" w:cs="宋体"/>
                <w:color w:val="auto"/>
                <w:szCs w:val="21"/>
                <w:lang w:val="en-US" w:eastAsia="zh-CN"/>
              </w:rPr>
              <w:t>或以上</w:t>
            </w:r>
            <w:r>
              <w:rPr>
                <w:rFonts w:hint="eastAsia" w:ascii="宋体" w:hAnsi="宋体" w:cs="宋体"/>
                <w:color w:val="auto"/>
                <w:szCs w:val="21"/>
                <w:lang w:eastAsia="zh-CN"/>
              </w:rPr>
              <w:t>）</w:t>
            </w:r>
            <w:r>
              <w:rPr>
                <w:rFonts w:hint="eastAsia" w:ascii="宋体" w:hAnsi="宋体" w:eastAsia="宋体" w:cs="宋体"/>
                <w:color w:val="auto"/>
                <w:szCs w:val="21"/>
              </w:rPr>
              <w:t>评分的，得2分；</w:t>
            </w:r>
          </w:p>
          <w:p w14:paraId="0B2158C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4</w:t>
            </w:r>
            <w:r>
              <w:rPr>
                <w:rFonts w:hint="eastAsia" w:ascii="宋体" w:hAnsi="宋体" w:eastAsia="宋体" w:cs="宋体"/>
                <w:color w:val="auto"/>
                <w:szCs w:val="21"/>
                <w:lang w:eastAsia="zh-CN"/>
              </w:rPr>
              <w:t>）</w:t>
            </w:r>
            <w:r>
              <w:rPr>
                <w:rFonts w:hint="eastAsia" w:ascii="宋体" w:hAnsi="宋体" w:eastAsia="宋体" w:cs="宋体"/>
                <w:color w:val="auto"/>
                <w:szCs w:val="21"/>
              </w:rPr>
              <w:t>累计获得1次</w:t>
            </w:r>
            <w:r>
              <w:rPr>
                <w:rFonts w:hint="eastAsia" w:ascii="宋体" w:hAnsi="宋体" w:eastAsia="宋体" w:cs="宋体"/>
                <w:color w:val="auto"/>
                <w:szCs w:val="21"/>
                <w:lang w:val="en-US" w:eastAsia="zh-CN"/>
              </w:rPr>
              <w:t>B</w:t>
            </w:r>
            <w:r>
              <w:rPr>
                <w:rFonts w:hint="eastAsia" w:ascii="宋体" w:hAnsi="宋体" w:eastAsia="宋体" w:cs="宋体"/>
                <w:color w:val="auto"/>
                <w:szCs w:val="21"/>
              </w:rPr>
              <w:t>级</w:t>
            </w:r>
            <w:r>
              <w:rPr>
                <w:rFonts w:hint="eastAsia" w:ascii="宋体" w:hAnsi="宋体" w:cs="宋体"/>
                <w:color w:val="auto"/>
                <w:szCs w:val="21"/>
                <w:lang w:eastAsia="zh-CN"/>
              </w:rPr>
              <w:t>（</w:t>
            </w:r>
            <w:r>
              <w:rPr>
                <w:rFonts w:hint="eastAsia" w:ascii="宋体" w:hAnsi="宋体" w:cs="宋体"/>
                <w:color w:val="auto"/>
                <w:szCs w:val="21"/>
                <w:lang w:val="en-US" w:eastAsia="zh-CN"/>
              </w:rPr>
              <w:t>或以上</w:t>
            </w:r>
            <w:r>
              <w:rPr>
                <w:rFonts w:hint="eastAsia" w:ascii="宋体" w:hAnsi="宋体" w:cs="宋体"/>
                <w:color w:val="auto"/>
                <w:szCs w:val="21"/>
                <w:lang w:eastAsia="zh-CN"/>
              </w:rPr>
              <w:t>）</w:t>
            </w:r>
            <w:r>
              <w:rPr>
                <w:rFonts w:hint="eastAsia" w:ascii="宋体" w:hAnsi="宋体" w:eastAsia="宋体" w:cs="宋体"/>
                <w:color w:val="auto"/>
                <w:szCs w:val="21"/>
              </w:rPr>
              <w:t>评分的，得1分；</w:t>
            </w:r>
          </w:p>
          <w:p w14:paraId="77BB888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5</w:t>
            </w:r>
            <w:r>
              <w:rPr>
                <w:rFonts w:hint="eastAsia" w:ascii="宋体" w:hAnsi="宋体" w:eastAsia="宋体" w:cs="宋体"/>
                <w:color w:val="auto"/>
                <w:szCs w:val="21"/>
                <w:lang w:eastAsia="zh-CN"/>
              </w:rPr>
              <w:t>）</w:t>
            </w:r>
            <w:r>
              <w:rPr>
                <w:rFonts w:hint="eastAsia" w:ascii="宋体" w:hAnsi="宋体" w:eastAsia="宋体" w:cs="宋体"/>
                <w:color w:val="auto"/>
                <w:szCs w:val="21"/>
              </w:rPr>
              <w:t>未获得</w:t>
            </w:r>
            <w:r>
              <w:rPr>
                <w:rFonts w:hint="eastAsia" w:ascii="宋体" w:hAnsi="宋体" w:eastAsia="宋体" w:cs="宋体"/>
                <w:color w:val="auto"/>
                <w:szCs w:val="21"/>
                <w:lang w:val="en-US" w:eastAsia="zh-CN"/>
              </w:rPr>
              <w:t>B</w:t>
            </w:r>
            <w:r>
              <w:rPr>
                <w:rFonts w:hint="eastAsia" w:ascii="宋体" w:hAnsi="宋体" w:eastAsia="宋体" w:cs="宋体"/>
                <w:color w:val="auto"/>
                <w:szCs w:val="21"/>
              </w:rPr>
              <w:t>级</w:t>
            </w:r>
            <w:r>
              <w:rPr>
                <w:rFonts w:hint="eastAsia" w:ascii="宋体" w:hAnsi="宋体" w:cs="宋体"/>
                <w:color w:val="auto"/>
                <w:szCs w:val="21"/>
                <w:lang w:eastAsia="zh-CN"/>
              </w:rPr>
              <w:t>（</w:t>
            </w:r>
            <w:r>
              <w:rPr>
                <w:rFonts w:hint="eastAsia" w:ascii="宋体" w:hAnsi="宋体" w:cs="宋体"/>
                <w:color w:val="auto"/>
                <w:szCs w:val="21"/>
                <w:lang w:val="en-US" w:eastAsia="zh-CN"/>
              </w:rPr>
              <w:t>或以上</w:t>
            </w:r>
            <w:r>
              <w:rPr>
                <w:rFonts w:hint="eastAsia" w:ascii="宋体" w:hAnsi="宋体" w:cs="宋体"/>
                <w:color w:val="auto"/>
                <w:szCs w:val="21"/>
                <w:lang w:eastAsia="zh-CN"/>
              </w:rPr>
              <w:t>）</w:t>
            </w:r>
            <w:r>
              <w:rPr>
                <w:rFonts w:hint="eastAsia" w:ascii="宋体" w:hAnsi="宋体" w:eastAsia="宋体" w:cs="宋体"/>
                <w:color w:val="auto"/>
                <w:szCs w:val="21"/>
              </w:rPr>
              <w:t>评分或其他</w:t>
            </w:r>
            <w:r>
              <w:rPr>
                <w:rFonts w:hint="eastAsia" w:ascii="宋体" w:hAnsi="宋体" w:cs="宋体"/>
                <w:color w:val="auto"/>
                <w:szCs w:val="21"/>
                <w:lang w:val="en-US" w:eastAsia="zh-CN"/>
              </w:rPr>
              <w:t>情形</w:t>
            </w:r>
            <w:r>
              <w:rPr>
                <w:rFonts w:hint="eastAsia" w:ascii="宋体" w:hAnsi="宋体" w:eastAsia="宋体" w:cs="宋体"/>
                <w:color w:val="auto"/>
                <w:szCs w:val="21"/>
              </w:rPr>
              <w:t>的，得0分。</w:t>
            </w:r>
          </w:p>
          <w:p w14:paraId="0CF4817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szCs w:val="21"/>
                <w:u w:val="single"/>
              </w:rPr>
            </w:pPr>
            <w:r>
              <w:rPr>
                <w:rFonts w:hint="eastAsia" w:ascii="宋体" w:hAnsi="宋体" w:eastAsia="宋体" w:cs="宋体"/>
                <w:b/>
                <w:bCs/>
                <w:color w:val="auto"/>
                <w:szCs w:val="21"/>
                <w:u w:val="single"/>
              </w:rPr>
              <w:t>注：须提供中国银行保险监督委员会（或国家金融监督管理总局）公布</w:t>
            </w:r>
            <w:r>
              <w:rPr>
                <w:rFonts w:hint="eastAsia" w:ascii="宋体" w:hAnsi="宋体" w:cs="宋体"/>
                <w:b/>
                <w:bCs/>
                <w:color w:val="auto"/>
                <w:szCs w:val="21"/>
                <w:u w:val="single"/>
                <w:lang w:val="en-US" w:eastAsia="zh-CN"/>
              </w:rPr>
              <w:t>的</w:t>
            </w:r>
            <w:r>
              <w:rPr>
                <w:rFonts w:hint="eastAsia" w:ascii="宋体" w:hAnsi="宋体" w:eastAsia="宋体" w:cs="宋体"/>
                <w:b/>
                <w:bCs/>
                <w:color w:val="auto"/>
                <w:szCs w:val="21"/>
                <w:u w:val="single"/>
              </w:rPr>
              <w:t>风险评级数据或有效证明材料加盖</w:t>
            </w:r>
            <w:r>
              <w:rPr>
                <w:rFonts w:hint="eastAsia" w:ascii="宋体" w:hAnsi="宋体" w:cs="宋体"/>
                <w:b/>
                <w:bCs/>
                <w:color w:val="auto"/>
                <w:szCs w:val="21"/>
                <w:u w:val="single"/>
                <w:lang w:val="en-US" w:eastAsia="zh-CN"/>
              </w:rPr>
              <w:t>供应商</w:t>
            </w:r>
            <w:r>
              <w:rPr>
                <w:rFonts w:hint="eastAsia" w:ascii="宋体" w:hAnsi="宋体" w:eastAsia="宋体" w:cs="宋体"/>
                <w:b/>
                <w:bCs/>
                <w:color w:val="auto"/>
                <w:szCs w:val="21"/>
                <w:u w:val="single"/>
              </w:rPr>
              <w:t>公章。</w:t>
            </w:r>
          </w:p>
          <w:p w14:paraId="51F49DE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rPr>
              <w:t>2</w:t>
            </w:r>
            <w:r>
              <w:rPr>
                <w:rFonts w:hint="eastAsia" w:ascii="宋体" w:hAnsi="宋体" w:eastAsia="宋体" w:cs="宋体"/>
                <w:b/>
                <w:bCs/>
                <w:color w:val="auto"/>
                <w:szCs w:val="21"/>
                <w:lang w:eastAsia="zh-CN"/>
              </w:rPr>
              <w:t>、</w:t>
            </w:r>
            <w:r>
              <w:rPr>
                <w:rFonts w:hint="eastAsia" w:ascii="宋体" w:hAnsi="宋体" w:eastAsia="宋体" w:cs="宋体"/>
                <w:b/>
                <w:bCs/>
                <w:color w:val="auto"/>
                <w:szCs w:val="21"/>
              </w:rPr>
              <w:t>根据供应商（含其上级公司或总公司）202</w:t>
            </w:r>
            <w:r>
              <w:rPr>
                <w:rFonts w:hint="eastAsia" w:ascii="宋体" w:hAnsi="宋体" w:cs="宋体"/>
                <w:b/>
                <w:bCs/>
                <w:color w:val="auto"/>
                <w:szCs w:val="21"/>
                <w:lang w:val="en-US" w:eastAsia="zh-CN"/>
              </w:rPr>
              <w:t>3</w:t>
            </w:r>
            <w:r>
              <w:rPr>
                <w:rFonts w:hint="eastAsia" w:ascii="宋体" w:hAnsi="宋体" w:eastAsia="宋体" w:cs="宋体"/>
                <w:b/>
                <w:bCs/>
                <w:color w:val="auto"/>
                <w:szCs w:val="21"/>
              </w:rPr>
              <w:t>年综合偿付能力充足率情况进行评分</w:t>
            </w:r>
            <w:r>
              <w:rPr>
                <w:rFonts w:hint="eastAsia" w:ascii="宋体" w:hAnsi="宋体" w:cs="宋体"/>
                <w:b/>
                <w:bCs/>
                <w:color w:val="auto"/>
                <w:szCs w:val="21"/>
                <w:lang w:eastAsia="zh-CN"/>
              </w:rPr>
              <w:t>：</w:t>
            </w:r>
          </w:p>
          <w:p w14:paraId="4FEB2D7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综合偿付能力充足率达到2</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0%或以上的，得</w:t>
            </w: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分；</w:t>
            </w:r>
          </w:p>
          <w:p w14:paraId="7957C61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综合偿付能力充足率达到</w:t>
            </w:r>
            <w:r>
              <w:rPr>
                <w:rFonts w:hint="eastAsia" w:ascii="宋体" w:hAnsi="宋体" w:eastAsia="宋体" w:cs="宋体"/>
                <w:color w:val="auto"/>
                <w:szCs w:val="21"/>
                <w:highlight w:val="none"/>
                <w:lang w:val="en-US" w:eastAsia="zh-CN"/>
              </w:rPr>
              <w:t>180</w:t>
            </w:r>
            <w:r>
              <w:rPr>
                <w:rFonts w:hint="eastAsia" w:ascii="宋体" w:hAnsi="宋体" w:eastAsia="宋体" w:cs="宋体"/>
                <w:color w:val="auto"/>
                <w:szCs w:val="21"/>
                <w:highlight w:val="none"/>
              </w:rPr>
              <w:t>%（含）～2</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0%（不含）的，得</w:t>
            </w: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分；</w:t>
            </w:r>
          </w:p>
          <w:p w14:paraId="6D3240C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综合偿付能力充足率达到1</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0%（含）～</w:t>
            </w:r>
            <w:r>
              <w:rPr>
                <w:rFonts w:hint="eastAsia" w:ascii="宋体" w:hAnsi="宋体" w:eastAsia="宋体" w:cs="宋体"/>
                <w:color w:val="auto"/>
                <w:szCs w:val="21"/>
                <w:highlight w:val="none"/>
                <w:lang w:val="en-US" w:eastAsia="zh-CN"/>
              </w:rPr>
              <w:t>180</w:t>
            </w:r>
            <w:r>
              <w:rPr>
                <w:rFonts w:hint="eastAsia" w:ascii="宋体" w:hAnsi="宋体" w:eastAsia="宋体" w:cs="宋体"/>
                <w:color w:val="auto"/>
                <w:szCs w:val="21"/>
                <w:highlight w:val="none"/>
              </w:rPr>
              <w:t>%（不含）的，得</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分；</w:t>
            </w:r>
          </w:p>
          <w:p w14:paraId="791ED9B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综合偿付能力充足率达到100%（含）～1</w:t>
            </w: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0%（不含）的，得</w:t>
            </w:r>
            <w:r>
              <w:rPr>
                <w:rFonts w:hint="eastAsia" w:ascii="宋体" w:hAnsi="宋体" w:eastAsia="宋体" w:cs="宋体"/>
                <w:color w:val="auto"/>
                <w:szCs w:val="21"/>
                <w:lang w:val="en-US" w:eastAsia="zh-CN"/>
              </w:rPr>
              <w:t>2</w:t>
            </w:r>
            <w:r>
              <w:rPr>
                <w:rFonts w:hint="eastAsia" w:ascii="宋体" w:hAnsi="宋体" w:eastAsia="宋体" w:cs="宋体"/>
                <w:color w:val="auto"/>
                <w:szCs w:val="21"/>
              </w:rPr>
              <w:t>分；</w:t>
            </w:r>
          </w:p>
          <w:p w14:paraId="2DA355C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rPr>
            </w:pP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5</w:t>
            </w:r>
            <w:r>
              <w:rPr>
                <w:rFonts w:hint="eastAsia" w:ascii="宋体" w:hAnsi="宋体" w:eastAsia="宋体" w:cs="宋体"/>
                <w:color w:val="auto"/>
                <w:szCs w:val="21"/>
                <w:lang w:eastAsia="zh-CN"/>
              </w:rPr>
              <w:t>）</w:t>
            </w:r>
            <w:r>
              <w:rPr>
                <w:rFonts w:hint="eastAsia" w:ascii="宋体" w:hAnsi="宋体" w:eastAsia="宋体" w:cs="宋体"/>
                <w:color w:val="auto"/>
                <w:szCs w:val="21"/>
              </w:rPr>
              <w:t>综合偿付能力充足率达到100%（不含）以下的，得</w:t>
            </w:r>
            <w:r>
              <w:rPr>
                <w:rFonts w:hint="eastAsia" w:ascii="宋体" w:hAnsi="宋体" w:cs="宋体"/>
                <w:color w:val="auto"/>
                <w:szCs w:val="21"/>
                <w:lang w:val="en-US" w:eastAsia="zh-CN"/>
              </w:rPr>
              <w:t>0</w:t>
            </w:r>
            <w:r>
              <w:rPr>
                <w:rFonts w:hint="eastAsia" w:ascii="宋体" w:hAnsi="宋体" w:eastAsia="宋体" w:cs="宋体"/>
                <w:color w:val="auto"/>
                <w:szCs w:val="21"/>
              </w:rPr>
              <w:t>分。</w:t>
            </w:r>
          </w:p>
          <w:p w14:paraId="65E9EA8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000000"/>
                <w:szCs w:val="21"/>
                <w:u w:val="single"/>
              </w:rPr>
            </w:pPr>
            <w:r>
              <w:rPr>
                <w:rFonts w:hint="eastAsia" w:ascii="宋体" w:hAnsi="宋体" w:eastAsia="宋体" w:cs="宋体"/>
                <w:b/>
                <w:bCs/>
                <w:color w:val="auto"/>
                <w:szCs w:val="21"/>
                <w:u w:val="single"/>
              </w:rPr>
              <w:t>注：</w:t>
            </w:r>
            <w:r>
              <w:rPr>
                <w:rFonts w:hint="eastAsia" w:ascii="宋体" w:hAnsi="宋体" w:cs="宋体"/>
                <w:b/>
                <w:bCs/>
                <w:color w:val="auto"/>
                <w:szCs w:val="21"/>
                <w:u w:val="single"/>
                <w:lang w:val="en-US" w:eastAsia="zh-CN"/>
              </w:rPr>
              <w:t>须提供</w:t>
            </w:r>
            <w:r>
              <w:rPr>
                <w:rFonts w:hint="eastAsia" w:ascii="宋体" w:hAnsi="宋体" w:eastAsia="宋体" w:cs="宋体"/>
                <w:b/>
                <w:bCs/>
                <w:color w:val="auto"/>
                <w:szCs w:val="21"/>
                <w:u w:val="single"/>
              </w:rPr>
              <w:t>供应商</w:t>
            </w:r>
            <w:r>
              <w:rPr>
                <w:rFonts w:hint="eastAsia" w:ascii="宋体" w:hAnsi="宋体" w:cs="宋体"/>
                <w:b/>
                <w:bCs/>
                <w:color w:val="auto"/>
                <w:szCs w:val="21"/>
                <w:u w:val="single"/>
                <w:lang w:eastAsia="zh-CN"/>
              </w:rPr>
              <w:t>（</w:t>
            </w:r>
            <w:r>
              <w:rPr>
                <w:rFonts w:hint="eastAsia" w:ascii="宋体" w:hAnsi="宋体" w:cs="宋体"/>
                <w:b/>
                <w:bCs/>
                <w:color w:val="auto"/>
                <w:szCs w:val="21"/>
                <w:u w:val="single"/>
                <w:lang w:val="en-US" w:eastAsia="zh-CN"/>
              </w:rPr>
              <w:t>或</w:t>
            </w:r>
            <w:r>
              <w:rPr>
                <w:rFonts w:hint="eastAsia" w:ascii="宋体" w:hAnsi="宋体" w:cs="宋体"/>
                <w:b/>
                <w:bCs/>
                <w:color w:val="auto"/>
                <w:szCs w:val="21"/>
                <w:u w:val="single"/>
                <w:lang w:eastAsia="zh-CN"/>
              </w:rPr>
              <w:t>其上级公司或总公司）</w:t>
            </w:r>
            <w:r>
              <w:rPr>
                <w:rFonts w:hint="eastAsia" w:ascii="宋体" w:hAnsi="宋体" w:eastAsia="宋体" w:cs="宋体"/>
                <w:b/>
                <w:bCs/>
                <w:color w:val="auto"/>
                <w:szCs w:val="21"/>
                <w:u w:val="single"/>
              </w:rPr>
              <w:t>202</w:t>
            </w:r>
            <w:r>
              <w:rPr>
                <w:rFonts w:hint="eastAsia" w:ascii="宋体" w:hAnsi="宋体" w:cs="宋体"/>
                <w:b/>
                <w:bCs/>
                <w:color w:val="auto"/>
                <w:szCs w:val="21"/>
                <w:u w:val="single"/>
                <w:lang w:val="en-US" w:eastAsia="zh-CN"/>
              </w:rPr>
              <w:t>3</w:t>
            </w:r>
            <w:r>
              <w:rPr>
                <w:rFonts w:hint="eastAsia" w:ascii="宋体" w:hAnsi="宋体" w:eastAsia="宋体" w:cs="宋体"/>
                <w:b/>
                <w:bCs/>
                <w:color w:val="auto"/>
                <w:szCs w:val="21"/>
                <w:u w:val="single"/>
              </w:rPr>
              <w:t>年年报或会计师事务所出具的审计报告的202</w:t>
            </w:r>
            <w:r>
              <w:rPr>
                <w:rFonts w:hint="eastAsia" w:ascii="宋体" w:hAnsi="宋体" w:cs="宋体"/>
                <w:b/>
                <w:bCs/>
                <w:color w:val="auto"/>
                <w:szCs w:val="21"/>
                <w:u w:val="single"/>
                <w:lang w:val="en-US" w:eastAsia="zh-CN"/>
              </w:rPr>
              <w:t>3</w:t>
            </w:r>
            <w:r>
              <w:rPr>
                <w:rFonts w:hint="eastAsia" w:ascii="宋体" w:hAnsi="宋体" w:eastAsia="宋体" w:cs="宋体"/>
                <w:b/>
                <w:bCs/>
                <w:color w:val="auto"/>
                <w:szCs w:val="21"/>
                <w:u w:val="single"/>
              </w:rPr>
              <w:t>年第四季度统计数据</w:t>
            </w:r>
            <w:r>
              <w:rPr>
                <w:rFonts w:hint="eastAsia" w:ascii="宋体" w:hAnsi="宋体" w:cs="宋体"/>
                <w:b/>
                <w:bCs/>
                <w:color w:val="auto"/>
                <w:szCs w:val="21"/>
                <w:u w:val="single"/>
                <w:lang w:val="en-US" w:eastAsia="zh-CN"/>
              </w:rPr>
              <w:t>或其他相关证明材料</w:t>
            </w:r>
            <w:r>
              <w:rPr>
                <w:rFonts w:hint="eastAsia" w:ascii="宋体" w:hAnsi="宋体" w:eastAsia="宋体" w:cs="宋体"/>
                <w:b/>
                <w:bCs/>
                <w:color w:val="auto"/>
                <w:szCs w:val="21"/>
                <w:u w:val="single"/>
              </w:rPr>
              <w:t>，</w:t>
            </w:r>
            <w:r>
              <w:rPr>
                <w:rFonts w:hint="eastAsia" w:ascii="宋体" w:hAnsi="宋体" w:cs="宋体"/>
                <w:b/>
                <w:bCs/>
                <w:color w:val="auto"/>
                <w:szCs w:val="21"/>
                <w:u w:val="single"/>
                <w:lang w:val="en-US" w:eastAsia="zh-CN"/>
              </w:rPr>
              <w:t>上述</w:t>
            </w:r>
            <w:r>
              <w:rPr>
                <w:rFonts w:hint="eastAsia" w:ascii="宋体" w:hAnsi="宋体" w:eastAsia="宋体" w:cs="宋体"/>
                <w:b/>
                <w:bCs/>
                <w:color w:val="auto"/>
                <w:szCs w:val="21"/>
                <w:u w:val="single"/>
              </w:rPr>
              <w:t>证明</w:t>
            </w:r>
            <w:r>
              <w:rPr>
                <w:rFonts w:hint="eastAsia" w:ascii="宋体" w:hAnsi="宋体" w:cs="宋体"/>
                <w:b/>
                <w:bCs/>
                <w:color w:val="auto"/>
                <w:szCs w:val="21"/>
                <w:u w:val="single"/>
                <w:lang w:val="en-US" w:eastAsia="zh-CN"/>
              </w:rPr>
              <w:t>材料</w:t>
            </w:r>
            <w:r>
              <w:rPr>
                <w:rFonts w:hint="eastAsia" w:ascii="宋体" w:hAnsi="宋体" w:eastAsia="宋体" w:cs="宋体"/>
                <w:b/>
                <w:bCs/>
                <w:color w:val="auto"/>
                <w:szCs w:val="21"/>
                <w:u w:val="single"/>
              </w:rPr>
              <w:t>复印件</w:t>
            </w:r>
            <w:r>
              <w:rPr>
                <w:rFonts w:hint="eastAsia" w:ascii="宋体" w:hAnsi="宋体" w:cs="宋体"/>
                <w:b/>
                <w:bCs/>
                <w:color w:val="auto"/>
                <w:szCs w:val="21"/>
                <w:u w:val="single"/>
                <w:lang w:val="en-US" w:eastAsia="zh-CN"/>
              </w:rPr>
              <w:t>须</w:t>
            </w:r>
            <w:r>
              <w:rPr>
                <w:rFonts w:hint="eastAsia" w:ascii="宋体" w:hAnsi="宋体" w:eastAsia="宋体" w:cs="宋体"/>
                <w:b/>
                <w:bCs/>
                <w:color w:val="auto"/>
                <w:szCs w:val="21"/>
                <w:u w:val="single"/>
              </w:rPr>
              <w:t>加盖供应商公章。</w:t>
            </w:r>
          </w:p>
        </w:tc>
      </w:tr>
      <w:tr w14:paraId="096D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376" w:type="pct"/>
            <w:vAlign w:val="center"/>
          </w:tcPr>
          <w:p w14:paraId="6FC6347C">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rPr>
              <w:t>3</w:t>
            </w:r>
          </w:p>
        </w:tc>
        <w:tc>
          <w:tcPr>
            <w:tcW w:w="637" w:type="pct"/>
            <w:vAlign w:val="center"/>
          </w:tcPr>
          <w:p w14:paraId="21D86339">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rPr>
              <w:t>业绩情况</w:t>
            </w:r>
          </w:p>
        </w:tc>
        <w:tc>
          <w:tcPr>
            <w:tcW w:w="403" w:type="pct"/>
            <w:vAlign w:val="center"/>
          </w:tcPr>
          <w:p w14:paraId="05634406">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lang w:val="en-US" w:eastAsia="zh-CN"/>
              </w:rPr>
              <w:t>14</w:t>
            </w:r>
            <w:r>
              <w:rPr>
                <w:rFonts w:hint="eastAsia" w:ascii="宋体" w:hAnsi="宋体"/>
                <w:color w:val="000000"/>
                <w:szCs w:val="21"/>
              </w:rPr>
              <w:t>分</w:t>
            </w:r>
          </w:p>
        </w:tc>
        <w:tc>
          <w:tcPr>
            <w:tcW w:w="3582" w:type="pct"/>
            <w:vAlign w:val="center"/>
          </w:tcPr>
          <w:p w14:paraId="0F4EFD7F">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bCs/>
                <w:color w:val="000000"/>
                <w:szCs w:val="21"/>
              </w:rPr>
            </w:pPr>
            <w:r>
              <w:rPr>
                <w:rFonts w:hint="eastAsia" w:ascii="宋体" w:hAnsi="宋体"/>
                <w:bCs/>
                <w:color w:val="000000"/>
                <w:szCs w:val="21"/>
              </w:rPr>
              <w:t>根据</w:t>
            </w:r>
            <w:r>
              <w:rPr>
                <w:rFonts w:hint="eastAsia" w:ascii="宋体" w:hAnsi="宋体"/>
                <w:bCs/>
                <w:color w:val="000000"/>
                <w:szCs w:val="21"/>
                <w:lang w:val="en-US" w:eastAsia="zh-CN"/>
              </w:rPr>
              <w:t>响应</w:t>
            </w:r>
            <w:r>
              <w:rPr>
                <w:rFonts w:hint="eastAsia" w:ascii="宋体" w:hAnsi="宋体"/>
                <w:bCs/>
                <w:color w:val="000000"/>
                <w:szCs w:val="21"/>
              </w:rPr>
              <w:t>供应商（含其上级公司或总公司）具有</w:t>
            </w:r>
            <w:r>
              <w:rPr>
                <w:rFonts w:hint="eastAsia" w:ascii="宋体" w:hAnsi="宋体"/>
                <w:bCs/>
                <w:color w:val="000000"/>
                <w:szCs w:val="21"/>
                <w:lang w:val="en-US" w:eastAsia="zh-CN"/>
              </w:rPr>
              <w:t>的</w:t>
            </w:r>
            <w:r>
              <w:rPr>
                <w:rFonts w:hint="eastAsia" w:ascii="宋体" w:hAnsi="宋体"/>
                <w:bCs/>
                <w:color w:val="000000"/>
                <w:szCs w:val="21"/>
              </w:rPr>
              <w:t>机动车保险类项目业绩</w:t>
            </w:r>
            <w:r>
              <w:rPr>
                <w:rFonts w:hint="eastAsia" w:ascii="宋体" w:hAnsi="宋体"/>
                <w:bCs/>
                <w:color w:val="000000"/>
                <w:szCs w:val="21"/>
                <w:lang w:val="en-US" w:eastAsia="zh-CN"/>
              </w:rPr>
              <w:t>进行评审</w:t>
            </w:r>
            <w:r>
              <w:rPr>
                <w:rFonts w:hint="eastAsia" w:ascii="宋体" w:hAnsi="宋体"/>
                <w:bCs/>
                <w:color w:val="000000"/>
                <w:szCs w:val="21"/>
                <w:lang w:eastAsia="zh-CN"/>
              </w:rPr>
              <w:t>：</w:t>
            </w:r>
            <w:r>
              <w:rPr>
                <w:rFonts w:hint="eastAsia" w:ascii="宋体" w:hAnsi="宋体"/>
                <w:bCs/>
                <w:color w:val="000000"/>
                <w:szCs w:val="21"/>
              </w:rPr>
              <w:t>每提供一个得</w:t>
            </w:r>
            <w:r>
              <w:rPr>
                <w:rFonts w:hint="eastAsia" w:ascii="宋体" w:hAnsi="宋体"/>
                <w:bCs/>
                <w:color w:val="000000"/>
                <w:szCs w:val="21"/>
                <w:lang w:val="en-US" w:eastAsia="zh-CN"/>
              </w:rPr>
              <w:t>2</w:t>
            </w:r>
            <w:r>
              <w:rPr>
                <w:rFonts w:hint="eastAsia" w:ascii="宋体" w:hAnsi="宋体"/>
                <w:bCs/>
                <w:color w:val="000000"/>
                <w:szCs w:val="21"/>
              </w:rPr>
              <w:t>分，本项最高得</w:t>
            </w:r>
            <w:r>
              <w:rPr>
                <w:rFonts w:hint="eastAsia" w:ascii="宋体" w:hAnsi="宋体"/>
                <w:bCs/>
                <w:color w:val="000000"/>
                <w:szCs w:val="21"/>
                <w:lang w:val="en-US" w:eastAsia="zh-CN"/>
              </w:rPr>
              <w:t>14</w:t>
            </w:r>
            <w:r>
              <w:rPr>
                <w:rFonts w:hint="eastAsia" w:ascii="宋体" w:hAnsi="宋体"/>
                <w:bCs/>
                <w:color w:val="000000"/>
                <w:szCs w:val="21"/>
              </w:rPr>
              <w:t>分。</w:t>
            </w:r>
          </w:p>
          <w:p w14:paraId="31B027EF">
            <w:pPr>
              <w:keepNext w:val="0"/>
              <w:keepLines w:val="0"/>
              <w:pageBreakBefore w:val="0"/>
              <w:kinsoku/>
              <w:wordWrap/>
              <w:overflowPunct/>
              <w:topLinePunct w:val="0"/>
              <w:autoSpaceDE/>
              <w:autoSpaceDN/>
              <w:bidi w:val="0"/>
              <w:adjustRightInd/>
              <w:snapToGrid w:val="0"/>
              <w:spacing w:line="360" w:lineRule="auto"/>
              <w:textAlignment w:val="auto"/>
              <w:rPr>
                <w:rFonts w:ascii="宋体" w:hAnsi="宋体"/>
                <w:b/>
                <w:color w:val="000000"/>
                <w:szCs w:val="21"/>
                <w:u w:val="single"/>
              </w:rPr>
            </w:pPr>
            <w:r>
              <w:rPr>
                <w:rFonts w:hint="eastAsia" w:ascii="宋体" w:hAnsi="宋体"/>
                <w:b/>
                <w:bCs w:val="0"/>
                <w:color w:val="000000"/>
                <w:szCs w:val="21"/>
                <w:u w:val="single"/>
              </w:rPr>
              <w:t>注：须提供保险合同或保单复印件加盖供应商公章。同一客户不同年度保单合同不重复得分。</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4"/>
            <w:vAlign w:val="center"/>
          </w:tcPr>
          <w:p w14:paraId="367F3622">
            <w:pPr>
              <w:keepNext w:val="0"/>
              <w:keepLines w:val="0"/>
              <w:pageBreakBefore w:val="0"/>
              <w:kinsoku/>
              <w:wordWrap/>
              <w:overflowPunct/>
              <w:topLinePunct w:val="0"/>
              <w:autoSpaceDE/>
              <w:autoSpaceDN/>
              <w:bidi w:val="0"/>
              <w:adjustRightInd/>
              <w:snapToGrid w:val="0"/>
              <w:spacing w:line="240" w:lineRule="auto"/>
              <w:jc w:val="center"/>
              <w:textAlignment w:val="auto"/>
              <w:rPr>
                <w:rFonts w:ascii="宋体" w:hAnsi="宋体"/>
                <w:color w:val="000000"/>
                <w:sz w:val="31"/>
                <w:szCs w:val="28"/>
              </w:rPr>
            </w:pPr>
            <w:r>
              <w:rPr>
                <w:rFonts w:hint="eastAsia" w:ascii="宋体" w:hAnsi="宋体"/>
                <w:b/>
                <w:color w:val="000000"/>
                <w:szCs w:val="21"/>
              </w:rPr>
              <w:t>技术评审细则（</w:t>
            </w:r>
            <w:r>
              <w:rPr>
                <w:rFonts w:hint="eastAsia" w:ascii="宋体" w:hAnsi="宋体"/>
                <w:b/>
                <w:color w:val="000000"/>
                <w:szCs w:val="21"/>
                <w:lang w:val="en-US" w:eastAsia="zh-CN"/>
              </w:rPr>
              <w:t>60</w:t>
            </w:r>
            <w:r>
              <w:rPr>
                <w:rFonts w:hint="eastAsia" w:ascii="宋体" w:hAnsi="宋体"/>
                <w:b/>
                <w:color w:val="000000"/>
                <w:szCs w:val="21"/>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376" w:type="pct"/>
            <w:vAlign w:val="center"/>
          </w:tcPr>
          <w:p w14:paraId="1531086C">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ascii="宋体" w:hAnsi="宋体"/>
                <w:color w:val="000000"/>
                <w:szCs w:val="21"/>
              </w:rPr>
              <w:t>1</w:t>
            </w:r>
          </w:p>
        </w:tc>
        <w:tc>
          <w:tcPr>
            <w:tcW w:w="637" w:type="pct"/>
            <w:vAlign w:val="center"/>
          </w:tcPr>
          <w:p w14:paraId="151CCA0A">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rPr>
              <w:t>项目</w:t>
            </w:r>
            <w:r>
              <w:rPr>
                <w:rFonts w:hint="eastAsia" w:ascii="宋体" w:hAnsi="宋体"/>
                <w:color w:val="000000"/>
                <w:szCs w:val="21"/>
                <w:lang w:val="en-US" w:eastAsia="zh-CN"/>
              </w:rPr>
              <w:t>总体服务承诺</w:t>
            </w:r>
          </w:p>
        </w:tc>
        <w:tc>
          <w:tcPr>
            <w:tcW w:w="403" w:type="pct"/>
            <w:vAlign w:val="center"/>
          </w:tcPr>
          <w:p w14:paraId="0C7F9AF5">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lang w:val="en-US" w:eastAsia="zh-CN"/>
              </w:rPr>
              <w:t>15</w:t>
            </w:r>
            <w:r>
              <w:rPr>
                <w:rFonts w:hint="eastAsia" w:ascii="宋体" w:hAnsi="宋体"/>
                <w:color w:val="000000"/>
                <w:szCs w:val="21"/>
              </w:rPr>
              <w:t>分</w:t>
            </w:r>
          </w:p>
        </w:tc>
        <w:tc>
          <w:tcPr>
            <w:tcW w:w="3582" w:type="pct"/>
            <w:vAlign w:val="center"/>
          </w:tcPr>
          <w:p w14:paraId="33C98521">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b/>
                <w:bCs/>
                <w:color w:val="auto"/>
                <w:szCs w:val="21"/>
              </w:rPr>
            </w:pPr>
            <w:r>
              <w:rPr>
                <w:rFonts w:hint="eastAsia" w:ascii="宋体" w:hAnsi="宋体"/>
                <w:b/>
                <w:bCs/>
                <w:color w:val="auto"/>
                <w:szCs w:val="21"/>
              </w:rPr>
              <w:t>根据供应商对本项目</w:t>
            </w:r>
            <w:r>
              <w:rPr>
                <w:rFonts w:hint="eastAsia" w:ascii="宋体" w:hAnsi="宋体"/>
                <w:b/>
                <w:bCs/>
                <w:color w:val="auto"/>
                <w:szCs w:val="21"/>
                <w:lang w:val="en-US" w:eastAsia="zh-CN"/>
              </w:rPr>
              <w:t>提供的总体服务承诺</w:t>
            </w:r>
            <w:r>
              <w:rPr>
                <w:rFonts w:hint="eastAsia" w:ascii="宋体" w:hAnsi="宋体" w:cs="宋体"/>
                <w:b/>
                <w:bCs/>
                <w:color w:val="auto"/>
                <w:kern w:val="0"/>
                <w:szCs w:val="21"/>
                <w:lang w:eastAsia="zh-CN"/>
              </w:rPr>
              <w:t>（</w:t>
            </w:r>
            <w:r>
              <w:rPr>
                <w:rFonts w:hint="eastAsia" w:ascii="宋体" w:hAnsi="宋体" w:cs="宋体"/>
                <w:b/>
                <w:bCs/>
                <w:color w:val="auto"/>
                <w:kern w:val="0"/>
                <w:szCs w:val="21"/>
              </w:rPr>
              <w:t>包括</w:t>
            </w:r>
            <w:r>
              <w:rPr>
                <w:rFonts w:hint="eastAsia" w:ascii="宋体" w:hAnsi="宋体" w:cs="宋体"/>
                <w:b/>
                <w:bCs/>
                <w:color w:val="auto"/>
                <w:kern w:val="0"/>
                <w:szCs w:val="21"/>
                <w:lang w:val="en-US" w:eastAsia="zh-CN"/>
              </w:rPr>
              <w:t>但</w:t>
            </w:r>
            <w:r>
              <w:rPr>
                <w:rFonts w:hint="eastAsia" w:ascii="宋体" w:hAnsi="宋体" w:cs="宋体"/>
                <w:b/>
                <w:bCs/>
                <w:color w:val="auto"/>
                <w:kern w:val="0"/>
                <w:szCs w:val="21"/>
              </w:rPr>
              <w:t>不限于：</w:t>
            </w:r>
            <w:r>
              <w:rPr>
                <w:rFonts w:hint="eastAsia" w:ascii="宋体" w:hAnsi="宋体" w:cs="宋体"/>
                <w:b/>
                <w:bCs/>
                <w:color w:val="auto"/>
                <w:kern w:val="0"/>
                <w:szCs w:val="21"/>
                <w:lang w:val="en-US" w:eastAsia="zh-CN"/>
              </w:rPr>
              <w:t>服务沟通承诺</w:t>
            </w:r>
            <w:r>
              <w:rPr>
                <w:rFonts w:hint="eastAsia" w:ascii="宋体" w:hAnsi="宋体" w:cs="宋体"/>
                <w:b/>
                <w:bCs/>
                <w:color w:val="auto"/>
                <w:kern w:val="0"/>
                <w:szCs w:val="21"/>
              </w:rPr>
              <w:t>、设备和专业技术能力、</w:t>
            </w:r>
            <w:r>
              <w:rPr>
                <w:rFonts w:hint="eastAsia" w:ascii="宋体" w:hAnsi="宋体" w:cs="宋体"/>
                <w:b/>
                <w:bCs/>
                <w:color w:val="auto"/>
                <w:kern w:val="0"/>
                <w:szCs w:val="21"/>
                <w:lang w:val="en-US" w:eastAsia="zh-CN"/>
              </w:rPr>
              <w:t>服务人员配备、结案时效性</w:t>
            </w:r>
            <w:r>
              <w:rPr>
                <w:rFonts w:hint="eastAsia" w:ascii="宋体" w:hAnsi="宋体" w:cs="宋体"/>
                <w:b/>
                <w:bCs/>
                <w:color w:val="auto"/>
                <w:kern w:val="0"/>
                <w:szCs w:val="21"/>
              </w:rPr>
              <w:t>等</w:t>
            </w:r>
            <w:r>
              <w:rPr>
                <w:rFonts w:hint="eastAsia" w:ascii="宋体" w:hAnsi="宋体" w:cs="宋体"/>
                <w:b/>
                <w:bCs/>
                <w:color w:val="auto"/>
                <w:kern w:val="0"/>
                <w:szCs w:val="21"/>
                <w:lang w:eastAsia="zh-CN"/>
              </w:rPr>
              <w:t>）</w:t>
            </w:r>
            <w:r>
              <w:rPr>
                <w:rFonts w:hint="eastAsia" w:ascii="宋体" w:hAnsi="宋体"/>
                <w:b/>
                <w:bCs/>
                <w:color w:val="auto"/>
                <w:szCs w:val="21"/>
              </w:rPr>
              <w:t>进行评审：</w:t>
            </w:r>
          </w:p>
          <w:p w14:paraId="0FE4E566">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服务承诺非常</w:t>
            </w:r>
            <w:r>
              <w:rPr>
                <w:rFonts w:hint="eastAsia" w:ascii="宋体" w:hAnsi="宋体"/>
                <w:color w:val="000000"/>
                <w:szCs w:val="21"/>
              </w:rPr>
              <w:t>完整、详细、有效</w:t>
            </w:r>
            <w:r>
              <w:rPr>
                <w:rFonts w:hint="eastAsia" w:ascii="宋体" w:hAnsi="宋体"/>
                <w:color w:val="000000"/>
                <w:szCs w:val="21"/>
                <w:lang w:eastAsia="zh-CN"/>
              </w:rPr>
              <w:t>，</w:t>
            </w:r>
            <w:r>
              <w:rPr>
                <w:rFonts w:hint="eastAsia" w:ascii="宋体" w:hAnsi="宋体"/>
                <w:color w:val="000000"/>
                <w:szCs w:val="21"/>
                <w:lang w:val="en-US" w:eastAsia="zh-CN"/>
              </w:rPr>
              <w:t>供应商针对本项目提供了专门的沟通渠道，设备及服务人员充足、人员专业技术能力强且经验丰富</w:t>
            </w:r>
            <w:r>
              <w:rPr>
                <w:rFonts w:hint="eastAsia" w:ascii="宋体" w:hAnsi="宋体"/>
                <w:color w:val="000000"/>
                <w:szCs w:val="21"/>
              </w:rPr>
              <w:t>，结案时效性</w:t>
            </w:r>
            <w:r>
              <w:rPr>
                <w:rFonts w:hint="eastAsia" w:ascii="宋体" w:hAnsi="宋体"/>
                <w:color w:val="000000"/>
                <w:szCs w:val="21"/>
                <w:lang w:val="en-US" w:eastAsia="zh-CN"/>
              </w:rPr>
              <w:t>强，能完全满足且优于采购需求要求的</w:t>
            </w:r>
            <w:r>
              <w:rPr>
                <w:rFonts w:hint="eastAsia" w:ascii="宋体" w:hAnsi="宋体"/>
                <w:color w:val="000000"/>
                <w:szCs w:val="21"/>
                <w:lang w:eastAsia="zh-CN"/>
              </w:rPr>
              <w:t>，</w:t>
            </w:r>
            <w:r>
              <w:rPr>
                <w:rFonts w:hint="eastAsia" w:ascii="宋体" w:hAnsi="宋体"/>
                <w:color w:val="000000"/>
                <w:szCs w:val="21"/>
              </w:rPr>
              <w:t>得15分；</w:t>
            </w:r>
          </w:p>
          <w:p w14:paraId="5A451A1D">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2、</w:t>
            </w:r>
            <w:r>
              <w:rPr>
                <w:rFonts w:hint="eastAsia" w:ascii="宋体" w:hAnsi="宋体"/>
                <w:color w:val="000000"/>
                <w:szCs w:val="21"/>
                <w:lang w:val="en-US" w:eastAsia="zh-CN"/>
              </w:rPr>
              <w:t>服务承诺</w:t>
            </w:r>
            <w:r>
              <w:rPr>
                <w:rFonts w:hint="eastAsia" w:ascii="宋体" w:hAnsi="宋体"/>
                <w:color w:val="000000"/>
                <w:szCs w:val="21"/>
              </w:rPr>
              <w:t>完整、有效</w:t>
            </w:r>
            <w:r>
              <w:rPr>
                <w:rFonts w:hint="eastAsia" w:ascii="宋体" w:hAnsi="宋体"/>
                <w:color w:val="000000"/>
                <w:szCs w:val="21"/>
                <w:lang w:eastAsia="zh-CN"/>
              </w:rPr>
              <w:t>，</w:t>
            </w:r>
            <w:r>
              <w:rPr>
                <w:rFonts w:hint="eastAsia" w:ascii="宋体" w:hAnsi="宋体"/>
                <w:color w:val="000000"/>
                <w:szCs w:val="21"/>
                <w:lang w:val="en-US" w:eastAsia="zh-CN"/>
              </w:rPr>
              <w:t>供应商针对本项目提供了专门的服务沟通承诺，设备及服务人员较为充足、人员专业技术能力强</w:t>
            </w:r>
            <w:r>
              <w:rPr>
                <w:rFonts w:hint="eastAsia" w:ascii="宋体" w:hAnsi="宋体"/>
                <w:color w:val="000000"/>
                <w:szCs w:val="21"/>
              </w:rPr>
              <w:t>，结案时效性</w:t>
            </w:r>
            <w:r>
              <w:rPr>
                <w:rFonts w:hint="eastAsia" w:ascii="宋体" w:hAnsi="宋体"/>
                <w:color w:val="000000"/>
                <w:szCs w:val="21"/>
                <w:lang w:val="en-US" w:eastAsia="zh-CN"/>
              </w:rPr>
              <w:t>较强，能完全满足采购需求要求的</w:t>
            </w:r>
            <w:r>
              <w:rPr>
                <w:rFonts w:hint="eastAsia" w:ascii="宋体" w:hAnsi="宋体"/>
                <w:color w:val="000000"/>
                <w:szCs w:val="21"/>
                <w:lang w:eastAsia="zh-CN"/>
              </w:rPr>
              <w:t>，</w:t>
            </w:r>
            <w:r>
              <w:rPr>
                <w:rFonts w:hint="eastAsia" w:ascii="宋体" w:hAnsi="宋体"/>
                <w:color w:val="000000"/>
                <w:szCs w:val="21"/>
              </w:rPr>
              <w:t>得10分；</w:t>
            </w:r>
          </w:p>
          <w:p w14:paraId="7442E9B8">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3、</w:t>
            </w:r>
            <w:r>
              <w:rPr>
                <w:rFonts w:hint="eastAsia" w:ascii="宋体" w:hAnsi="宋体"/>
                <w:color w:val="000000"/>
                <w:szCs w:val="21"/>
                <w:lang w:val="en-US" w:eastAsia="zh-CN"/>
              </w:rPr>
              <w:t>服务承诺较为</w:t>
            </w:r>
            <w:r>
              <w:rPr>
                <w:rFonts w:hint="eastAsia" w:ascii="宋体" w:hAnsi="宋体"/>
                <w:color w:val="000000"/>
                <w:szCs w:val="21"/>
              </w:rPr>
              <w:t>完整、有效</w:t>
            </w:r>
            <w:r>
              <w:rPr>
                <w:rFonts w:hint="eastAsia" w:ascii="宋体" w:hAnsi="宋体"/>
                <w:color w:val="000000"/>
                <w:szCs w:val="21"/>
                <w:lang w:eastAsia="zh-CN"/>
              </w:rPr>
              <w:t>，</w:t>
            </w:r>
            <w:r>
              <w:rPr>
                <w:rFonts w:hint="eastAsia" w:ascii="宋体" w:hAnsi="宋体"/>
                <w:color w:val="000000"/>
                <w:szCs w:val="21"/>
                <w:lang w:val="en-US" w:eastAsia="zh-CN"/>
              </w:rPr>
              <w:t>供应商针对本项目提供了部分服务沟通承诺，拟投入本项目的设备及服务人员明确，基本能满足采购需求要求的</w:t>
            </w:r>
            <w:r>
              <w:rPr>
                <w:rFonts w:hint="eastAsia" w:ascii="宋体" w:hAnsi="宋体"/>
                <w:color w:val="000000"/>
                <w:szCs w:val="21"/>
                <w:lang w:eastAsia="zh-CN"/>
              </w:rPr>
              <w:t>，</w:t>
            </w:r>
            <w:r>
              <w:rPr>
                <w:rFonts w:hint="eastAsia" w:ascii="宋体" w:hAnsi="宋体"/>
                <w:color w:val="000000"/>
                <w:szCs w:val="21"/>
              </w:rPr>
              <w:t>5分；</w:t>
            </w:r>
          </w:p>
          <w:p w14:paraId="1B03C2D1">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4、</w:t>
            </w:r>
            <w:r>
              <w:rPr>
                <w:rFonts w:hint="eastAsia" w:ascii="宋体" w:hAnsi="宋体"/>
                <w:color w:val="000000"/>
                <w:szCs w:val="21"/>
                <w:lang w:val="en-US" w:eastAsia="zh-CN"/>
              </w:rPr>
              <w:t>服务承诺不</w:t>
            </w:r>
            <w:r>
              <w:rPr>
                <w:rFonts w:hint="eastAsia" w:ascii="宋体" w:hAnsi="宋体"/>
                <w:color w:val="000000"/>
                <w:szCs w:val="21"/>
              </w:rPr>
              <w:t>完整</w:t>
            </w:r>
            <w:r>
              <w:rPr>
                <w:rFonts w:hint="eastAsia" w:ascii="宋体" w:hAnsi="宋体"/>
                <w:color w:val="000000"/>
                <w:szCs w:val="21"/>
                <w:lang w:eastAsia="zh-CN"/>
              </w:rPr>
              <w:t>，</w:t>
            </w:r>
            <w:r>
              <w:rPr>
                <w:rFonts w:hint="eastAsia" w:ascii="宋体" w:hAnsi="宋体"/>
                <w:color w:val="000000"/>
                <w:szCs w:val="21"/>
                <w:lang w:val="en-US" w:eastAsia="zh-CN"/>
              </w:rPr>
              <w:t>拟投入本项目的设备及服务人员不明确，难以满足采购需求要求的</w:t>
            </w:r>
            <w:r>
              <w:rPr>
                <w:rFonts w:hint="eastAsia" w:ascii="宋体" w:hAnsi="宋体"/>
                <w:color w:val="000000"/>
                <w:szCs w:val="21"/>
                <w:lang w:eastAsia="zh-CN"/>
              </w:rPr>
              <w:t>，</w:t>
            </w:r>
            <w:r>
              <w:rPr>
                <w:rFonts w:hint="eastAsia" w:ascii="宋体" w:hAnsi="宋体"/>
                <w:color w:val="000000"/>
                <w:szCs w:val="21"/>
              </w:rPr>
              <w:t>得1分；</w:t>
            </w:r>
          </w:p>
          <w:p w14:paraId="5417CF82">
            <w:pPr>
              <w:keepNext w:val="0"/>
              <w:keepLines w:val="0"/>
              <w:pageBreakBefore w:val="0"/>
              <w:kinsoku/>
              <w:wordWrap/>
              <w:overflowPunct/>
              <w:topLinePunct w:val="0"/>
              <w:autoSpaceDE/>
              <w:autoSpaceDN/>
              <w:bidi w:val="0"/>
              <w:adjustRightInd/>
              <w:snapToGrid w:val="0"/>
              <w:spacing w:line="360" w:lineRule="auto"/>
              <w:textAlignment w:val="auto"/>
              <w:rPr>
                <w:rFonts w:ascii="宋体" w:hAnsi="宋体"/>
                <w:color w:val="000000"/>
                <w:szCs w:val="21"/>
              </w:rPr>
            </w:pPr>
            <w:r>
              <w:rPr>
                <w:rFonts w:hint="eastAsia" w:ascii="宋体" w:hAnsi="宋体"/>
                <w:color w:val="000000"/>
                <w:szCs w:val="21"/>
              </w:rPr>
              <w:t>5、未提供</w:t>
            </w:r>
            <w:r>
              <w:rPr>
                <w:rFonts w:hint="eastAsia" w:ascii="宋体" w:hAnsi="宋体"/>
                <w:color w:val="000000"/>
                <w:szCs w:val="21"/>
                <w:lang w:val="en-US" w:eastAsia="zh-CN"/>
              </w:rPr>
              <w:t>相关承诺</w:t>
            </w:r>
            <w:r>
              <w:rPr>
                <w:rFonts w:hint="eastAsia" w:ascii="宋体" w:hAnsi="宋体"/>
                <w:color w:val="000000"/>
                <w:szCs w:val="21"/>
              </w:rPr>
              <w:t>的，得0分。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376" w:type="pct"/>
            <w:vAlign w:val="center"/>
          </w:tcPr>
          <w:p w14:paraId="787D74F6">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olor w:val="000000"/>
                <w:szCs w:val="21"/>
                <w:lang w:val="en-US" w:eastAsia="zh-CN"/>
              </w:rPr>
            </w:pPr>
            <w:r>
              <w:rPr>
                <w:rFonts w:hint="eastAsia" w:ascii="宋体" w:hAnsi="宋体"/>
                <w:color w:val="000000"/>
                <w:szCs w:val="21"/>
                <w:lang w:val="en-US" w:eastAsia="zh-CN"/>
              </w:rPr>
              <w:t>2</w:t>
            </w:r>
          </w:p>
        </w:tc>
        <w:tc>
          <w:tcPr>
            <w:tcW w:w="637" w:type="pct"/>
            <w:vAlign w:val="center"/>
          </w:tcPr>
          <w:p w14:paraId="7FFCED56">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bCs/>
                <w:color w:val="000000"/>
                <w:szCs w:val="21"/>
              </w:rPr>
            </w:pPr>
            <w:r>
              <w:rPr>
                <w:rFonts w:hint="eastAsia" w:ascii="宋体" w:hAnsi="宋体"/>
                <w:bCs/>
                <w:color w:val="000000"/>
                <w:szCs w:val="21"/>
              </w:rPr>
              <w:t>实施计划及理赔方案</w:t>
            </w:r>
          </w:p>
        </w:tc>
        <w:tc>
          <w:tcPr>
            <w:tcW w:w="403" w:type="pct"/>
            <w:vAlign w:val="center"/>
          </w:tcPr>
          <w:p w14:paraId="2529F2B5">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hint="default" w:ascii="宋体" w:hAnsi="宋体" w:eastAsia="宋体"/>
                <w:bCs/>
                <w:color w:val="000000"/>
                <w:szCs w:val="21"/>
                <w:lang w:val="en-US" w:eastAsia="zh-CN"/>
              </w:rPr>
            </w:pPr>
            <w:r>
              <w:rPr>
                <w:rFonts w:hint="eastAsia" w:ascii="宋体" w:hAnsi="宋体"/>
                <w:color w:val="000000"/>
                <w:szCs w:val="21"/>
                <w:lang w:val="en-US" w:eastAsia="zh-CN"/>
              </w:rPr>
              <w:t>15分</w:t>
            </w:r>
          </w:p>
        </w:tc>
        <w:tc>
          <w:tcPr>
            <w:tcW w:w="3582" w:type="pct"/>
            <w:vAlign w:val="center"/>
          </w:tcPr>
          <w:p w14:paraId="77C536F1">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b/>
                <w:bCs/>
                <w:color w:val="000000"/>
                <w:szCs w:val="21"/>
              </w:rPr>
            </w:pPr>
            <w:r>
              <w:rPr>
                <w:rFonts w:hint="eastAsia" w:ascii="宋体" w:hAnsi="宋体"/>
                <w:b/>
                <w:bCs/>
                <w:color w:val="000000"/>
                <w:szCs w:val="21"/>
              </w:rPr>
              <w:t>根据供应商</w:t>
            </w:r>
            <w:r>
              <w:rPr>
                <w:rFonts w:hint="eastAsia" w:ascii="宋体" w:hAnsi="宋体"/>
                <w:b/>
                <w:bCs/>
                <w:color w:val="auto"/>
                <w:szCs w:val="21"/>
              </w:rPr>
              <w:t>对本项目</w:t>
            </w:r>
            <w:r>
              <w:rPr>
                <w:rFonts w:hint="eastAsia" w:ascii="宋体" w:hAnsi="宋体"/>
                <w:b/>
                <w:bCs/>
                <w:color w:val="auto"/>
                <w:szCs w:val="21"/>
                <w:lang w:val="en-US" w:eastAsia="zh-CN"/>
              </w:rPr>
              <w:t>提供</w:t>
            </w:r>
            <w:r>
              <w:rPr>
                <w:rFonts w:hint="eastAsia" w:ascii="宋体" w:hAnsi="宋体"/>
                <w:b/>
                <w:bCs/>
                <w:color w:val="000000"/>
                <w:szCs w:val="21"/>
              </w:rPr>
              <w:t>的实施计划及理赔方案</w:t>
            </w:r>
            <w:r>
              <w:rPr>
                <w:rFonts w:hint="eastAsia" w:ascii="宋体" w:hAnsi="宋体"/>
                <w:b/>
                <w:bCs/>
                <w:color w:val="000000"/>
                <w:szCs w:val="21"/>
                <w:lang w:eastAsia="zh-CN"/>
              </w:rPr>
              <w:t>（</w:t>
            </w:r>
            <w:r>
              <w:rPr>
                <w:rFonts w:hint="eastAsia" w:ascii="宋体" w:hAnsi="宋体"/>
                <w:b/>
                <w:bCs/>
                <w:color w:val="000000"/>
                <w:szCs w:val="21"/>
                <w:lang w:val="en-US" w:eastAsia="zh-CN"/>
              </w:rPr>
              <w:t>包括但不限于：承保范围、理赔服务方案、项目实施进度安排等</w:t>
            </w:r>
            <w:r>
              <w:rPr>
                <w:rFonts w:hint="eastAsia" w:ascii="宋体" w:hAnsi="宋体"/>
                <w:b/>
                <w:bCs/>
                <w:color w:val="000000"/>
                <w:szCs w:val="21"/>
                <w:lang w:eastAsia="zh-CN"/>
              </w:rPr>
              <w:t>）</w:t>
            </w:r>
            <w:r>
              <w:rPr>
                <w:rFonts w:hint="eastAsia" w:ascii="宋体" w:hAnsi="宋体"/>
                <w:b/>
                <w:bCs/>
                <w:color w:val="000000"/>
                <w:szCs w:val="21"/>
              </w:rPr>
              <w:t>进行评审：</w:t>
            </w:r>
          </w:p>
          <w:p w14:paraId="5585B0A8">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1、方案非常完整、详细、有效</w:t>
            </w:r>
            <w:r>
              <w:rPr>
                <w:rFonts w:hint="eastAsia" w:ascii="宋体" w:hAnsi="宋体"/>
                <w:color w:val="000000"/>
                <w:szCs w:val="21"/>
                <w:lang w:eastAsia="zh-CN"/>
              </w:rPr>
              <w:t>，</w:t>
            </w:r>
            <w:r>
              <w:rPr>
                <w:rFonts w:hint="eastAsia" w:ascii="宋体" w:hAnsi="宋体"/>
                <w:color w:val="000000"/>
                <w:szCs w:val="21"/>
              </w:rPr>
              <w:t>对本项目的承保范围明确、内容清楚</w:t>
            </w:r>
            <w:r>
              <w:rPr>
                <w:rFonts w:hint="eastAsia" w:ascii="宋体" w:hAnsi="宋体"/>
                <w:color w:val="000000"/>
                <w:szCs w:val="21"/>
                <w:lang w:eastAsia="zh-CN"/>
              </w:rPr>
              <w:t>，</w:t>
            </w:r>
            <w:r>
              <w:rPr>
                <w:rFonts w:hint="eastAsia" w:ascii="宋体" w:hAnsi="宋体"/>
                <w:color w:val="000000"/>
                <w:szCs w:val="21"/>
              </w:rPr>
              <w:t>理赔服务方案编制工作的思路及方法论述详细、合理</w:t>
            </w:r>
            <w:r>
              <w:rPr>
                <w:rFonts w:hint="eastAsia" w:ascii="宋体" w:hAnsi="宋体"/>
                <w:color w:val="000000"/>
                <w:szCs w:val="21"/>
                <w:lang w:eastAsia="zh-CN"/>
              </w:rPr>
              <w:t>，</w:t>
            </w:r>
            <w:r>
              <w:rPr>
                <w:rFonts w:hint="eastAsia" w:ascii="宋体" w:hAnsi="宋体"/>
                <w:color w:val="000000"/>
                <w:szCs w:val="21"/>
              </w:rPr>
              <w:t>项目实施进度安排合理有效，有进度保障措施</w:t>
            </w:r>
            <w:r>
              <w:rPr>
                <w:rFonts w:hint="eastAsia" w:ascii="宋体" w:hAnsi="宋体"/>
                <w:color w:val="000000"/>
                <w:szCs w:val="21"/>
                <w:lang w:eastAsia="zh-CN"/>
              </w:rPr>
              <w:t>，</w:t>
            </w:r>
            <w:r>
              <w:rPr>
                <w:rFonts w:hint="eastAsia" w:ascii="宋体" w:hAnsi="宋体"/>
                <w:color w:val="000000"/>
                <w:szCs w:val="21"/>
                <w:lang w:val="en-US" w:eastAsia="zh-CN"/>
              </w:rPr>
              <w:t>能完全满足且优于采购需求要求的</w:t>
            </w:r>
            <w:r>
              <w:rPr>
                <w:rFonts w:hint="eastAsia" w:ascii="宋体" w:hAnsi="宋体"/>
                <w:color w:val="000000"/>
                <w:szCs w:val="21"/>
                <w:lang w:eastAsia="zh-CN"/>
              </w:rPr>
              <w:t>，</w:t>
            </w:r>
            <w:r>
              <w:rPr>
                <w:rFonts w:hint="eastAsia" w:ascii="宋体" w:hAnsi="宋体"/>
                <w:color w:val="000000"/>
                <w:szCs w:val="21"/>
              </w:rPr>
              <w:t>得15分；</w:t>
            </w:r>
          </w:p>
          <w:p w14:paraId="5CB0B947">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2、方案完整、有效</w:t>
            </w:r>
            <w:r>
              <w:rPr>
                <w:rFonts w:hint="eastAsia" w:ascii="宋体" w:hAnsi="宋体"/>
                <w:color w:val="000000"/>
                <w:szCs w:val="21"/>
                <w:lang w:eastAsia="zh-CN"/>
              </w:rPr>
              <w:t>，</w:t>
            </w:r>
            <w:r>
              <w:rPr>
                <w:rFonts w:hint="eastAsia" w:ascii="宋体" w:hAnsi="宋体"/>
                <w:color w:val="000000"/>
                <w:szCs w:val="21"/>
              </w:rPr>
              <w:t>对本项目的承保范围</w:t>
            </w:r>
            <w:r>
              <w:rPr>
                <w:rFonts w:hint="eastAsia" w:ascii="宋体" w:hAnsi="宋体"/>
                <w:color w:val="000000"/>
                <w:szCs w:val="21"/>
                <w:lang w:eastAsia="zh-CN"/>
              </w:rPr>
              <w:t>、</w:t>
            </w:r>
            <w:r>
              <w:rPr>
                <w:rFonts w:hint="eastAsia" w:ascii="宋体" w:hAnsi="宋体"/>
                <w:color w:val="000000"/>
                <w:szCs w:val="21"/>
                <w:lang w:val="en-US" w:eastAsia="zh-CN"/>
              </w:rPr>
              <w:t>内容较为</w:t>
            </w:r>
            <w:r>
              <w:rPr>
                <w:rFonts w:hint="eastAsia" w:ascii="宋体" w:hAnsi="宋体"/>
                <w:color w:val="000000"/>
                <w:szCs w:val="21"/>
              </w:rPr>
              <w:t>明确</w:t>
            </w:r>
            <w:r>
              <w:rPr>
                <w:rFonts w:hint="eastAsia" w:ascii="宋体" w:hAnsi="宋体"/>
                <w:color w:val="000000"/>
                <w:szCs w:val="21"/>
                <w:lang w:eastAsia="zh-CN"/>
              </w:rPr>
              <w:t>，</w:t>
            </w:r>
            <w:r>
              <w:rPr>
                <w:rFonts w:hint="eastAsia" w:ascii="宋体" w:hAnsi="宋体"/>
                <w:color w:val="000000"/>
                <w:szCs w:val="21"/>
              </w:rPr>
              <w:t>理赔服务方案编制工作的思路及方法论述</w:t>
            </w:r>
            <w:r>
              <w:rPr>
                <w:rFonts w:hint="eastAsia" w:ascii="宋体" w:hAnsi="宋体"/>
                <w:color w:val="000000"/>
                <w:szCs w:val="21"/>
                <w:lang w:val="en-US" w:eastAsia="zh-CN"/>
              </w:rPr>
              <w:t>较为合理</w:t>
            </w:r>
            <w:r>
              <w:rPr>
                <w:rFonts w:hint="eastAsia" w:ascii="宋体" w:hAnsi="宋体"/>
                <w:color w:val="000000"/>
                <w:szCs w:val="21"/>
                <w:lang w:eastAsia="zh-CN"/>
              </w:rPr>
              <w:t>，</w:t>
            </w:r>
            <w:r>
              <w:rPr>
                <w:rFonts w:hint="eastAsia" w:ascii="宋体" w:hAnsi="宋体"/>
                <w:color w:val="000000"/>
                <w:szCs w:val="21"/>
              </w:rPr>
              <w:t>有项目实施进度安排，有进度保障措施</w:t>
            </w:r>
            <w:r>
              <w:rPr>
                <w:rFonts w:hint="eastAsia" w:ascii="宋体" w:hAnsi="宋体"/>
                <w:color w:val="000000"/>
                <w:szCs w:val="21"/>
                <w:lang w:eastAsia="zh-CN"/>
              </w:rPr>
              <w:t>，</w:t>
            </w:r>
            <w:r>
              <w:rPr>
                <w:rFonts w:hint="eastAsia" w:ascii="宋体" w:hAnsi="宋体"/>
                <w:color w:val="000000"/>
                <w:szCs w:val="21"/>
                <w:lang w:val="en-US" w:eastAsia="zh-CN"/>
              </w:rPr>
              <w:t>能完全满足采购需求要求的</w:t>
            </w:r>
            <w:r>
              <w:rPr>
                <w:rFonts w:hint="eastAsia" w:ascii="宋体" w:hAnsi="宋体"/>
                <w:color w:val="000000"/>
                <w:szCs w:val="21"/>
                <w:lang w:eastAsia="zh-CN"/>
              </w:rPr>
              <w:t>，</w:t>
            </w:r>
            <w:r>
              <w:rPr>
                <w:rFonts w:hint="eastAsia" w:ascii="宋体" w:hAnsi="宋体"/>
                <w:color w:val="000000"/>
                <w:szCs w:val="21"/>
              </w:rPr>
              <w:t>得10分；</w:t>
            </w:r>
          </w:p>
          <w:p w14:paraId="6949D612">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3、方案基本完整</w:t>
            </w:r>
            <w:r>
              <w:rPr>
                <w:rFonts w:hint="eastAsia" w:ascii="宋体" w:hAnsi="宋体"/>
                <w:color w:val="000000"/>
                <w:szCs w:val="21"/>
                <w:lang w:eastAsia="zh-CN"/>
              </w:rPr>
              <w:t>，</w:t>
            </w:r>
            <w:r>
              <w:rPr>
                <w:rFonts w:hint="eastAsia" w:ascii="宋体" w:hAnsi="宋体"/>
                <w:color w:val="000000"/>
                <w:szCs w:val="21"/>
              </w:rPr>
              <w:t>对本项目的承保范围</w:t>
            </w:r>
            <w:r>
              <w:rPr>
                <w:rFonts w:hint="eastAsia" w:ascii="宋体" w:hAnsi="宋体"/>
                <w:color w:val="000000"/>
                <w:szCs w:val="21"/>
                <w:lang w:val="en-US" w:eastAsia="zh-CN"/>
              </w:rPr>
              <w:t>有一定认识</w:t>
            </w:r>
            <w:r>
              <w:rPr>
                <w:rFonts w:hint="eastAsia" w:ascii="宋体" w:hAnsi="宋体"/>
                <w:color w:val="000000"/>
                <w:szCs w:val="21"/>
              </w:rPr>
              <w:t>，理赔服务方案编制工作的思路及方法论述</w:t>
            </w:r>
            <w:r>
              <w:rPr>
                <w:rFonts w:hint="eastAsia" w:ascii="宋体" w:hAnsi="宋体"/>
                <w:color w:val="000000"/>
                <w:szCs w:val="21"/>
                <w:lang w:val="en-US" w:eastAsia="zh-CN"/>
              </w:rPr>
              <w:t>较为清晰</w:t>
            </w:r>
            <w:r>
              <w:rPr>
                <w:rFonts w:hint="eastAsia" w:ascii="宋体" w:hAnsi="宋体"/>
                <w:color w:val="000000"/>
                <w:szCs w:val="21"/>
                <w:lang w:eastAsia="zh-CN"/>
              </w:rPr>
              <w:t>，</w:t>
            </w:r>
            <w:r>
              <w:rPr>
                <w:rFonts w:hint="eastAsia" w:ascii="宋体" w:hAnsi="宋体"/>
                <w:color w:val="000000"/>
                <w:szCs w:val="21"/>
              </w:rPr>
              <w:t>项目组织不具体，有项目实施进度安排</w:t>
            </w:r>
            <w:r>
              <w:rPr>
                <w:rFonts w:hint="eastAsia" w:ascii="宋体" w:hAnsi="宋体"/>
                <w:color w:val="000000"/>
                <w:szCs w:val="21"/>
                <w:lang w:val="en-US" w:eastAsia="zh-CN"/>
              </w:rPr>
              <w:t>和</w:t>
            </w:r>
            <w:r>
              <w:rPr>
                <w:rFonts w:hint="eastAsia" w:ascii="宋体" w:hAnsi="宋体"/>
                <w:color w:val="000000"/>
                <w:szCs w:val="21"/>
              </w:rPr>
              <w:t>进度保障措施</w:t>
            </w:r>
            <w:r>
              <w:rPr>
                <w:rFonts w:hint="eastAsia" w:ascii="宋体" w:hAnsi="宋体"/>
                <w:color w:val="000000"/>
                <w:szCs w:val="21"/>
                <w:lang w:val="en-US" w:eastAsia="zh-CN"/>
              </w:rPr>
              <w:t>，基本能满足采购需求要求的</w:t>
            </w:r>
            <w:r>
              <w:rPr>
                <w:rFonts w:hint="eastAsia" w:ascii="宋体" w:hAnsi="宋体"/>
                <w:color w:val="000000"/>
                <w:szCs w:val="21"/>
                <w:lang w:eastAsia="zh-CN"/>
              </w:rPr>
              <w:t>，</w:t>
            </w:r>
            <w:r>
              <w:rPr>
                <w:rFonts w:hint="eastAsia" w:ascii="宋体" w:hAnsi="宋体"/>
                <w:color w:val="000000"/>
                <w:szCs w:val="21"/>
              </w:rPr>
              <w:t>得5分；</w:t>
            </w:r>
          </w:p>
          <w:p w14:paraId="0E4A8FEB">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4、提出了</w:t>
            </w:r>
            <w:r>
              <w:rPr>
                <w:rFonts w:hint="eastAsia" w:ascii="宋体" w:hAnsi="宋体"/>
                <w:color w:val="000000"/>
                <w:szCs w:val="21"/>
                <w:lang w:val="en-US" w:eastAsia="zh-CN"/>
              </w:rPr>
              <w:t>部分</w:t>
            </w:r>
            <w:r>
              <w:rPr>
                <w:rFonts w:hint="eastAsia" w:ascii="宋体" w:hAnsi="宋体"/>
                <w:color w:val="000000"/>
                <w:szCs w:val="21"/>
              </w:rPr>
              <w:t>服务方案，为承担本项目做了相关准备，理赔服务方案</w:t>
            </w:r>
            <w:r>
              <w:rPr>
                <w:rFonts w:hint="eastAsia" w:ascii="宋体" w:hAnsi="宋体"/>
                <w:color w:val="000000"/>
                <w:szCs w:val="21"/>
                <w:lang w:val="en-US" w:eastAsia="zh-CN"/>
              </w:rPr>
              <w:t>难以满足采购需求要求</w:t>
            </w:r>
            <w:r>
              <w:rPr>
                <w:rFonts w:hint="eastAsia" w:ascii="宋体" w:hAnsi="宋体"/>
                <w:color w:val="000000"/>
                <w:szCs w:val="21"/>
              </w:rPr>
              <w:t>的得1分；</w:t>
            </w:r>
          </w:p>
          <w:p w14:paraId="5679CA79">
            <w:pPr>
              <w:keepNext w:val="0"/>
              <w:keepLines w:val="0"/>
              <w:pageBreakBefore w:val="0"/>
              <w:kinsoku/>
              <w:wordWrap/>
              <w:overflowPunct/>
              <w:topLinePunct w:val="0"/>
              <w:autoSpaceDE/>
              <w:autoSpaceDN/>
              <w:bidi w:val="0"/>
              <w:adjustRightInd/>
              <w:snapToGrid w:val="0"/>
              <w:spacing w:line="360" w:lineRule="auto"/>
              <w:textAlignment w:val="auto"/>
              <w:rPr>
                <w:rFonts w:ascii="宋体" w:hAnsi="宋体" w:cs="宋体"/>
                <w:color w:val="000000"/>
                <w:kern w:val="0"/>
                <w:szCs w:val="21"/>
              </w:rPr>
            </w:pPr>
            <w:r>
              <w:rPr>
                <w:rFonts w:hint="eastAsia" w:ascii="宋体" w:hAnsi="宋体"/>
                <w:color w:val="000000"/>
                <w:szCs w:val="21"/>
              </w:rPr>
              <w:t>5、未提供</w:t>
            </w:r>
            <w:r>
              <w:rPr>
                <w:rFonts w:hint="eastAsia" w:ascii="宋体" w:hAnsi="宋体"/>
                <w:color w:val="000000"/>
                <w:szCs w:val="21"/>
                <w:lang w:val="en-US" w:eastAsia="zh-CN"/>
              </w:rPr>
              <w:t>相关</w:t>
            </w:r>
            <w:r>
              <w:rPr>
                <w:rFonts w:hint="eastAsia" w:ascii="宋体" w:hAnsi="宋体"/>
                <w:color w:val="000000"/>
                <w:szCs w:val="21"/>
              </w:rPr>
              <w:t>方案的，得0分。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76" w:type="pct"/>
            <w:vAlign w:val="center"/>
          </w:tcPr>
          <w:p w14:paraId="08B3E95D">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olor w:val="000000"/>
                <w:szCs w:val="21"/>
                <w:lang w:val="en-US" w:eastAsia="zh-CN"/>
              </w:rPr>
            </w:pPr>
            <w:r>
              <w:rPr>
                <w:rFonts w:hint="eastAsia" w:ascii="宋体" w:hAnsi="宋体"/>
                <w:color w:val="000000"/>
                <w:szCs w:val="21"/>
                <w:lang w:val="en-US" w:eastAsia="zh-CN"/>
              </w:rPr>
              <w:t>3</w:t>
            </w:r>
          </w:p>
        </w:tc>
        <w:tc>
          <w:tcPr>
            <w:tcW w:w="637" w:type="pct"/>
            <w:vAlign w:val="center"/>
          </w:tcPr>
          <w:p w14:paraId="790C3800">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bCs/>
                <w:color w:val="000000"/>
                <w:szCs w:val="21"/>
              </w:rPr>
            </w:pPr>
            <w:r>
              <w:rPr>
                <w:rFonts w:hint="eastAsia" w:ascii="宋体" w:hAnsi="宋体"/>
                <w:bCs/>
                <w:color w:val="000000"/>
                <w:szCs w:val="21"/>
              </w:rPr>
              <w:t>体系制度</w:t>
            </w:r>
          </w:p>
        </w:tc>
        <w:tc>
          <w:tcPr>
            <w:tcW w:w="403" w:type="pct"/>
            <w:vAlign w:val="center"/>
          </w:tcPr>
          <w:p w14:paraId="64CD4013">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lang w:val="en-US" w:eastAsia="zh-CN"/>
              </w:rPr>
              <w:t>10分</w:t>
            </w:r>
          </w:p>
        </w:tc>
        <w:tc>
          <w:tcPr>
            <w:tcW w:w="3582" w:type="pct"/>
            <w:vAlign w:val="center"/>
          </w:tcPr>
          <w:p w14:paraId="6F679F3B">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b/>
                <w:bCs/>
                <w:color w:val="000000"/>
                <w:szCs w:val="21"/>
              </w:rPr>
            </w:pPr>
            <w:r>
              <w:rPr>
                <w:rFonts w:hint="eastAsia" w:ascii="宋体" w:hAnsi="宋体"/>
                <w:b/>
                <w:bCs/>
                <w:color w:val="000000"/>
                <w:szCs w:val="21"/>
              </w:rPr>
              <w:t>根据供应商</w:t>
            </w:r>
            <w:r>
              <w:rPr>
                <w:rFonts w:hint="eastAsia" w:ascii="宋体" w:hAnsi="宋体"/>
                <w:b/>
                <w:bCs/>
                <w:color w:val="000000"/>
                <w:szCs w:val="21"/>
                <w:lang w:val="en-US" w:eastAsia="zh-CN"/>
              </w:rPr>
              <w:t>针对本项目</w:t>
            </w:r>
            <w:r>
              <w:rPr>
                <w:rFonts w:hint="eastAsia" w:ascii="宋体" w:hAnsi="宋体"/>
                <w:b/>
                <w:bCs/>
                <w:color w:val="000000"/>
                <w:szCs w:val="21"/>
              </w:rPr>
              <w:t>制定的体系制度（包括但不限于管理组织架构、人员分工、管理制度等）进行评审：</w:t>
            </w:r>
          </w:p>
          <w:p w14:paraId="337E68B4">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1、管理组织架构完善，人员分工管理计划科学合理、针对性</w:t>
            </w:r>
            <w:r>
              <w:rPr>
                <w:rFonts w:hint="eastAsia" w:ascii="宋体" w:hAnsi="宋体"/>
                <w:color w:val="000000"/>
                <w:szCs w:val="21"/>
                <w:lang w:val="en-US" w:eastAsia="zh-CN"/>
              </w:rPr>
              <w:t>强</w:t>
            </w:r>
            <w:r>
              <w:rPr>
                <w:rFonts w:hint="eastAsia" w:ascii="宋体" w:hAnsi="宋体"/>
                <w:color w:val="000000"/>
                <w:szCs w:val="21"/>
              </w:rPr>
              <w:t>，管理制度完善</w:t>
            </w:r>
            <w:r>
              <w:rPr>
                <w:rFonts w:hint="eastAsia" w:ascii="宋体" w:hAnsi="宋体"/>
                <w:color w:val="000000"/>
                <w:szCs w:val="21"/>
                <w:lang w:val="en-US" w:eastAsia="zh-CN"/>
              </w:rPr>
              <w:t>且可行</w:t>
            </w:r>
            <w:r>
              <w:rPr>
                <w:rFonts w:hint="eastAsia" w:ascii="宋体" w:hAnsi="宋体"/>
                <w:color w:val="000000"/>
                <w:szCs w:val="21"/>
              </w:rPr>
              <w:t>，能</w:t>
            </w:r>
            <w:r>
              <w:rPr>
                <w:rFonts w:hint="eastAsia" w:ascii="宋体" w:hAnsi="宋体"/>
                <w:color w:val="000000"/>
                <w:szCs w:val="21"/>
                <w:lang w:val="en-US" w:eastAsia="zh-CN"/>
              </w:rPr>
              <w:t>完全</w:t>
            </w:r>
            <w:r>
              <w:rPr>
                <w:rFonts w:hint="eastAsia" w:ascii="宋体" w:hAnsi="宋体"/>
                <w:color w:val="000000"/>
                <w:szCs w:val="21"/>
              </w:rPr>
              <w:t>满足且优于</w:t>
            </w:r>
            <w:r>
              <w:rPr>
                <w:rFonts w:hint="eastAsia" w:ascii="宋体" w:hAnsi="宋体"/>
                <w:color w:val="000000"/>
                <w:szCs w:val="21"/>
                <w:lang w:val="en-US" w:eastAsia="zh-CN"/>
              </w:rPr>
              <w:t>采购需求要求</w:t>
            </w:r>
            <w:r>
              <w:rPr>
                <w:rFonts w:hint="eastAsia" w:ascii="宋体" w:hAnsi="宋体"/>
                <w:color w:val="000000"/>
                <w:szCs w:val="21"/>
              </w:rPr>
              <w:t>的，得1</w:t>
            </w:r>
            <w:r>
              <w:rPr>
                <w:rFonts w:hint="eastAsia" w:ascii="宋体" w:hAnsi="宋体"/>
                <w:color w:val="000000"/>
                <w:szCs w:val="21"/>
                <w:lang w:val="en-US" w:eastAsia="zh-CN"/>
              </w:rPr>
              <w:t>0</w:t>
            </w:r>
            <w:r>
              <w:rPr>
                <w:rFonts w:hint="eastAsia" w:ascii="宋体" w:hAnsi="宋体"/>
                <w:color w:val="000000"/>
                <w:szCs w:val="21"/>
              </w:rPr>
              <w:t>分；</w:t>
            </w:r>
          </w:p>
          <w:p w14:paraId="041BEBD4">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2、管理组织架构</w:t>
            </w:r>
            <w:r>
              <w:rPr>
                <w:rFonts w:hint="eastAsia" w:ascii="宋体" w:hAnsi="宋体"/>
                <w:color w:val="000000"/>
                <w:szCs w:val="21"/>
                <w:lang w:val="en-US" w:eastAsia="zh-CN"/>
              </w:rPr>
              <w:t>较为</w:t>
            </w:r>
            <w:r>
              <w:rPr>
                <w:rFonts w:hint="eastAsia" w:ascii="宋体" w:hAnsi="宋体"/>
                <w:color w:val="000000"/>
                <w:szCs w:val="21"/>
              </w:rPr>
              <w:t>完善</w:t>
            </w:r>
            <w:r>
              <w:rPr>
                <w:rFonts w:hint="eastAsia" w:ascii="宋体" w:hAnsi="宋体"/>
                <w:color w:val="000000"/>
                <w:szCs w:val="21"/>
                <w:lang w:eastAsia="zh-CN"/>
              </w:rPr>
              <w:t>，</w:t>
            </w:r>
            <w:r>
              <w:rPr>
                <w:rFonts w:hint="eastAsia" w:ascii="宋体" w:hAnsi="宋体"/>
                <w:color w:val="000000"/>
                <w:szCs w:val="21"/>
              </w:rPr>
              <w:t>人员分工管理计划</w:t>
            </w:r>
            <w:r>
              <w:rPr>
                <w:rFonts w:hint="eastAsia" w:ascii="宋体" w:hAnsi="宋体"/>
                <w:color w:val="000000"/>
                <w:szCs w:val="21"/>
                <w:lang w:val="en-US" w:eastAsia="zh-CN"/>
              </w:rPr>
              <w:t>较为</w:t>
            </w:r>
            <w:r>
              <w:rPr>
                <w:rFonts w:hint="eastAsia" w:ascii="宋体" w:hAnsi="宋体"/>
                <w:color w:val="000000"/>
                <w:szCs w:val="21"/>
              </w:rPr>
              <w:t>合理，可操作性较强，管理制度基本完善，能满足</w:t>
            </w:r>
            <w:r>
              <w:rPr>
                <w:rFonts w:hint="eastAsia" w:ascii="宋体" w:hAnsi="宋体"/>
                <w:color w:val="000000"/>
                <w:szCs w:val="21"/>
                <w:lang w:val="en-US" w:eastAsia="zh-CN"/>
              </w:rPr>
              <w:t>采购需求要求</w:t>
            </w:r>
            <w:r>
              <w:rPr>
                <w:rFonts w:hint="eastAsia" w:ascii="宋体" w:hAnsi="宋体"/>
                <w:color w:val="000000"/>
                <w:szCs w:val="21"/>
              </w:rPr>
              <w:t>的，得</w:t>
            </w:r>
            <w:r>
              <w:rPr>
                <w:rFonts w:hint="eastAsia" w:ascii="宋体" w:hAnsi="宋体"/>
                <w:color w:val="000000"/>
                <w:szCs w:val="21"/>
                <w:lang w:val="en-US" w:eastAsia="zh-CN"/>
              </w:rPr>
              <w:t>7</w:t>
            </w:r>
            <w:r>
              <w:rPr>
                <w:rFonts w:hint="eastAsia" w:ascii="宋体" w:hAnsi="宋体"/>
                <w:color w:val="000000"/>
                <w:szCs w:val="21"/>
              </w:rPr>
              <w:t>分；</w:t>
            </w:r>
          </w:p>
          <w:p w14:paraId="4DE26834">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3、管理组织架构</w:t>
            </w:r>
            <w:r>
              <w:rPr>
                <w:rFonts w:hint="eastAsia" w:ascii="宋体" w:hAnsi="宋体"/>
                <w:color w:val="000000"/>
                <w:szCs w:val="21"/>
                <w:lang w:val="en-US" w:eastAsia="zh-CN"/>
              </w:rPr>
              <w:t>一般</w:t>
            </w:r>
            <w:r>
              <w:rPr>
                <w:rFonts w:hint="eastAsia" w:ascii="宋体" w:hAnsi="宋体"/>
                <w:color w:val="000000"/>
                <w:szCs w:val="21"/>
                <w:lang w:eastAsia="zh-CN"/>
              </w:rPr>
              <w:t>，</w:t>
            </w:r>
            <w:r>
              <w:rPr>
                <w:rFonts w:hint="eastAsia" w:ascii="宋体" w:hAnsi="宋体"/>
                <w:color w:val="000000"/>
                <w:szCs w:val="21"/>
              </w:rPr>
              <w:t>人员分工管理计划</w:t>
            </w:r>
            <w:r>
              <w:rPr>
                <w:rFonts w:hint="eastAsia" w:ascii="宋体" w:hAnsi="宋体"/>
                <w:color w:val="000000"/>
                <w:szCs w:val="21"/>
                <w:lang w:val="en-US" w:eastAsia="zh-CN"/>
              </w:rPr>
              <w:t>有一定可行性</w:t>
            </w:r>
            <w:r>
              <w:rPr>
                <w:rFonts w:hint="eastAsia" w:ascii="宋体" w:hAnsi="宋体"/>
                <w:color w:val="000000"/>
                <w:szCs w:val="21"/>
              </w:rPr>
              <w:t>，管理制度基本</w:t>
            </w:r>
            <w:r>
              <w:rPr>
                <w:rFonts w:hint="eastAsia" w:ascii="宋体" w:hAnsi="宋体"/>
                <w:color w:val="000000"/>
                <w:szCs w:val="21"/>
                <w:lang w:val="en-US" w:eastAsia="zh-CN"/>
              </w:rPr>
              <w:t>完整</w:t>
            </w:r>
            <w:r>
              <w:rPr>
                <w:rFonts w:hint="eastAsia" w:ascii="宋体" w:hAnsi="宋体"/>
                <w:color w:val="000000"/>
                <w:szCs w:val="21"/>
              </w:rPr>
              <w:t>，</w:t>
            </w:r>
            <w:r>
              <w:rPr>
                <w:rFonts w:hint="eastAsia" w:ascii="宋体" w:hAnsi="宋体"/>
                <w:color w:val="000000"/>
                <w:szCs w:val="21"/>
                <w:lang w:val="en-US" w:eastAsia="zh-CN"/>
              </w:rPr>
              <w:t>基本</w:t>
            </w:r>
            <w:r>
              <w:rPr>
                <w:rFonts w:hint="eastAsia" w:ascii="宋体" w:hAnsi="宋体"/>
                <w:color w:val="000000"/>
                <w:szCs w:val="21"/>
              </w:rPr>
              <w:t>能满足</w:t>
            </w:r>
            <w:r>
              <w:rPr>
                <w:rFonts w:hint="eastAsia" w:ascii="宋体" w:hAnsi="宋体"/>
                <w:color w:val="000000"/>
                <w:szCs w:val="21"/>
                <w:lang w:val="en-US" w:eastAsia="zh-CN"/>
              </w:rPr>
              <w:t>采购需求要求</w:t>
            </w:r>
            <w:r>
              <w:rPr>
                <w:rFonts w:hint="eastAsia" w:ascii="宋体" w:hAnsi="宋体"/>
                <w:color w:val="000000"/>
                <w:szCs w:val="21"/>
              </w:rPr>
              <w:t>的，得</w:t>
            </w:r>
            <w:r>
              <w:rPr>
                <w:rFonts w:hint="eastAsia" w:ascii="宋体" w:hAnsi="宋体"/>
                <w:color w:val="000000"/>
                <w:szCs w:val="21"/>
                <w:lang w:val="en-US" w:eastAsia="zh-CN"/>
              </w:rPr>
              <w:t>4</w:t>
            </w:r>
            <w:r>
              <w:rPr>
                <w:rFonts w:hint="eastAsia" w:ascii="宋体" w:hAnsi="宋体"/>
                <w:color w:val="000000"/>
                <w:szCs w:val="21"/>
              </w:rPr>
              <w:t>分；</w:t>
            </w:r>
          </w:p>
          <w:p w14:paraId="65667BA3">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4、管理组织架构</w:t>
            </w:r>
            <w:r>
              <w:rPr>
                <w:rFonts w:hint="eastAsia" w:ascii="宋体" w:hAnsi="宋体"/>
                <w:color w:val="000000"/>
                <w:szCs w:val="21"/>
                <w:lang w:val="en-US" w:eastAsia="zh-CN"/>
              </w:rPr>
              <w:t>不合理</w:t>
            </w:r>
            <w:r>
              <w:rPr>
                <w:rFonts w:hint="eastAsia" w:ascii="宋体" w:hAnsi="宋体"/>
                <w:color w:val="000000"/>
                <w:szCs w:val="21"/>
                <w:lang w:eastAsia="zh-CN"/>
              </w:rPr>
              <w:t>，</w:t>
            </w:r>
            <w:r>
              <w:rPr>
                <w:rFonts w:hint="eastAsia" w:ascii="宋体" w:hAnsi="宋体"/>
                <w:color w:val="000000"/>
                <w:szCs w:val="21"/>
              </w:rPr>
              <w:t>人员分工管理计划</w:t>
            </w:r>
            <w:r>
              <w:rPr>
                <w:rFonts w:hint="eastAsia" w:ascii="宋体" w:hAnsi="宋体"/>
                <w:color w:val="000000"/>
                <w:szCs w:val="21"/>
                <w:lang w:val="en-US" w:eastAsia="zh-CN"/>
              </w:rPr>
              <w:t>及</w:t>
            </w:r>
            <w:r>
              <w:rPr>
                <w:rFonts w:hint="eastAsia" w:ascii="宋体" w:hAnsi="宋体"/>
                <w:color w:val="000000"/>
                <w:szCs w:val="21"/>
              </w:rPr>
              <w:t>管理制度</w:t>
            </w:r>
            <w:r>
              <w:rPr>
                <w:rFonts w:hint="eastAsia" w:ascii="宋体" w:hAnsi="宋体"/>
                <w:color w:val="000000"/>
                <w:szCs w:val="21"/>
                <w:lang w:val="en-US" w:eastAsia="zh-CN"/>
              </w:rPr>
              <w:t>可行性差</w:t>
            </w:r>
            <w:r>
              <w:rPr>
                <w:rFonts w:hint="eastAsia" w:ascii="宋体" w:hAnsi="宋体"/>
                <w:color w:val="000000"/>
                <w:szCs w:val="21"/>
              </w:rPr>
              <w:t>，</w:t>
            </w:r>
            <w:r>
              <w:rPr>
                <w:rFonts w:hint="eastAsia" w:ascii="宋体" w:hAnsi="宋体"/>
                <w:color w:val="000000"/>
                <w:szCs w:val="21"/>
                <w:lang w:val="en-US" w:eastAsia="zh-CN"/>
              </w:rPr>
              <w:t>难以</w:t>
            </w:r>
            <w:r>
              <w:rPr>
                <w:rFonts w:hint="eastAsia" w:ascii="宋体" w:hAnsi="宋体"/>
                <w:color w:val="000000"/>
                <w:szCs w:val="21"/>
              </w:rPr>
              <w:t>满足</w:t>
            </w:r>
            <w:r>
              <w:rPr>
                <w:rFonts w:hint="eastAsia" w:ascii="宋体" w:hAnsi="宋体"/>
                <w:color w:val="000000"/>
                <w:szCs w:val="21"/>
                <w:lang w:val="en-US" w:eastAsia="zh-CN"/>
              </w:rPr>
              <w:t>采购需求要求</w:t>
            </w:r>
            <w:r>
              <w:rPr>
                <w:rFonts w:hint="eastAsia" w:ascii="宋体" w:hAnsi="宋体"/>
                <w:color w:val="000000"/>
                <w:szCs w:val="21"/>
              </w:rPr>
              <w:t>的，得1分；</w:t>
            </w:r>
          </w:p>
          <w:p w14:paraId="7A5FE755">
            <w:pPr>
              <w:keepNext w:val="0"/>
              <w:keepLines w:val="0"/>
              <w:pageBreakBefore w:val="0"/>
              <w:kinsoku/>
              <w:wordWrap/>
              <w:overflowPunct/>
              <w:topLinePunct w:val="0"/>
              <w:autoSpaceDE/>
              <w:autoSpaceDN/>
              <w:bidi w:val="0"/>
              <w:adjustRightInd/>
              <w:snapToGrid w:val="0"/>
              <w:spacing w:line="360" w:lineRule="auto"/>
              <w:textAlignment w:val="auto"/>
              <w:rPr>
                <w:rFonts w:ascii="宋体" w:hAnsi="宋体"/>
                <w:color w:val="000000"/>
                <w:szCs w:val="21"/>
              </w:rPr>
            </w:pPr>
            <w:r>
              <w:rPr>
                <w:rFonts w:hint="eastAsia" w:ascii="宋体" w:hAnsi="宋体"/>
                <w:color w:val="000000"/>
                <w:szCs w:val="21"/>
              </w:rPr>
              <w:t>5、未提供</w:t>
            </w:r>
            <w:r>
              <w:rPr>
                <w:rFonts w:hint="eastAsia" w:ascii="宋体" w:hAnsi="宋体"/>
                <w:color w:val="000000"/>
                <w:szCs w:val="21"/>
                <w:lang w:val="en-US" w:eastAsia="zh-CN"/>
              </w:rPr>
              <w:t>相关制度</w:t>
            </w:r>
            <w:r>
              <w:rPr>
                <w:rFonts w:hint="eastAsia" w:ascii="宋体" w:hAnsi="宋体"/>
                <w:color w:val="000000"/>
                <w:szCs w:val="21"/>
              </w:rPr>
              <w:t>的，得0分。</w:t>
            </w:r>
          </w:p>
        </w:tc>
      </w:tr>
      <w:tr w14:paraId="40572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76" w:type="pct"/>
            <w:vAlign w:val="center"/>
          </w:tcPr>
          <w:p w14:paraId="4461A389">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olor w:val="000000"/>
                <w:szCs w:val="21"/>
                <w:lang w:val="en-US" w:eastAsia="zh-CN"/>
              </w:rPr>
            </w:pPr>
            <w:r>
              <w:rPr>
                <w:rFonts w:hint="eastAsia" w:ascii="宋体" w:hAnsi="宋体"/>
                <w:color w:val="000000"/>
                <w:szCs w:val="21"/>
                <w:lang w:val="en-US" w:eastAsia="zh-CN"/>
              </w:rPr>
              <w:t>4</w:t>
            </w:r>
          </w:p>
        </w:tc>
        <w:tc>
          <w:tcPr>
            <w:tcW w:w="637" w:type="pct"/>
            <w:vAlign w:val="center"/>
          </w:tcPr>
          <w:p w14:paraId="7C140170">
            <w:pPr>
              <w:keepNext w:val="0"/>
              <w:keepLines w:val="0"/>
              <w:pageBreakBefore w:val="0"/>
              <w:kinsoku/>
              <w:wordWrap/>
              <w:overflowPunct/>
              <w:topLinePunct w:val="0"/>
              <w:autoSpaceDE/>
              <w:autoSpaceDN/>
              <w:bidi w:val="0"/>
              <w:adjustRightInd/>
              <w:snapToGrid w:val="0"/>
              <w:spacing w:line="360" w:lineRule="auto"/>
              <w:jc w:val="center"/>
              <w:textAlignment w:val="auto"/>
              <w:rPr>
                <w:rFonts w:ascii="宋体" w:hAnsi="宋体"/>
                <w:bCs/>
                <w:color w:val="000000"/>
                <w:szCs w:val="21"/>
              </w:rPr>
            </w:pPr>
            <w:r>
              <w:rPr>
                <w:rFonts w:hint="eastAsia" w:ascii="宋体" w:hAnsi="宋体"/>
                <w:bCs/>
                <w:color w:val="000000"/>
                <w:szCs w:val="21"/>
              </w:rPr>
              <w:t>保险应急预案</w:t>
            </w:r>
          </w:p>
        </w:tc>
        <w:tc>
          <w:tcPr>
            <w:tcW w:w="403" w:type="pct"/>
            <w:vAlign w:val="center"/>
          </w:tcPr>
          <w:p w14:paraId="31D4E5D6">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color w:val="000000"/>
                <w:szCs w:val="21"/>
                <w:lang w:val="en-US" w:eastAsia="zh-CN"/>
              </w:rPr>
              <w:t>10分</w:t>
            </w:r>
          </w:p>
        </w:tc>
        <w:tc>
          <w:tcPr>
            <w:tcW w:w="3582" w:type="pct"/>
            <w:vAlign w:val="center"/>
          </w:tcPr>
          <w:p w14:paraId="41977E4C">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b/>
                <w:bCs/>
                <w:color w:val="000000"/>
                <w:szCs w:val="21"/>
              </w:rPr>
            </w:pPr>
            <w:r>
              <w:rPr>
                <w:rFonts w:hint="eastAsia" w:ascii="宋体" w:hAnsi="宋体"/>
                <w:b/>
                <w:bCs/>
                <w:color w:val="000000"/>
                <w:szCs w:val="21"/>
              </w:rPr>
              <w:t>根据供应商在发生重特大事故损失的保险应急预案，包括理赔绿色通道、医疗探视、快捷救援的行动举措等进行评审：</w:t>
            </w:r>
          </w:p>
          <w:p w14:paraId="10E64D0D">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1、应急预案中理赔绿色通道完善，医疗探视、快捷救援行动举措完全满足项目实际需求，有利于项目顺利实施的，得1</w:t>
            </w:r>
            <w:r>
              <w:rPr>
                <w:rFonts w:hint="eastAsia" w:ascii="宋体" w:hAnsi="宋体"/>
                <w:color w:val="000000"/>
                <w:szCs w:val="21"/>
                <w:lang w:val="en-US" w:eastAsia="zh-CN"/>
              </w:rPr>
              <w:t>0</w:t>
            </w:r>
            <w:r>
              <w:rPr>
                <w:rFonts w:hint="eastAsia" w:ascii="宋体" w:hAnsi="宋体"/>
                <w:color w:val="000000"/>
                <w:szCs w:val="21"/>
              </w:rPr>
              <w:t>分；</w:t>
            </w:r>
          </w:p>
          <w:p w14:paraId="7F6FCC2B">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2、应急预案中理赔绿色通道较完善，医疗探视、快捷救援行动举措基本符合项目实际需求，可以推动项目实施的，得</w:t>
            </w:r>
            <w:r>
              <w:rPr>
                <w:rFonts w:hint="eastAsia" w:ascii="宋体" w:hAnsi="宋体"/>
                <w:color w:val="000000"/>
                <w:szCs w:val="21"/>
                <w:lang w:val="en-US" w:eastAsia="zh-CN"/>
              </w:rPr>
              <w:t>7</w:t>
            </w:r>
            <w:r>
              <w:rPr>
                <w:rFonts w:hint="eastAsia" w:ascii="宋体" w:hAnsi="宋体"/>
                <w:color w:val="000000"/>
                <w:szCs w:val="21"/>
              </w:rPr>
              <w:t>分；</w:t>
            </w:r>
          </w:p>
          <w:p w14:paraId="692ADAE5">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3、应急预案中理赔绿色通道不够完善，医疗探视、快捷救援行动举措和项目实际需求不够贴切，较难推动项目实施的，得</w:t>
            </w:r>
            <w:r>
              <w:rPr>
                <w:rFonts w:hint="eastAsia" w:ascii="宋体" w:hAnsi="宋体"/>
                <w:color w:val="000000"/>
                <w:szCs w:val="21"/>
                <w:lang w:val="en-US" w:eastAsia="zh-CN"/>
              </w:rPr>
              <w:t>4</w:t>
            </w:r>
            <w:r>
              <w:rPr>
                <w:rFonts w:hint="eastAsia" w:ascii="宋体" w:hAnsi="宋体"/>
                <w:color w:val="000000"/>
                <w:szCs w:val="21"/>
              </w:rPr>
              <w:t>分；</w:t>
            </w:r>
          </w:p>
          <w:p w14:paraId="0CECEE1B">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4、应急预案中理赔绿色通道不完善，医疗探视、快捷救援行动举措和项目实际需求不贴切，不可以推动项目实施的，得1分；</w:t>
            </w:r>
          </w:p>
          <w:p w14:paraId="62BF07BD">
            <w:pPr>
              <w:keepNext w:val="0"/>
              <w:keepLines w:val="0"/>
              <w:pageBreakBefore w:val="0"/>
              <w:kinsoku/>
              <w:wordWrap/>
              <w:overflowPunct/>
              <w:topLinePunct w:val="0"/>
              <w:autoSpaceDE/>
              <w:autoSpaceDN/>
              <w:bidi w:val="0"/>
              <w:adjustRightInd/>
              <w:snapToGrid w:val="0"/>
              <w:spacing w:line="360" w:lineRule="auto"/>
              <w:textAlignment w:val="auto"/>
              <w:rPr>
                <w:rFonts w:ascii="宋体" w:hAnsi="宋体"/>
                <w:color w:val="000000"/>
                <w:szCs w:val="21"/>
              </w:rPr>
            </w:pPr>
            <w:r>
              <w:rPr>
                <w:rFonts w:hint="eastAsia" w:ascii="宋体" w:hAnsi="宋体"/>
                <w:color w:val="000000"/>
                <w:szCs w:val="21"/>
              </w:rPr>
              <w:t>5、未提供</w:t>
            </w:r>
            <w:r>
              <w:rPr>
                <w:rFonts w:hint="eastAsia" w:ascii="宋体" w:hAnsi="宋体"/>
                <w:color w:val="000000"/>
                <w:szCs w:val="21"/>
                <w:lang w:val="en-US" w:eastAsia="zh-CN"/>
              </w:rPr>
              <w:t>相关</w:t>
            </w:r>
            <w:r>
              <w:rPr>
                <w:rFonts w:hint="eastAsia" w:ascii="宋体" w:hAnsi="宋体"/>
                <w:color w:val="000000"/>
                <w:szCs w:val="21"/>
              </w:rPr>
              <w:t>方案的，得0分。</w:t>
            </w:r>
          </w:p>
        </w:tc>
      </w:tr>
      <w:tr w14:paraId="63D26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376" w:type="pct"/>
            <w:vAlign w:val="center"/>
          </w:tcPr>
          <w:p w14:paraId="43171A6D">
            <w:pPr>
              <w:keepNext w:val="0"/>
              <w:keepLines w:val="0"/>
              <w:pageBreakBefore w:val="0"/>
              <w:kinsoku/>
              <w:wordWrap/>
              <w:overflowPunct/>
              <w:topLinePunct w:val="0"/>
              <w:autoSpaceDE/>
              <w:autoSpaceDN/>
              <w:bidi w:val="0"/>
              <w:adjustRightInd/>
              <w:snapToGrid w:val="0"/>
              <w:spacing w:line="360" w:lineRule="auto"/>
              <w:jc w:val="center"/>
              <w:textAlignment w:val="auto"/>
              <w:rPr>
                <w:rFonts w:hint="eastAsia" w:ascii="宋体" w:hAnsi="宋体" w:eastAsia="宋体"/>
                <w:color w:val="000000"/>
                <w:szCs w:val="21"/>
                <w:lang w:val="en-US" w:eastAsia="zh-CN"/>
              </w:rPr>
            </w:pPr>
            <w:r>
              <w:rPr>
                <w:rFonts w:hint="eastAsia" w:ascii="宋体" w:hAnsi="宋体"/>
                <w:color w:val="000000"/>
                <w:szCs w:val="21"/>
                <w:lang w:val="en-US" w:eastAsia="zh-CN"/>
              </w:rPr>
              <w:t>5</w:t>
            </w:r>
          </w:p>
        </w:tc>
        <w:tc>
          <w:tcPr>
            <w:tcW w:w="637" w:type="pct"/>
            <w:vAlign w:val="center"/>
          </w:tcPr>
          <w:p w14:paraId="74B44D2B">
            <w:pPr>
              <w:keepNext w:val="0"/>
              <w:keepLines w:val="0"/>
              <w:pageBreakBefore w:val="0"/>
              <w:kinsoku/>
              <w:wordWrap/>
              <w:overflowPunct/>
              <w:topLinePunct w:val="0"/>
              <w:autoSpaceDE/>
              <w:autoSpaceDN/>
              <w:bidi w:val="0"/>
              <w:adjustRightInd/>
              <w:snapToGrid w:val="0"/>
              <w:spacing w:line="360" w:lineRule="auto"/>
              <w:jc w:val="center"/>
              <w:textAlignment w:val="auto"/>
              <w:rPr>
                <w:rFonts w:hint="default" w:ascii="宋体" w:hAnsi="宋体" w:eastAsia="宋体"/>
                <w:bCs/>
                <w:color w:val="000000"/>
                <w:szCs w:val="21"/>
                <w:lang w:val="en-US" w:eastAsia="zh-CN"/>
              </w:rPr>
            </w:pPr>
            <w:r>
              <w:rPr>
                <w:rFonts w:hint="eastAsia" w:ascii="宋体" w:hAnsi="宋体"/>
                <w:bCs/>
                <w:color w:val="000000"/>
                <w:szCs w:val="21"/>
                <w:lang w:val="en-US" w:eastAsia="zh-CN"/>
              </w:rPr>
              <w:t>培训方案</w:t>
            </w:r>
          </w:p>
        </w:tc>
        <w:tc>
          <w:tcPr>
            <w:tcW w:w="403" w:type="pct"/>
            <w:vAlign w:val="center"/>
          </w:tcPr>
          <w:p w14:paraId="1BC051E2">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color w:val="000000"/>
                <w:szCs w:val="21"/>
              </w:rPr>
            </w:pPr>
            <w:r>
              <w:rPr>
                <w:rFonts w:hint="eastAsia" w:ascii="宋体" w:hAnsi="宋体"/>
                <w:bCs/>
                <w:color w:val="000000"/>
                <w:szCs w:val="21"/>
                <w:lang w:val="en-US" w:eastAsia="zh-CN"/>
              </w:rPr>
              <w:t>10分</w:t>
            </w:r>
          </w:p>
        </w:tc>
        <w:tc>
          <w:tcPr>
            <w:tcW w:w="3582" w:type="pct"/>
            <w:vAlign w:val="center"/>
          </w:tcPr>
          <w:p w14:paraId="376DEBC4">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b/>
                <w:bCs/>
                <w:color w:val="000000"/>
                <w:szCs w:val="21"/>
              </w:rPr>
            </w:pPr>
            <w:r>
              <w:rPr>
                <w:rFonts w:hint="eastAsia" w:ascii="宋体" w:hAnsi="宋体"/>
                <w:b/>
                <w:bCs/>
                <w:color w:val="000000"/>
                <w:szCs w:val="21"/>
              </w:rPr>
              <w:t>根据供应商</w:t>
            </w:r>
            <w:r>
              <w:rPr>
                <w:rFonts w:hint="eastAsia" w:ascii="宋体" w:hAnsi="宋体"/>
                <w:b/>
                <w:bCs/>
                <w:color w:val="000000"/>
                <w:szCs w:val="21"/>
                <w:lang w:val="en-US" w:eastAsia="zh-CN"/>
              </w:rPr>
              <w:t>针对本项目提供的培训方案（包括但不限于：对采购人及被保险人的安全教育、对本项目服务人员的保险业务知识培训等）</w:t>
            </w:r>
            <w:r>
              <w:rPr>
                <w:rFonts w:hint="eastAsia" w:ascii="宋体" w:hAnsi="宋体"/>
                <w:b/>
                <w:bCs/>
                <w:color w:val="000000"/>
                <w:szCs w:val="21"/>
              </w:rPr>
              <w:t>进行评审：</w:t>
            </w:r>
          </w:p>
          <w:p w14:paraId="7FCE6106">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1、</w:t>
            </w:r>
            <w:r>
              <w:rPr>
                <w:rFonts w:hint="eastAsia" w:ascii="宋体" w:hAnsi="宋体"/>
                <w:color w:val="000000"/>
                <w:szCs w:val="21"/>
                <w:lang w:val="en-US" w:eastAsia="zh-CN"/>
              </w:rPr>
              <w:t>培训方案完备科学</w:t>
            </w:r>
            <w:r>
              <w:rPr>
                <w:rFonts w:hint="eastAsia" w:ascii="宋体" w:hAnsi="宋体"/>
                <w:color w:val="000000"/>
                <w:szCs w:val="21"/>
              </w:rPr>
              <w:t>，</w:t>
            </w:r>
            <w:r>
              <w:rPr>
                <w:rFonts w:hint="eastAsia" w:ascii="宋体" w:hAnsi="宋体"/>
                <w:color w:val="000000"/>
                <w:szCs w:val="21"/>
                <w:lang w:val="en-US" w:eastAsia="zh-CN"/>
              </w:rPr>
              <w:t>针对采购人和被保险人有明确的安全教育方案和计划</w:t>
            </w:r>
            <w:r>
              <w:rPr>
                <w:rFonts w:hint="eastAsia" w:ascii="宋体" w:hAnsi="宋体"/>
                <w:color w:val="000000"/>
                <w:szCs w:val="21"/>
              </w:rPr>
              <w:t>，对本项目服务人员的保险业务知识培训</w:t>
            </w:r>
            <w:r>
              <w:rPr>
                <w:rFonts w:hint="eastAsia" w:ascii="宋体" w:hAnsi="宋体"/>
                <w:color w:val="000000"/>
                <w:szCs w:val="21"/>
                <w:lang w:val="en-US" w:eastAsia="zh-CN"/>
              </w:rPr>
              <w:t>充足、设定了有效的考核制度，</w:t>
            </w:r>
            <w:r>
              <w:rPr>
                <w:rFonts w:hint="eastAsia" w:ascii="宋体" w:hAnsi="宋体"/>
                <w:color w:val="000000"/>
                <w:szCs w:val="21"/>
              </w:rPr>
              <w:t>能</w:t>
            </w:r>
            <w:r>
              <w:rPr>
                <w:rFonts w:hint="eastAsia" w:ascii="宋体" w:hAnsi="宋体"/>
                <w:color w:val="000000"/>
                <w:szCs w:val="21"/>
                <w:lang w:val="en-US" w:eastAsia="zh-CN"/>
              </w:rPr>
              <w:t>完全</w:t>
            </w:r>
            <w:r>
              <w:rPr>
                <w:rFonts w:hint="eastAsia" w:ascii="宋体" w:hAnsi="宋体"/>
                <w:color w:val="000000"/>
                <w:szCs w:val="21"/>
              </w:rPr>
              <w:t>满足且优于</w:t>
            </w:r>
            <w:r>
              <w:rPr>
                <w:rFonts w:hint="eastAsia" w:ascii="宋体" w:hAnsi="宋体"/>
                <w:color w:val="000000"/>
                <w:szCs w:val="21"/>
                <w:lang w:val="en-US" w:eastAsia="zh-CN"/>
              </w:rPr>
              <w:t>采购需求要求</w:t>
            </w:r>
            <w:r>
              <w:rPr>
                <w:rFonts w:hint="eastAsia" w:ascii="宋体" w:hAnsi="宋体"/>
                <w:color w:val="000000"/>
                <w:szCs w:val="21"/>
              </w:rPr>
              <w:t>的，得1</w:t>
            </w:r>
            <w:r>
              <w:rPr>
                <w:rFonts w:hint="eastAsia" w:ascii="宋体" w:hAnsi="宋体"/>
                <w:color w:val="000000"/>
                <w:szCs w:val="21"/>
                <w:lang w:val="en-US" w:eastAsia="zh-CN"/>
              </w:rPr>
              <w:t>0</w:t>
            </w:r>
            <w:r>
              <w:rPr>
                <w:rFonts w:hint="eastAsia" w:ascii="宋体" w:hAnsi="宋体"/>
                <w:color w:val="000000"/>
                <w:szCs w:val="21"/>
              </w:rPr>
              <w:t>分；</w:t>
            </w:r>
          </w:p>
          <w:p w14:paraId="32D8A12A">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2、</w:t>
            </w:r>
            <w:r>
              <w:rPr>
                <w:rFonts w:hint="eastAsia" w:ascii="宋体" w:hAnsi="宋体"/>
                <w:color w:val="000000"/>
                <w:szCs w:val="21"/>
                <w:lang w:val="en-US" w:eastAsia="zh-CN"/>
              </w:rPr>
              <w:t>培训方案完备</w:t>
            </w:r>
            <w:r>
              <w:rPr>
                <w:rFonts w:hint="eastAsia" w:ascii="宋体" w:hAnsi="宋体"/>
                <w:color w:val="000000"/>
                <w:szCs w:val="21"/>
              </w:rPr>
              <w:t>，</w:t>
            </w:r>
            <w:r>
              <w:rPr>
                <w:rFonts w:hint="eastAsia" w:ascii="宋体" w:hAnsi="宋体"/>
                <w:color w:val="000000"/>
                <w:szCs w:val="21"/>
                <w:lang w:val="en-US" w:eastAsia="zh-CN"/>
              </w:rPr>
              <w:t>针对采购人和被保险人有安全教育计划</w:t>
            </w:r>
            <w:r>
              <w:rPr>
                <w:rFonts w:hint="eastAsia" w:ascii="宋体" w:hAnsi="宋体"/>
                <w:color w:val="000000"/>
                <w:szCs w:val="21"/>
              </w:rPr>
              <w:t>，对本项目服务人员的保险业务知识培训</w:t>
            </w:r>
            <w:r>
              <w:rPr>
                <w:rFonts w:hint="eastAsia" w:ascii="宋体" w:hAnsi="宋体"/>
                <w:color w:val="000000"/>
                <w:szCs w:val="21"/>
                <w:lang w:val="en-US" w:eastAsia="zh-CN"/>
              </w:rPr>
              <w:t>充足，</w:t>
            </w:r>
            <w:r>
              <w:rPr>
                <w:rFonts w:hint="eastAsia" w:ascii="宋体" w:hAnsi="宋体"/>
                <w:color w:val="000000"/>
                <w:szCs w:val="21"/>
              </w:rPr>
              <w:t>能</w:t>
            </w:r>
            <w:r>
              <w:rPr>
                <w:rFonts w:hint="eastAsia" w:ascii="宋体" w:hAnsi="宋体"/>
                <w:color w:val="000000"/>
                <w:szCs w:val="21"/>
                <w:lang w:val="en-US" w:eastAsia="zh-CN"/>
              </w:rPr>
              <w:t>完全</w:t>
            </w:r>
            <w:r>
              <w:rPr>
                <w:rFonts w:hint="eastAsia" w:ascii="宋体" w:hAnsi="宋体"/>
                <w:color w:val="000000"/>
                <w:szCs w:val="21"/>
              </w:rPr>
              <w:t>满足</w:t>
            </w:r>
            <w:r>
              <w:rPr>
                <w:rFonts w:hint="eastAsia" w:ascii="宋体" w:hAnsi="宋体"/>
                <w:color w:val="000000"/>
                <w:szCs w:val="21"/>
                <w:lang w:val="en-US" w:eastAsia="zh-CN"/>
              </w:rPr>
              <w:t>采购需求要求</w:t>
            </w:r>
            <w:r>
              <w:rPr>
                <w:rFonts w:hint="eastAsia" w:ascii="宋体" w:hAnsi="宋体"/>
                <w:color w:val="000000"/>
                <w:szCs w:val="21"/>
              </w:rPr>
              <w:t>的，得</w:t>
            </w:r>
            <w:r>
              <w:rPr>
                <w:rFonts w:hint="eastAsia" w:ascii="宋体" w:hAnsi="宋体"/>
                <w:color w:val="000000"/>
                <w:szCs w:val="21"/>
                <w:lang w:val="en-US" w:eastAsia="zh-CN"/>
              </w:rPr>
              <w:t>7</w:t>
            </w:r>
            <w:r>
              <w:rPr>
                <w:rFonts w:hint="eastAsia" w:ascii="宋体" w:hAnsi="宋体"/>
                <w:color w:val="000000"/>
                <w:szCs w:val="21"/>
              </w:rPr>
              <w:t>分；</w:t>
            </w:r>
          </w:p>
          <w:p w14:paraId="1A58D174">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3、</w:t>
            </w:r>
            <w:r>
              <w:rPr>
                <w:rFonts w:hint="eastAsia" w:ascii="宋体" w:hAnsi="宋体"/>
                <w:color w:val="000000"/>
                <w:szCs w:val="21"/>
                <w:lang w:val="en-US" w:eastAsia="zh-CN"/>
              </w:rPr>
              <w:t>培训方案基本完整</w:t>
            </w:r>
            <w:r>
              <w:rPr>
                <w:rFonts w:hint="eastAsia" w:ascii="宋体" w:hAnsi="宋体"/>
                <w:color w:val="000000"/>
                <w:szCs w:val="21"/>
              </w:rPr>
              <w:t>，</w:t>
            </w:r>
            <w:r>
              <w:rPr>
                <w:rFonts w:hint="eastAsia" w:ascii="宋体" w:hAnsi="宋体"/>
                <w:color w:val="000000"/>
                <w:szCs w:val="21"/>
                <w:lang w:val="en-US" w:eastAsia="zh-CN"/>
              </w:rPr>
              <w:t>针对采购人和被保险人有提出安全教育相关内容</w:t>
            </w:r>
            <w:r>
              <w:rPr>
                <w:rFonts w:hint="eastAsia" w:ascii="宋体" w:hAnsi="宋体"/>
                <w:color w:val="000000"/>
                <w:szCs w:val="21"/>
              </w:rPr>
              <w:t>，对本项目服务人员</w:t>
            </w:r>
            <w:r>
              <w:rPr>
                <w:rFonts w:hint="eastAsia" w:ascii="宋体" w:hAnsi="宋体"/>
                <w:color w:val="000000"/>
                <w:szCs w:val="21"/>
                <w:lang w:val="en-US" w:eastAsia="zh-CN"/>
              </w:rPr>
              <w:t>有一定的</w:t>
            </w:r>
            <w:r>
              <w:rPr>
                <w:rFonts w:hint="eastAsia" w:ascii="宋体" w:hAnsi="宋体"/>
                <w:color w:val="000000"/>
                <w:szCs w:val="21"/>
              </w:rPr>
              <w:t>保险业务知识培训</w:t>
            </w:r>
            <w:r>
              <w:rPr>
                <w:rFonts w:hint="eastAsia" w:ascii="宋体" w:hAnsi="宋体"/>
                <w:color w:val="000000"/>
                <w:szCs w:val="21"/>
                <w:lang w:val="en-US" w:eastAsia="zh-CN"/>
              </w:rPr>
              <w:t>，</w:t>
            </w:r>
            <w:r>
              <w:rPr>
                <w:rFonts w:hint="eastAsia" w:ascii="宋体" w:hAnsi="宋体"/>
                <w:color w:val="000000"/>
                <w:szCs w:val="21"/>
              </w:rPr>
              <w:t>能</w:t>
            </w:r>
            <w:r>
              <w:rPr>
                <w:rFonts w:hint="eastAsia" w:ascii="宋体" w:hAnsi="宋体"/>
                <w:color w:val="000000"/>
                <w:szCs w:val="21"/>
                <w:lang w:val="en-US" w:eastAsia="zh-CN"/>
              </w:rPr>
              <w:t>基本</w:t>
            </w:r>
            <w:r>
              <w:rPr>
                <w:rFonts w:hint="eastAsia" w:ascii="宋体" w:hAnsi="宋体"/>
                <w:color w:val="000000"/>
                <w:szCs w:val="21"/>
              </w:rPr>
              <w:t>满足</w:t>
            </w:r>
            <w:r>
              <w:rPr>
                <w:rFonts w:hint="eastAsia" w:ascii="宋体" w:hAnsi="宋体"/>
                <w:color w:val="000000"/>
                <w:szCs w:val="21"/>
                <w:lang w:val="en-US" w:eastAsia="zh-CN"/>
              </w:rPr>
              <w:t>采购需求要求</w:t>
            </w:r>
            <w:r>
              <w:rPr>
                <w:rFonts w:hint="eastAsia" w:ascii="宋体" w:hAnsi="宋体"/>
                <w:color w:val="000000"/>
                <w:szCs w:val="21"/>
              </w:rPr>
              <w:t>的，得</w:t>
            </w:r>
            <w:r>
              <w:rPr>
                <w:rFonts w:hint="eastAsia" w:ascii="宋体" w:hAnsi="宋体"/>
                <w:color w:val="000000"/>
                <w:szCs w:val="21"/>
                <w:lang w:val="en-US" w:eastAsia="zh-CN"/>
              </w:rPr>
              <w:t>4</w:t>
            </w:r>
            <w:r>
              <w:rPr>
                <w:rFonts w:hint="eastAsia" w:ascii="宋体" w:hAnsi="宋体"/>
                <w:color w:val="000000"/>
                <w:szCs w:val="21"/>
              </w:rPr>
              <w:t>分；</w:t>
            </w:r>
          </w:p>
          <w:p w14:paraId="26DCCBC3">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color w:val="000000"/>
                <w:szCs w:val="21"/>
              </w:rPr>
            </w:pPr>
            <w:r>
              <w:rPr>
                <w:rFonts w:hint="eastAsia" w:ascii="宋体" w:hAnsi="宋体"/>
                <w:color w:val="000000"/>
                <w:szCs w:val="21"/>
              </w:rPr>
              <w:t>4、</w:t>
            </w:r>
            <w:r>
              <w:rPr>
                <w:rFonts w:hint="eastAsia" w:ascii="宋体" w:hAnsi="宋体"/>
                <w:color w:val="000000"/>
                <w:szCs w:val="21"/>
                <w:lang w:val="en-US" w:eastAsia="zh-CN"/>
              </w:rPr>
              <w:t>培训方案不完整</w:t>
            </w:r>
            <w:r>
              <w:rPr>
                <w:rFonts w:hint="eastAsia" w:ascii="宋体" w:hAnsi="宋体"/>
                <w:color w:val="000000"/>
                <w:szCs w:val="21"/>
              </w:rPr>
              <w:t>，</w:t>
            </w:r>
            <w:r>
              <w:rPr>
                <w:rFonts w:hint="eastAsia" w:ascii="宋体" w:hAnsi="宋体"/>
                <w:color w:val="000000"/>
                <w:szCs w:val="21"/>
                <w:lang w:val="en-US" w:eastAsia="zh-CN"/>
              </w:rPr>
              <w:t>对采购人和被保险人的安全教育简单</w:t>
            </w:r>
            <w:r>
              <w:rPr>
                <w:rFonts w:hint="eastAsia" w:ascii="宋体" w:hAnsi="宋体"/>
                <w:color w:val="000000"/>
                <w:szCs w:val="21"/>
              </w:rPr>
              <w:t>，对本项目服务人员</w:t>
            </w:r>
            <w:r>
              <w:rPr>
                <w:rFonts w:hint="eastAsia" w:ascii="宋体" w:hAnsi="宋体"/>
                <w:color w:val="000000"/>
                <w:szCs w:val="21"/>
                <w:lang w:val="en-US" w:eastAsia="zh-CN"/>
              </w:rPr>
              <w:t>的</w:t>
            </w:r>
            <w:r>
              <w:rPr>
                <w:rFonts w:hint="eastAsia" w:ascii="宋体" w:hAnsi="宋体"/>
                <w:color w:val="000000"/>
                <w:szCs w:val="21"/>
              </w:rPr>
              <w:t>保险业务知识培训</w:t>
            </w:r>
            <w:r>
              <w:rPr>
                <w:rFonts w:hint="eastAsia" w:ascii="宋体" w:hAnsi="宋体"/>
                <w:color w:val="000000"/>
                <w:szCs w:val="21"/>
                <w:lang w:val="en-US" w:eastAsia="zh-CN"/>
              </w:rPr>
              <w:t>不充分，难以</w:t>
            </w:r>
            <w:r>
              <w:rPr>
                <w:rFonts w:hint="eastAsia" w:ascii="宋体" w:hAnsi="宋体"/>
                <w:color w:val="000000"/>
                <w:szCs w:val="21"/>
              </w:rPr>
              <w:t>满足</w:t>
            </w:r>
            <w:r>
              <w:rPr>
                <w:rFonts w:hint="eastAsia" w:ascii="宋体" w:hAnsi="宋体"/>
                <w:color w:val="000000"/>
                <w:szCs w:val="21"/>
                <w:lang w:val="en-US" w:eastAsia="zh-CN"/>
              </w:rPr>
              <w:t>采购需求要求</w:t>
            </w:r>
            <w:r>
              <w:rPr>
                <w:rFonts w:hint="eastAsia" w:ascii="宋体" w:hAnsi="宋体"/>
                <w:color w:val="000000"/>
                <w:szCs w:val="21"/>
              </w:rPr>
              <w:t>的，得1分；</w:t>
            </w:r>
          </w:p>
          <w:p w14:paraId="4ACA3D9F">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b/>
                <w:bCs/>
                <w:color w:val="000000"/>
                <w:szCs w:val="21"/>
              </w:rPr>
            </w:pPr>
            <w:r>
              <w:rPr>
                <w:rFonts w:hint="eastAsia" w:ascii="宋体" w:hAnsi="宋体"/>
                <w:color w:val="000000"/>
                <w:szCs w:val="21"/>
              </w:rPr>
              <w:t>5、未提供</w:t>
            </w:r>
            <w:r>
              <w:rPr>
                <w:rFonts w:hint="eastAsia" w:ascii="宋体" w:hAnsi="宋体"/>
                <w:color w:val="000000"/>
                <w:szCs w:val="21"/>
                <w:lang w:val="en-US" w:eastAsia="zh-CN"/>
              </w:rPr>
              <w:t>相关</w:t>
            </w:r>
            <w:r>
              <w:rPr>
                <w:rFonts w:hint="eastAsia" w:ascii="宋体" w:hAnsi="宋体"/>
                <w:color w:val="000000"/>
                <w:szCs w:val="21"/>
              </w:rPr>
              <w:t>方案的，得0分。</w:t>
            </w:r>
          </w:p>
        </w:tc>
      </w:tr>
      <w:bookmarkEnd w:id="36"/>
    </w:tbl>
    <w:p w14:paraId="6716C4F4">
      <w:pPr>
        <w:pStyle w:val="74"/>
        <w:outlineLvl w:val="9"/>
        <w:rPr>
          <w:rFonts w:hint="default"/>
          <w:b/>
          <w:sz w:val="24"/>
        </w:rPr>
      </w:pPr>
    </w:p>
    <w:p w14:paraId="47738C6C">
      <w:pPr>
        <w:pStyle w:val="74"/>
        <w:numPr>
          <w:ilvl w:val="0"/>
          <w:numId w:val="82"/>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82"/>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87"/>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87"/>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87"/>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87"/>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87"/>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87"/>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28C2FDC">
      <w:pPr>
        <w:pStyle w:val="2"/>
        <w:keepNext w:val="0"/>
        <w:keepLines w:val="0"/>
        <w:pageBreakBefore/>
        <w:spacing w:after="240" w:line="360" w:lineRule="auto"/>
        <w:jc w:val="center"/>
        <w:rPr>
          <w:rFonts w:ascii="宋体" w:hAnsi="宋体"/>
          <w:sz w:val="36"/>
          <w:szCs w:val="36"/>
        </w:rPr>
      </w:pPr>
      <w:bookmarkStart w:id="37" w:name="_Toc169807544"/>
      <w:bookmarkStart w:id="38" w:name="_Toc170228132"/>
      <w:bookmarkStart w:id="39" w:name="_Toc169799783"/>
      <w:bookmarkStart w:id="40" w:name="_Toc391627752"/>
      <w:bookmarkStart w:id="41" w:name="_Toc521951136"/>
      <w:bookmarkStart w:id="42" w:name="_Toc405313956"/>
      <w:r>
        <w:rPr>
          <w:rFonts w:asciiTheme="minorEastAsia" w:hAnsiTheme="minorEastAsia" w:eastAsiaTheme="minorEastAsia"/>
          <w:spacing w:val="20"/>
          <w:sz w:val="32"/>
          <w:szCs w:val="32"/>
        </w:rPr>
        <w:t>第五章 合同文本</w:t>
      </w:r>
      <w:bookmarkEnd w:id="37"/>
      <w:bookmarkEnd w:id="38"/>
      <w:bookmarkEnd w:id="39"/>
    </w:p>
    <w:p w14:paraId="173722E9">
      <w:pPr>
        <w:keepLines/>
        <w:snapToGrid w:val="0"/>
        <w:spacing w:line="360" w:lineRule="auto"/>
        <w:contextualSpacing/>
        <w:rPr>
          <w:rFonts w:ascii="宋体" w:hAnsi="宋体"/>
          <w:color w:val="000000"/>
          <w:szCs w:val="21"/>
        </w:rPr>
      </w:pPr>
      <w:r>
        <w:rPr>
          <w:rFonts w:hint="eastAsia" w:ascii="宋体" w:hAnsi="宋体"/>
          <w:color w:val="000000"/>
          <w:szCs w:val="21"/>
        </w:rPr>
        <w:t>甲方（采购人）：</w:t>
      </w:r>
      <w:r>
        <w:rPr>
          <w:rFonts w:hint="eastAsia" w:ascii="宋体" w:hAnsi="宋体"/>
          <w:color w:val="000000"/>
          <w:szCs w:val="21"/>
          <w:u w:val="single"/>
        </w:rPr>
        <w:t xml:space="preserve"> 东莞市公安局长安分局 </w:t>
      </w:r>
    </w:p>
    <w:p w14:paraId="394310B3">
      <w:pPr>
        <w:snapToGrid w:val="0"/>
        <w:spacing w:line="360" w:lineRule="auto"/>
        <w:contextualSpacing/>
        <w:rPr>
          <w:rFonts w:ascii="宋体" w:hAnsi="宋体"/>
          <w:color w:val="auto"/>
          <w:szCs w:val="21"/>
          <w:highlight w:val="none"/>
        </w:rPr>
      </w:pPr>
      <w:r>
        <w:rPr>
          <w:rFonts w:hint="eastAsia" w:ascii="宋体" w:hAnsi="宋体"/>
          <w:color w:val="000000"/>
          <w:szCs w:val="21"/>
        </w:rPr>
        <w:t>乙方</w:t>
      </w:r>
      <w:r>
        <w:rPr>
          <w:rFonts w:hint="eastAsia" w:ascii="宋体" w:hAnsi="宋体"/>
          <w:color w:val="auto"/>
          <w:szCs w:val="21"/>
          <w:highlight w:val="none"/>
        </w:rPr>
        <w:t>（成交人）：</w:t>
      </w:r>
      <w:r>
        <w:rPr>
          <w:rFonts w:hint="eastAsia" w:ascii="宋体" w:hAnsi="宋体"/>
          <w:color w:val="auto"/>
          <w:szCs w:val="21"/>
          <w:highlight w:val="none"/>
          <w:u w:val="single"/>
        </w:rPr>
        <w:t xml:space="preserve">                      </w:t>
      </w:r>
    </w:p>
    <w:p w14:paraId="5CE46483">
      <w:pPr>
        <w:snapToGrid w:val="0"/>
        <w:spacing w:line="360" w:lineRule="auto"/>
        <w:ind w:firstLine="420" w:firstLineChars="200"/>
        <w:contextualSpacing/>
        <w:rPr>
          <w:rFonts w:ascii="宋体" w:hAnsi="宋体"/>
          <w:color w:val="auto"/>
          <w:szCs w:val="21"/>
          <w:highlight w:val="none"/>
        </w:rPr>
      </w:pPr>
      <w:r>
        <w:rPr>
          <w:rFonts w:hint="eastAsia" w:ascii="宋体" w:hAnsi="宋体"/>
          <w:color w:val="auto"/>
          <w:szCs w:val="21"/>
          <w:highlight w:val="none"/>
        </w:rPr>
        <w:t>根据</w:t>
      </w:r>
      <w:bookmarkStart w:id="43" w:name="_Hlk90988984"/>
      <w:r>
        <w:rPr>
          <w:rFonts w:hint="eastAsia" w:ascii="宋体" w:hAnsi="宋体"/>
          <w:color w:val="auto"/>
          <w:szCs w:val="21"/>
          <w:highlight w:val="none"/>
        </w:rPr>
        <w:t>《中华人民共和国民法典</w:t>
      </w:r>
      <w:bookmarkEnd w:id="43"/>
      <w:r>
        <w:rPr>
          <w:rFonts w:hint="eastAsia" w:ascii="宋体" w:hAnsi="宋体"/>
          <w:color w:val="auto"/>
          <w:szCs w:val="21"/>
          <w:highlight w:val="none"/>
        </w:rPr>
        <w:t>》及磋商文件、成交通知书等相关资料的要求，经双方协商一致，签订本合同，共同遵守如下条款。</w:t>
      </w:r>
    </w:p>
    <w:p w14:paraId="40F0EC5A">
      <w:pPr>
        <w:numPr>
          <w:ilvl w:val="0"/>
          <w:numId w:val="88"/>
        </w:numPr>
        <w:snapToGrid w:val="0"/>
        <w:spacing w:line="360" w:lineRule="auto"/>
        <w:contextualSpacing/>
        <w:rPr>
          <w:rFonts w:ascii="宋体" w:hAnsi="宋体"/>
          <w:b/>
          <w:bCs/>
          <w:color w:val="auto"/>
          <w:spacing w:val="20"/>
          <w:szCs w:val="21"/>
          <w:highlight w:val="none"/>
        </w:rPr>
      </w:pPr>
      <w:r>
        <w:rPr>
          <w:rFonts w:hint="eastAsia" w:ascii="宋体" w:hAnsi="宋体"/>
          <w:b/>
          <w:color w:val="auto"/>
          <w:spacing w:val="20"/>
          <w:szCs w:val="21"/>
          <w:highlight w:val="none"/>
        </w:rPr>
        <w:t>合同项目</w:t>
      </w:r>
    </w:p>
    <w:p w14:paraId="75A80EB6">
      <w:pPr>
        <w:numPr>
          <w:ilvl w:val="0"/>
          <w:numId w:val="8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项目名称：</w:t>
      </w:r>
      <w:r>
        <w:rPr>
          <w:rFonts w:hint="eastAsia" w:ascii="宋体" w:hAnsi="宋体"/>
          <w:color w:val="auto"/>
          <w:szCs w:val="21"/>
          <w:highlight w:val="none"/>
          <w:u w:val="single"/>
        </w:rPr>
        <w:t>东莞市长安镇辅警大队2025年警用摩托车保险服务采购项目</w:t>
      </w:r>
    </w:p>
    <w:p w14:paraId="4B494A09">
      <w:pPr>
        <w:numPr>
          <w:ilvl w:val="0"/>
          <w:numId w:val="8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项目编号：</w:t>
      </w:r>
      <w:r>
        <w:rPr>
          <w:rFonts w:hint="eastAsia" w:ascii="宋体" w:hAnsi="宋体"/>
          <w:color w:val="auto"/>
          <w:szCs w:val="21"/>
          <w:highlight w:val="none"/>
          <w:u w:val="single"/>
        </w:rPr>
        <w:t>ZHDGZC2025018</w:t>
      </w:r>
    </w:p>
    <w:p w14:paraId="55AA2717">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项目概况</w:t>
      </w:r>
    </w:p>
    <w:p w14:paraId="7BAA85CD">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color w:val="auto"/>
          <w:szCs w:val="21"/>
          <w:highlight w:val="none"/>
        </w:rPr>
      </w:pPr>
      <w:r>
        <w:rPr>
          <w:rFonts w:hint="eastAsia" w:ascii="宋体" w:hAnsi="宋体"/>
          <w:color w:val="auto"/>
          <w:szCs w:val="21"/>
          <w:highlight w:val="none"/>
        </w:rPr>
        <w:t>为进一步提高和完善单位机动车道路交通保障，东莞市公安局长安分局通过竞争性磋商方式选取</w:t>
      </w:r>
      <w:r>
        <w:rPr>
          <w:rFonts w:hint="eastAsia" w:ascii="宋体" w:hAnsi="宋体"/>
          <w:color w:val="auto"/>
          <w:szCs w:val="21"/>
          <w:highlight w:val="none"/>
          <w:u w:val="none"/>
          <w:lang w:val="en-US" w:eastAsia="zh-CN"/>
        </w:rPr>
        <w:t>乙方为</w:t>
      </w:r>
      <w:r>
        <w:rPr>
          <w:rFonts w:hint="eastAsia" w:ascii="宋体" w:hAnsi="宋体"/>
          <w:color w:val="auto"/>
          <w:szCs w:val="21"/>
          <w:highlight w:val="none"/>
        </w:rPr>
        <w:t>东莞市长安镇辅警大队全体在册警用摩托车提供保险服务。</w:t>
      </w:r>
    </w:p>
    <w:p w14:paraId="309CB5E3">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总体要求</w:t>
      </w:r>
    </w:p>
    <w:p w14:paraId="06FA96FE">
      <w:pPr>
        <w:numPr>
          <w:ilvl w:val="0"/>
          <w:numId w:val="90"/>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甲方权利和义务</w:t>
      </w:r>
    </w:p>
    <w:p w14:paraId="567F335D">
      <w:pPr>
        <w:numPr>
          <w:ilvl w:val="0"/>
          <w:numId w:val="91"/>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甲方有权随时检查乙方的服务履行情况，并向乙方提出修改。</w:t>
      </w:r>
    </w:p>
    <w:p w14:paraId="68E24D40">
      <w:pPr>
        <w:numPr>
          <w:ilvl w:val="0"/>
          <w:numId w:val="91"/>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当发生服务违约时，则甲方有权按约定在支付乙方合同款项中进行扣款。</w:t>
      </w:r>
    </w:p>
    <w:p w14:paraId="4CBA819E">
      <w:pPr>
        <w:numPr>
          <w:ilvl w:val="0"/>
          <w:numId w:val="91"/>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在乙方提供服务时，如对甲方的设备造成了损坏，甲方有权要求乙方赔偿。</w:t>
      </w:r>
    </w:p>
    <w:p w14:paraId="2A0B5D6C">
      <w:pPr>
        <w:numPr>
          <w:ilvl w:val="0"/>
          <w:numId w:val="91"/>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甲方应按合同规定向乙方支付服务费用。</w:t>
      </w:r>
    </w:p>
    <w:p w14:paraId="110BB59B">
      <w:pPr>
        <w:numPr>
          <w:ilvl w:val="0"/>
          <w:numId w:val="90"/>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乙方权利和义务</w:t>
      </w:r>
    </w:p>
    <w:p w14:paraId="0942A5B9">
      <w:pPr>
        <w:numPr>
          <w:ilvl w:val="0"/>
          <w:numId w:val="92"/>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乙方应按磋商文件的要求和响应文件的承诺进行服务，发生任何服务的变更均须向甲方提出交书面报审报告。</w:t>
      </w:r>
    </w:p>
    <w:p w14:paraId="5CDC5657">
      <w:pPr>
        <w:numPr>
          <w:ilvl w:val="0"/>
          <w:numId w:val="92"/>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乙方有权要求甲方按时支付服务费用</w:t>
      </w:r>
      <w:r>
        <w:rPr>
          <w:rFonts w:hint="eastAsia" w:ascii="宋体" w:hAnsi="宋体"/>
          <w:color w:val="auto"/>
          <w:szCs w:val="21"/>
          <w:highlight w:val="none"/>
          <w:lang w:eastAsia="zh-CN"/>
        </w:rPr>
        <w:t>，</w:t>
      </w:r>
      <w:r>
        <w:rPr>
          <w:rFonts w:hint="eastAsia" w:ascii="宋体" w:hAnsi="宋体"/>
          <w:color w:val="auto"/>
          <w:szCs w:val="21"/>
          <w:highlight w:val="none"/>
        </w:rPr>
        <w:t>但服务费得支付应以符合东莞市财政局的相关规定为前提。</w:t>
      </w:r>
    </w:p>
    <w:p w14:paraId="230E9170">
      <w:pPr>
        <w:numPr>
          <w:ilvl w:val="0"/>
          <w:numId w:val="92"/>
        </w:numPr>
        <w:tabs>
          <w:tab w:val="left" w:pos="1080"/>
        </w:tabs>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lang w:val="en-US" w:eastAsia="zh-CN"/>
        </w:rPr>
        <w:t>乙方应</w:t>
      </w:r>
      <w:r>
        <w:rPr>
          <w:rFonts w:hint="eastAsia" w:ascii="宋体" w:hAnsi="宋体"/>
          <w:color w:val="auto"/>
          <w:szCs w:val="21"/>
          <w:highlight w:val="none"/>
        </w:rPr>
        <w:t>符合《保险公司偿付能力管理规定》</w:t>
      </w:r>
    </w:p>
    <w:p w14:paraId="249D35E3">
      <w:pPr>
        <w:numPr>
          <w:ilvl w:val="0"/>
          <w:numId w:val="92"/>
        </w:numPr>
        <w:tabs>
          <w:tab w:val="left" w:pos="1080"/>
        </w:tabs>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应当具有健全偿付能力管理体系，确保偿付能力达标。</w:t>
      </w:r>
    </w:p>
    <w:p w14:paraId="6359B490">
      <w:pPr>
        <w:numPr>
          <w:ilvl w:val="0"/>
          <w:numId w:val="92"/>
        </w:numPr>
        <w:tabs>
          <w:tab w:val="left" w:pos="1080"/>
        </w:tabs>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应做好保险车辆档案管理，定期为</w:t>
      </w:r>
      <w:r>
        <w:rPr>
          <w:rFonts w:hint="eastAsia" w:ascii="宋体" w:hAnsi="宋体"/>
          <w:color w:val="auto"/>
          <w:szCs w:val="21"/>
          <w:highlight w:val="none"/>
          <w:lang w:val="en-US" w:eastAsia="zh-CN"/>
        </w:rPr>
        <w:t>甲方</w:t>
      </w:r>
      <w:r>
        <w:rPr>
          <w:rFonts w:hint="eastAsia" w:ascii="宋体" w:hAnsi="宋体"/>
          <w:color w:val="auto"/>
          <w:szCs w:val="21"/>
          <w:highlight w:val="none"/>
        </w:rPr>
        <w:t>开展安全教育。</w:t>
      </w:r>
    </w:p>
    <w:p w14:paraId="1F5AC088">
      <w:pPr>
        <w:numPr>
          <w:ilvl w:val="0"/>
          <w:numId w:val="92"/>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乙方</w:t>
      </w:r>
      <w:r>
        <w:rPr>
          <w:rFonts w:hint="eastAsia" w:ascii="宋体" w:hAnsi="宋体"/>
          <w:color w:val="auto"/>
          <w:szCs w:val="21"/>
          <w:highlight w:val="none"/>
        </w:rPr>
        <w:t>需对投入本项目的服务人员进行保险业务知识讲座培训。</w:t>
      </w:r>
    </w:p>
    <w:p w14:paraId="0BE920EC">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价格</w:t>
      </w:r>
    </w:p>
    <w:p w14:paraId="09A0C4FF">
      <w:pPr>
        <w:numPr>
          <w:ilvl w:val="0"/>
          <w:numId w:val="9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合同总价：大写：人民币</w:t>
      </w:r>
      <w:r>
        <w:rPr>
          <w:rFonts w:hint="eastAsia" w:ascii="宋体" w:hAnsi="宋体"/>
          <w:color w:val="auto"/>
          <w:szCs w:val="21"/>
          <w:highlight w:val="none"/>
          <w:u w:val="single"/>
          <w:lang w:val="en-US" w:eastAsia="zh-CN"/>
        </w:rPr>
        <w:t>贰拾柒万玖仟壹佰贰拾玖元整</w:t>
      </w:r>
      <w:r>
        <w:rPr>
          <w:rFonts w:hint="eastAsia" w:ascii="宋体" w:hAnsi="宋体"/>
          <w:color w:val="auto"/>
          <w:szCs w:val="21"/>
          <w:highlight w:val="none"/>
        </w:rPr>
        <w:t>（小写：￥</w:t>
      </w:r>
      <w:r>
        <w:rPr>
          <w:rFonts w:hint="eastAsia" w:ascii="宋体" w:hAnsi="宋体"/>
          <w:color w:val="auto"/>
          <w:szCs w:val="21"/>
          <w:highlight w:val="none"/>
          <w:u w:val="single"/>
        </w:rPr>
        <w:t>279,129.00</w:t>
      </w:r>
      <w:r>
        <w:rPr>
          <w:rFonts w:hint="eastAsia" w:ascii="宋体" w:hAnsi="宋体"/>
          <w:color w:val="auto"/>
          <w:szCs w:val="21"/>
          <w:highlight w:val="none"/>
        </w:rPr>
        <w:t>元）</w:t>
      </w:r>
    </w:p>
    <w:p w14:paraId="503098EB">
      <w:pPr>
        <w:numPr>
          <w:ilvl w:val="0"/>
          <w:numId w:val="93"/>
        </w:numPr>
        <w:snapToGrid w:val="0"/>
        <w:spacing w:line="360" w:lineRule="auto"/>
        <w:contextualSpacing/>
        <w:rPr>
          <w:rFonts w:ascii="宋体" w:hAnsi="宋体"/>
          <w:color w:val="auto"/>
          <w:szCs w:val="21"/>
          <w:highlight w:val="none"/>
          <w:u w:val="none"/>
        </w:rPr>
      </w:pPr>
      <w:r>
        <w:rPr>
          <w:rFonts w:hint="eastAsia" w:ascii="宋体" w:hAnsi="宋体"/>
          <w:color w:val="auto"/>
          <w:szCs w:val="21"/>
          <w:highlight w:val="none"/>
          <w:lang w:val="en-US" w:eastAsia="zh-CN"/>
        </w:rPr>
        <w:t>合同单价：大写：人民币</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元/台/年（小写：</w:t>
      </w:r>
      <w:r>
        <w:rPr>
          <w:rFonts w:hint="eastAsia" w:ascii="宋体" w:hAnsi="宋体"/>
          <w:color w:val="auto"/>
          <w:szCs w:val="21"/>
          <w:highlight w:val="none"/>
        </w:rPr>
        <w:t>￥</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元/台/年）</w:t>
      </w:r>
    </w:p>
    <w:p w14:paraId="59EC6465">
      <w:pPr>
        <w:numPr>
          <w:ilvl w:val="0"/>
          <w:numId w:val="9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本合同价款包含合同约定</w:t>
      </w:r>
      <w:r>
        <w:rPr>
          <w:rFonts w:hint="eastAsia" w:ascii="宋体" w:hAnsi="宋体"/>
          <w:color w:val="auto"/>
          <w:szCs w:val="21"/>
          <w:highlight w:val="none"/>
        </w:rPr>
        <w:t>的所有</w:t>
      </w:r>
      <w:r>
        <w:rPr>
          <w:rFonts w:hint="eastAsia" w:ascii="宋体" w:hAnsi="宋体"/>
          <w:color w:val="auto"/>
          <w:szCs w:val="21"/>
          <w:highlight w:val="none"/>
          <w:lang w:val="en-US" w:eastAsia="zh-CN"/>
        </w:rPr>
        <w:t>服务</w:t>
      </w:r>
      <w:r>
        <w:rPr>
          <w:rFonts w:hint="eastAsia" w:ascii="宋体" w:hAnsi="宋体"/>
          <w:color w:val="auto"/>
          <w:szCs w:val="21"/>
          <w:highlight w:val="none"/>
        </w:rPr>
        <w:t>内容，包含东莞市长安镇辅警大队全体在册警用摩托车（含服务期内新增车辆）的机动车第三者责任保险、车上人员责任保险、交通事故责任强制保险和车船税等。其中，由</w:t>
      </w:r>
      <w:r>
        <w:rPr>
          <w:rFonts w:hint="eastAsia" w:ascii="宋体" w:hAnsi="宋体"/>
          <w:color w:val="auto"/>
          <w:szCs w:val="21"/>
          <w:highlight w:val="none"/>
          <w:lang w:val="en-US" w:eastAsia="zh-CN"/>
        </w:rPr>
        <w:t>乙方</w:t>
      </w:r>
      <w:r>
        <w:rPr>
          <w:rFonts w:hint="eastAsia" w:ascii="宋体" w:hAnsi="宋体"/>
          <w:color w:val="auto"/>
          <w:szCs w:val="21"/>
          <w:highlight w:val="none"/>
        </w:rPr>
        <w:t>代为购买保险车辆交通事故责任强制保险及缴纳车船税，所需费用由</w:t>
      </w:r>
      <w:r>
        <w:rPr>
          <w:rFonts w:hint="eastAsia" w:ascii="宋体" w:hAnsi="宋体"/>
          <w:color w:val="auto"/>
          <w:szCs w:val="21"/>
          <w:highlight w:val="none"/>
          <w:lang w:val="en-US" w:eastAsia="zh-CN"/>
        </w:rPr>
        <w:t>乙方</w:t>
      </w:r>
      <w:r>
        <w:rPr>
          <w:rFonts w:hint="eastAsia" w:ascii="宋体" w:hAnsi="宋体"/>
          <w:color w:val="auto"/>
          <w:szCs w:val="21"/>
          <w:highlight w:val="none"/>
        </w:rPr>
        <w:t>承担，收费须按中国银行保险监督管理委员会制定的最新版《机动车交通事故责任强制保险费率方案》、《广东省机动车车船税代收代缴管理办法》和车船税税目税费表的统一规定执行，</w:t>
      </w:r>
      <w:r>
        <w:rPr>
          <w:rFonts w:hint="eastAsia" w:ascii="宋体" w:hAnsi="宋体"/>
          <w:color w:val="auto"/>
          <w:szCs w:val="21"/>
          <w:highlight w:val="none"/>
          <w:lang w:val="en-US" w:eastAsia="zh-CN"/>
        </w:rPr>
        <w:t>乙方</w:t>
      </w:r>
      <w:r>
        <w:rPr>
          <w:rFonts w:hint="eastAsia" w:ascii="宋体" w:hAnsi="宋体"/>
          <w:color w:val="auto"/>
          <w:szCs w:val="21"/>
          <w:highlight w:val="none"/>
        </w:rPr>
        <w:t>不得以此为由向</w:t>
      </w:r>
      <w:r>
        <w:rPr>
          <w:rFonts w:hint="eastAsia" w:ascii="宋体" w:hAnsi="宋体"/>
          <w:color w:val="auto"/>
          <w:szCs w:val="21"/>
          <w:highlight w:val="none"/>
          <w:lang w:val="en-US" w:eastAsia="zh-CN"/>
        </w:rPr>
        <w:t>甲方</w:t>
      </w:r>
      <w:r>
        <w:rPr>
          <w:rFonts w:hint="eastAsia" w:ascii="宋体" w:hAnsi="宋体"/>
          <w:color w:val="auto"/>
          <w:szCs w:val="21"/>
          <w:highlight w:val="none"/>
        </w:rPr>
        <w:t>收取额外费用。</w:t>
      </w:r>
    </w:p>
    <w:p w14:paraId="77B21425">
      <w:pPr>
        <w:numPr>
          <w:ilvl w:val="0"/>
          <w:numId w:val="9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本合同价为固定不变价。</w:t>
      </w:r>
    </w:p>
    <w:p w14:paraId="70CD8402">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验收要求</w:t>
      </w:r>
    </w:p>
    <w:p w14:paraId="154B4831">
      <w:pPr>
        <w:keepNext w:val="0"/>
        <w:keepLines w:val="0"/>
        <w:pageBreakBefore w:val="0"/>
        <w:widowControl w:val="0"/>
        <w:numPr>
          <w:ilvl w:val="0"/>
          <w:numId w:val="94"/>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Times New Roman"/>
          <w:iCs/>
          <w:szCs w:val="21"/>
          <w:lang w:val="en-US" w:eastAsia="zh-CN"/>
        </w:rPr>
      </w:pPr>
      <w:r>
        <w:rPr>
          <w:rFonts w:hint="eastAsia" w:ascii="宋体" w:hAnsi="宋体" w:eastAsia="宋体" w:cs="Times New Roman"/>
          <w:iCs/>
          <w:szCs w:val="21"/>
          <w:lang w:val="en-US" w:eastAsia="zh-CN"/>
        </w:rPr>
        <w:t>车险资料：经投保的车辆，</w:t>
      </w:r>
      <w:r>
        <w:rPr>
          <w:rFonts w:hint="eastAsia" w:ascii="宋体" w:hAnsi="宋体" w:cs="Times New Roman"/>
          <w:iCs/>
          <w:szCs w:val="21"/>
          <w:lang w:val="en-US" w:eastAsia="zh-CN"/>
        </w:rPr>
        <w:t>乙方</w:t>
      </w:r>
      <w:r>
        <w:rPr>
          <w:rFonts w:hint="eastAsia" w:ascii="宋体" w:hAnsi="宋体" w:eastAsia="宋体" w:cs="Times New Roman"/>
          <w:iCs/>
          <w:szCs w:val="21"/>
          <w:lang w:val="en-US" w:eastAsia="zh-CN"/>
        </w:rPr>
        <w:t>均须在采购人确认后5个工作日提供包括但不限于机动车防伪保险单1份、机动车辆保险证1份、机动车辆各种险种的保险条款资料（纸质或及电子档）原件等车辆投保资料。</w:t>
      </w:r>
    </w:p>
    <w:p w14:paraId="2D400799">
      <w:pPr>
        <w:keepNext w:val="0"/>
        <w:keepLines w:val="0"/>
        <w:pageBreakBefore w:val="0"/>
        <w:widowControl w:val="0"/>
        <w:numPr>
          <w:ilvl w:val="0"/>
          <w:numId w:val="94"/>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Times New Roman"/>
          <w:iCs/>
          <w:szCs w:val="21"/>
          <w:lang w:val="en-US" w:eastAsia="zh-CN"/>
        </w:rPr>
      </w:pPr>
      <w:r>
        <w:rPr>
          <w:rFonts w:hint="eastAsia" w:ascii="宋体" w:hAnsi="宋体" w:eastAsia="宋体" w:cs="Times New Roman"/>
          <w:iCs/>
          <w:szCs w:val="21"/>
          <w:lang w:val="en-US" w:eastAsia="zh-CN"/>
        </w:rPr>
        <w:t>验收时间及要求：在车辆车险资料原件交付时，由双方对被保险车辆、险种、投保时间、车险资料、保险费等进行验收。</w:t>
      </w:r>
    </w:p>
    <w:p w14:paraId="05BBC169">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付款</w:t>
      </w:r>
    </w:p>
    <w:p w14:paraId="0EF79743">
      <w:pPr>
        <w:numPr>
          <w:ilvl w:val="0"/>
          <w:numId w:val="9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服务期：</w:t>
      </w:r>
      <w:r>
        <w:rPr>
          <w:rFonts w:hint="eastAsia" w:ascii="宋体" w:hAnsi="宋体"/>
          <w:color w:val="auto"/>
          <w:szCs w:val="21"/>
          <w:highlight w:val="none"/>
          <w:u w:val="single"/>
          <w:lang w:val="en-US" w:eastAsia="zh-CN"/>
        </w:rPr>
        <w:t>2025</w:t>
      </w:r>
      <w:r>
        <w:rPr>
          <w:rFonts w:hint="eastAsia" w:ascii="宋体" w:hAnsi="宋体"/>
          <w:color w:val="auto"/>
          <w:szCs w:val="21"/>
          <w:highlight w:val="none"/>
          <w:u w:val="single"/>
        </w:rPr>
        <w:t>年  月  日至</w:t>
      </w:r>
      <w:r>
        <w:rPr>
          <w:rFonts w:hint="eastAsia" w:ascii="宋体" w:hAnsi="宋体"/>
          <w:color w:val="auto"/>
          <w:szCs w:val="21"/>
          <w:highlight w:val="none"/>
          <w:u w:val="single"/>
          <w:lang w:val="en-US" w:eastAsia="zh-CN"/>
        </w:rPr>
        <w:t>2026</w:t>
      </w:r>
      <w:r>
        <w:rPr>
          <w:rFonts w:hint="eastAsia" w:ascii="宋体" w:hAnsi="宋体"/>
          <w:color w:val="auto"/>
          <w:szCs w:val="21"/>
          <w:highlight w:val="none"/>
          <w:u w:val="single"/>
        </w:rPr>
        <w:t>年  月  日</w:t>
      </w:r>
      <w:r>
        <w:rPr>
          <w:rFonts w:hint="eastAsia" w:ascii="宋体" w:hAnsi="宋体"/>
          <w:color w:val="auto"/>
          <w:szCs w:val="21"/>
          <w:highlight w:val="none"/>
        </w:rPr>
        <w:t>(共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壹</w:t>
      </w:r>
      <w:r>
        <w:rPr>
          <w:rFonts w:hint="eastAsia" w:ascii="宋体" w:hAnsi="宋体"/>
          <w:color w:val="auto"/>
          <w:szCs w:val="21"/>
          <w:highlight w:val="none"/>
          <w:u w:val="single"/>
        </w:rPr>
        <w:t xml:space="preserve"> </w:t>
      </w:r>
      <w:r>
        <w:rPr>
          <w:rFonts w:hint="eastAsia" w:ascii="宋体" w:hAnsi="宋体"/>
          <w:color w:val="auto"/>
          <w:szCs w:val="21"/>
          <w:highlight w:val="none"/>
        </w:rPr>
        <w:t>年)或本</w:t>
      </w:r>
      <w:r>
        <w:rPr>
          <w:rFonts w:hint="eastAsia" w:ascii="宋体" w:hAnsi="宋体"/>
          <w:color w:val="auto"/>
          <w:szCs w:val="21"/>
          <w:highlight w:val="none"/>
          <w:lang w:val="en-US" w:eastAsia="zh-CN"/>
        </w:rPr>
        <w:t>合同</w:t>
      </w:r>
      <w:r>
        <w:rPr>
          <w:rFonts w:hint="eastAsia" w:ascii="宋体" w:hAnsi="宋体"/>
          <w:color w:val="auto"/>
          <w:szCs w:val="21"/>
          <w:highlight w:val="none"/>
        </w:rPr>
        <w:t>金额（¥279,129.00）使用完毕，以其中一项先到达的为止。</w:t>
      </w:r>
    </w:p>
    <w:p w14:paraId="11EE0F56">
      <w:pPr>
        <w:numPr>
          <w:ilvl w:val="0"/>
          <w:numId w:val="95"/>
        </w:numPr>
        <w:snapToGrid w:val="0"/>
        <w:spacing w:line="360" w:lineRule="auto"/>
        <w:contextualSpacing/>
        <w:rPr>
          <w:rFonts w:hint="eastAsia" w:ascii="宋体" w:hAnsi="宋体" w:cs="宋体"/>
          <w:color w:val="auto"/>
          <w:szCs w:val="21"/>
          <w:highlight w:val="none"/>
        </w:rPr>
      </w:pPr>
      <w:r>
        <w:rPr>
          <w:rFonts w:hint="eastAsia" w:ascii="宋体" w:hAnsi="宋体" w:cs="宋体"/>
          <w:color w:val="auto"/>
          <w:szCs w:val="21"/>
          <w:highlight w:val="none"/>
        </w:rPr>
        <w:t>保险费按东莞市长安镇辅警大队全体在册警用摩托车中须投保车辆保险到期批次进行结算，</w:t>
      </w:r>
      <w:r>
        <w:rPr>
          <w:rFonts w:hint="eastAsia" w:ascii="宋体" w:hAnsi="宋体"/>
          <w:color w:val="auto"/>
          <w:szCs w:val="21"/>
          <w:highlight w:val="none"/>
          <w:lang w:val="en-US" w:eastAsia="zh-CN"/>
        </w:rPr>
        <w:t>乙方</w:t>
      </w:r>
      <w:r>
        <w:rPr>
          <w:rFonts w:hint="eastAsia" w:ascii="宋体" w:hAnsi="宋体" w:cs="宋体"/>
          <w:color w:val="auto"/>
          <w:szCs w:val="21"/>
          <w:highlight w:val="none"/>
        </w:rPr>
        <w:t>在上批次保险到期前30日内须将该批次警用摩托车下一年度的保险清单及支付申请书等相关资料交给</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确认</w:t>
      </w:r>
      <w:r>
        <w:rPr>
          <w:rFonts w:hint="eastAsia" w:ascii="宋体" w:hAnsi="宋体" w:cs="宋体"/>
          <w:color w:val="auto"/>
          <w:szCs w:val="21"/>
          <w:highlight w:val="none"/>
          <w:lang w:eastAsia="zh-CN"/>
        </w:rPr>
        <w:t>。</w:t>
      </w:r>
    </w:p>
    <w:p w14:paraId="4B72AF12">
      <w:pPr>
        <w:numPr>
          <w:ilvl w:val="0"/>
          <w:numId w:val="95"/>
        </w:numPr>
        <w:snapToGrid w:val="0"/>
        <w:spacing w:line="360" w:lineRule="auto"/>
        <w:contextualSpacing/>
        <w:rPr>
          <w:rFonts w:ascii="宋体" w:hAnsi="宋体"/>
          <w:color w:val="auto"/>
          <w:szCs w:val="21"/>
          <w:highlight w:val="none"/>
        </w:rPr>
      </w:pPr>
      <w:r>
        <w:rPr>
          <w:rFonts w:hint="eastAsia" w:ascii="宋体" w:hAnsi="宋体" w:cs="宋体"/>
          <w:color w:val="auto"/>
          <w:szCs w:val="21"/>
          <w:highlight w:val="none"/>
        </w:rPr>
        <w:t>经</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确认无误后，</w:t>
      </w:r>
      <w:r>
        <w:rPr>
          <w:rFonts w:hint="eastAsia" w:ascii="宋体" w:hAnsi="宋体"/>
          <w:color w:val="auto"/>
          <w:szCs w:val="21"/>
          <w:highlight w:val="none"/>
          <w:lang w:val="en-US" w:eastAsia="zh-CN"/>
        </w:rPr>
        <w:t>乙方</w:t>
      </w:r>
      <w:r>
        <w:rPr>
          <w:rFonts w:hint="eastAsia" w:ascii="宋体" w:hAnsi="宋体" w:cs="宋体"/>
          <w:color w:val="auto"/>
          <w:szCs w:val="21"/>
          <w:highlight w:val="none"/>
        </w:rPr>
        <w:t>须在5个工作日内将相应的保险单及等额、合规发票提交给</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在收到</w:t>
      </w:r>
      <w:r>
        <w:rPr>
          <w:rFonts w:hint="eastAsia" w:ascii="宋体" w:hAnsi="宋体"/>
          <w:color w:val="auto"/>
          <w:szCs w:val="21"/>
          <w:highlight w:val="none"/>
          <w:lang w:val="en-US" w:eastAsia="zh-CN"/>
        </w:rPr>
        <w:t>乙方</w:t>
      </w:r>
      <w:r>
        <w:rPr>
          <w:rFonts w:hint="eastAsia" w:ascii="宋体" w:hAnsi="宋体" w:cs="宋体"/>
          <w:color w:val="auto"/>
          <w:szCs w:val="21"/>
          <w:highlight w:val="none"/>
        </w:rPr>
        <w:t>合格资料后10个工作日内一次性支付该批次需求单的保险费用。</w:t>
      </w:r>
    </w:p>
    <w:p w14:paraId="3640AF80">
      <w:pPr>
        <w:numPr>
          <w:ilvl w:val="0"/>
          <w:numId w:val="9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根据现行税法规定对乙方或其雇员征收的与本合同有关的一切税费均应由乙方负担。</w:t>
      </w:r>
    </w:p>
    <w:p w14:paraId="5823924A">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警用摩托车保险要求</w:t>
      </w:r>
    </w:p>
    <w:p w14:paraId="38EF1030">
      <w:pPr>
        <w:numPr>
          <w:ilvl w:val="0"/>
          <w:numId w:val="96"/>
        </w:numPr>
        <w:snapToGrid w:val="0"/>
        <w:spacing w:line="360" w:lineRule="auto"/>
        <w:contextualSpacing/>
        <w:rPr>
          <w:rFonts w:ascii="宋体" w:hAnsi="宋体"/>
          <w:b w:val="0"/>
          <w:bCs/>
          <w:color w:val="auto"/>
          <w:spacing w:val="0"/>
          <w:sz w:val="21"/>
          <w:szCs w:val="21"/>
          <w:highlight w:val="none"/>
        </w:rPr>
      </w:pPr>
      <w:r>
        <w:rPr>
          <w:rFonts w:hint="eastAsia" w:ascii="宋体" w:hAnsi="宋体"/>
          <w:b w:val="0"/>
          <w:bCs/>
          <w:color w:val="auto"/>
          <w:spacing w:val="0"/>
          <w:sz w:val="21"/>
          <w:szCs w:val="21"/>
          <w:highlight w:val="none"/>
        </w:rPr>
        <w:t>保险险种和范围</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7"/>
        <w:gridCol w:w="2323"/>
        <w:gridCol w:w="5102"/>
        <w:gridCol w:w="1207"/>
      </w:tblGrid>
      <w:tr w14:paraId="07F50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49" w:type="pct"/>
            <w:noWrap w:val="0"/>
            <w:vAlign w:val="center"/>
          </w:tcPr>
          <w:p w14:paraId="3BC6D0A7">
            <w:pPr>
              <w:tabs>
                <w:tab w:val="left" w:pos="426"/>
              </w:tabs>
              <w:spacing w:line="360" w:lineRule="auto"/>
              <w:jc w:val="center"/>
              <w:rPr>
                <w:rFonts w:hint="eastAsia" w:ascii="宋体" w:hAnsi="宋体" w:cs="宋体"/>
                <w:b/>
                <w:bCs w:val="0"/>
                <w:color w:val="auto"/>
                <w:sz w:val="21"/>
                <w:szCs w:val="21"/>
              </w:rPr>
            </w:pPr>
            <w:r>
              <w:rPr>
                <w:rFonts w:hint="eastAsia" w:ascii="宋体" w:hAnsi="宋体" w:cs="宋体"/>
                <w:b/>
                <w:bCs w:val="0"/>
                <w:color w:val="auto"/>
                <w:sz w:val="21"/>
                <w:szCs w:val="21"/>
              </w:rPr>
              <w:t>序号</w:t>
            </w:r>
          </w:p>
        </w:tc>
        <w:tc>
          <w:tcPr>
            <w:tcW w:w="1251" w:type="pct"/>
            <w:noWrap w:val="0"/>
            <w:vAlign w:val="center"/>
          </w:tcPr>
          <w:p w14:paraId="1BCACFCB">
            <w:pPr>
              <w:tabs>
                <w:tab w:val="left" w:pos="426"/>
              </w:tabs>
              <w:spacing w:line="360" w:lineRule="auto"/>
              <w:jc w:val="center"/>
              <w:rPr>
                <w:rFonts w:hint="eastAsia" w:ascii="宋体" w:hAnsi="宋体" w:cs="宋体"/>
                <w:b/>
                <w:bCs w:val="0"/>
                <w:color w:val="auto"/>
                <w:sz w:val="21"/>
                <w:szCs w:val="21"/>
              </w:rPr>
            </w:pPr>
            <w:r>
              <w:rPr>
                <w:rFonts w:hint="eastAsia" w:ascii="宋体" w:hAnsi="宋体" w:cs="宋体"/>
                <w:b/>
                <w:bCs w:val="0"/>
                <w:color w:val="auto"/>
                <w:sz w:val="21"/>
                <w:szCs w:val="21"/>
              </w:rPr>
              <w:t>保险名称</w:t>
            </w:r>
          </w:p>
        </w:tc>
        <w:tc>
          <w:tcPr>
            <w:tcW w:w="2748" w:type="pct"/>
            <w:noWrap w:val="0"/>
            <w:vAlign w:val="center"/>
          </w:tcPr>
          <w:p w14:paraId="30484051">
            <w:pPr>
              <w:tabs>
                <w:tab w:val="left" w:pos="426"/>
              </w:tabs>
              <w:spacing w:line="360" w:lineRule="auto"/>
              <w:jc w:val="center"/>
              <w:rPr>
                <w:rFonts w:hint="eastAsia" w:ascii="宋体" w:hAnsi="宋体" w:cs="宋体"/>
                <w:b/>
                <w:bCs w:val="0"/>
                <w:color w:val="auto"/>
                <w:sz w:val="21"/>
                <w:szCs w:val="21"/>
              </w:rPr>
            </w:pPr>
            <w:r>
              <w:rPr>
                <w:rFonts w:hint="eastAsia" w:ascii="宋体" w:hAnsi="宋体" w:cs="宋体"/>
                <w:b/>
                <w:bCs w:val="0"/>
                <w:color w:val="auto"/>
                <w:sz w:val="21"/>
                <w:szCs w:val="21"/>
              </w:rPr>
              <w:t>保险金额</w:t>
            </w:r>
          </w:p>
        </w:tc>
        <w:tc>
          <w:tcPr>
            <w:tcW w:w="650" w:type="pct"/>
            <w:noWrap w:val="0"/>
            <w:vAlign w:val="center"/>
          </w:tcPr>
          <w:p w14:paraId="190618A1">
            <w:pPr>
              <w:tabs>
                <w:tab w:val="left" w:pos="426"/>
              </w:tabs>
              <w:spacing w:line="360" w:lineRule="auto"/>
              <w:jc w:val="center"/>
              <w:rPr>
                <w:rFonts w:hint="eastAsia" w:ascii="宋体" w:hAnsi="宋体" w:eastAsia="宋体" w:cs="宋体"/>
                <w:b/>
                <w:bCs w:val="0"/>
                <w:color w:val="auto"/>
                <w:sz w:val="21"/>
                <w:szCs w:val="21"/>
                <w:lang w:eastAsia="zh-CN"/>
              </w:rPr>
            </w:pPr>
            <w:r>
              <w:rPr>
                <w:rFonts w:hint="eastAsia" w:ascii="宋体" w:hAnsi="宋体" w:cs="宋体"/>
                <w:b/>
                <w:bCs w:val="0"/>
                <w:color w:val="auto"/>
                <w:sz w:val="21"/>
                <w:szCs w:val="21"/>
              </w:rPr>
              <w:t>参保</w:t>
            </w:r>
            <w:r>
              <w:rPr>
                <w:rFonts w:hint="eastAsia" w:ascii="宋体" w:hAnsi="宋体" w:cs="宋体"/>
                <w:b/>
                <w:bCs w:val="0"/>
                <w:color w:val="auto"/>
                <w:sz w:val="21"/>
                <w:szCs w:val="21"/>
                <w:lang w:val="en-US" w:eastAsia="zh-CN"/>
              </w:rPr>
              <w:t>范围</w:t>
            </w:r>
          </w:p>
        </w:tc>
      </w:tr>
      <w:tr w14:paraId="5829A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49" w:type="pct"/>
            <w:noWrap w:val="0"/>
            <w:vAlign w:val="center"/>
          </w:tcPr>
          <w:p w14:paraId="0ADFDE51">
            <w:pPr>
              <w:tabs>
                <w:tab w:val="left" w:pos="426"/>
              </w:tabs>
              <w:spacing w:line="360" w:lineRule="auto"/>
              <w:jc w:val="center"/>
              <w:rPr>
                <w:rFonts w:hint="eastAsia" w:ascii="宋体" w:hAnsi="宋体" w:cs="宋体"/>
                <w:b/>
                <w:bCs w:val="0"/>
                <w:color w:val="auto"/>
                <w:sz w:val="21"/>
                <w:szCs w:val="21"/>
                <w:highlight w:val="none"/>
              </w:rPr>
            </w:pPr>
            <w:r>
              <w:rPr>
                <w:rFonts w:hint="eastAsia" w:ascii="宋体" w:hAnsi="宋体" w:cs="宋体"/>
                <w:b/>
                <w:bCs w:val="0"/>
                <w:color w:val="auto"/>
                <w:sz w:val="21"/>
                <w:szCs w:val="21"/>
                <w:highlight w:val="none"/>
              </w:rPr>
              <w:t>1</w:t>
            </w:r>
          </w:p>
        </w:tc>
        <w:tc>
          <w:tcPr>
            <w:tcW w:w="1251" w:type="pct"/>
            <w:noWrap w:val="0"/>
            <w:vAlign w:val="center"/>
          </w:tcPr>
          <w:p w14:paraId="2315174C">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机动车第三者责任保险</w:t>
            </w:r>
          </w:p>
        </w:tc>
        <w:tc>
          <w:tcPr>
            <w:tcW w:w="2748" w:type="pct"/>
            <w:noWrap w:val="0"/>
            <w:vAlign w:val="center"/>
          </w:tcPr>
          <w:p w14:paraId="7C52BEFA">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100万元/台</w:t>
            </w:r>
          </w:p>
        </w:tc>
        <w:tc>
          <w:tcPr>
            <w:tcW w:w="650" w:type="pct"/>
            <w:vMerge w:val="restart"/>
            <w:noWrap w:val="0"/>
            <w:vAlign w:val="center"/>
          </w:tcPr>
          <w:p w14:paraId="5C99FAD8">
            <w:pPr>
              <w:tabs>
                <w:tab w:val="left" w:pos="426"/>
              </w:tabs>
              <w:spacing w:line="360" w:lineRule="auto"/>
              <w:jc w:val="center"/>
              <w:rPr>
                <w:rFonts w:hint="eastAsia" w:ascii="宋体" w:hAnsi="宋体" w:eastAsia="宋体" w:cs="宋体"/>
                <w:bCs/>
                <w:color w:val="auto"/>
                <w:sz w:val="21"/>
                <w:szCs w:val="21"/>
                <w:highlight w:val="none"/>
                <w:lang w:eastAsia="zh-CN"/>
              </w:rPr>
            </w:pPr>
            <w:r>
              <w:rPr>
                <w:rFonts w:hint="eastAsia" w:ascii="宋体" w:hAnsi="宋体" w:cs="宋体"/>
                <w:bCs/>
                <w:color w:val="auto"/>
                <w:sz w:val="21"/>
                <w:szCs w:val="21"/>
                <w:highlight w:val="none"/>
                <w:lang w:val="en-US" w:eastAsia="zh-CN"/>
              </w:rPr>
              <w:t>东莞市长安镇辅警大队全体在册警用摩托车</w:t>
            </w:r>
          </w:p>
        </w:tc>
      </w:tr>
      <w:tr w14:paraId="256A8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49" w:type="pct"/>
            <w:noWrap w:val="0"/>
            <w:vAlign w:val="center"/>
          </w:tcPr>
          <w:p w14:paraId="2D76C48D">
            <w:pPr>
              <w:tabs>
                <w:tab w:val="left" w:pos="426"/>
              </w:tabs>
              <w:spacing w:line="360" w:lineRule="auto"/>
              <w:jc w:val="center"/>
              <w:rPr>
                <w:rFonts w:hint="eastAsia" w:ascii="宋体" w:hAnsi="宋体" w:cs="宋体"/>
                <w:b/>
                <w:bCs w:val="0"/>
                <w:color w:val="auto"/>
                <w:sz w:val="21"/>
                <w:szCs w:val="21"/>
                <w:highlight w:val="none"/>
              </w:rPr>
            </w:pPr>
            <w:r>
              <w:rPr>
                <w:rFonts w:hint="eastAsia" w:ascii="宋体" w:hAnsi="宋体" w:cs="宋体"/>
                <w:b/>
                <w:bCs w:val="0"/>
                <w:color w:val="auto"/>
                <w:sz w:val="21"/>
                <w:szCs w:val="21"/>
                <w:highlight w:val="none"/>
              </w:rPr>
              <w:t>2</w:t>
            </w:r>
          </w:p>
        </w:tc>
        <w:tc>
          <w:tcPr>
            <w:tcW w:w="1251" w:type="pct"/>
            <w:noWrap w:val="0"/>
            <w:vAlign w:val="center"/>
          </w:tcPr>
          <w:p w14:paraId="5871E86F">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车上人员责任保险</w:t>
            </w:r>
          </w:p>
        </w:tc>
        <w:tc>
          <w:tcPr>
            <w:tcW w:w="2748" w:type="pct"/>
            <w:noWrap w:val="0"/>
            <w:vAlign w:val="center"/>
          </w:tcPr>
          <w:p w14:paraId="5B3A85D3">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lang w:val="en-US" w:eastAsia="zh-CN"/>
              </w:rPr>
              <w:t>19</w:t>
            </w:r>
            <w:r>
              <w:rPr>
                <w:rFonts w:hint="eastAsia" w:ascii="宋体" w:hAnsi="宋体" w:cs="宋体"/>
                <w:bCs/>
                <w:color w:val="auto"/>
                <w:sz w:val="21"/>
                <w:szCs w:val="21"/>
                <w:highlight w:val="none"/>
              </w:rPr>
              <w:t>万元/台</w:t>
            </w:r>
          </w:p>
          <w:p w14:paraId="56A34C58">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（其中司机10万/座、乘客</w:t>
            </w:r>
            <w:r>
              <w:rPr>
                <w:rFonts w:hint="eastAsia" w:ascii="宋体" w:hAnsi="宋体" w:cs="宋体"/>
                <w:bCs/>
                <w:color w:val="auto"/>
                <w:sz w:val="21"/>
                <w:szCs w:val="21"/>
                <w:highlight w:val="none"/>
                <w:lang w:val="en-US" w:eastAsia="zh-CN"/>
              </w:rPr>
              <w:t>9</w:t>
            </w:r>
            <w:r>
              <w:rPr>
                <w:rFonts w:hint="eastAsia" w:ascii="宋体" w:hAnsi="宋体" w:cs="宋体"/>
                <w:bCs/>
                <w:color w:val="auto"/>
                <w:sz w:val="21"/>
                <w:szCs w:val="21"/>
                <w:highlight w:val="none"/>
              </w:rPr>
              <w:t>万/座）</w:t>
            </w:r>
          </w:p>
        </w:tc>
        <w:tc>
          <w:tcPr>
            <w:tcW w:w="650" w:type="pct"/>
            <w:vMerge w:val="continue"/>
            <w:noWrap w:val="0"/>
            <w:vAlign w:val="center"/>
          </w:tcPr>
          <w:p w14:paraId="2E6BBD70">
            <w:pPr>
              <w:tabs>
                <w:tab w:val="left" w:pos="426"/>
              </w:tabs>
              <w:spacing w:line="360" w:lineRule="auto"/>
              <w:jc w:val="center"/>
              <w:rPr>
                <w:rFonts w:hint="eastAsia" w:ascii="宋体" w:hAnsi="宋体" w:cs="宋体"/>
                <w:bCs/>
                <w:color w:val="auto"/>
                <w:sz w:val="21"/>
                <w:szCs w:val="21"/>
                <w:highlight w:val="none"/>
              </w:rPr>
            </w:pPr>
          </w:p>
        </w:tc>
      </w:tr>
      <w:tr w14:paraId="72CC0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49" w:type="pct"/>
            <w:noWrap w:val="0"/>
            <w:vAlign w:val="center"/>
          </w:tcPr>
          <w:p w14:paraId="44569ACA">
            <w:pPr>
              <w:tabs>
                <w:tab w:val="left" w:pos="426"/>
              </w:tabs>
              <w:spacing w:line="360" w:lineRule="auto"/>
              <w:jc w:val="center"/>
              <w:rPr>
                <w:rFonts w:hint="eastAsia" w:ascii="宋体" w:hAnsi="宋体" w:eastAsia="宋体" w:cs="宋体"/>
                <w:b/>
                <w:bCs w:val="0"/>
                <w:color w:val="auto"/>
                <w:sz w:val="21"/>
                <w:szCs w:val="21"/>
                <w:highlight w:val="none"/>
                <w:lang w:val="en-US" w:eastAsia="zh-CN"/>
              </w:rPr>
            </w:pPr>
            <w:r>
              <w:rPr>
                <w:rFonts w:hint="eastAsia" w:ascii="宋体" w:hAnsi="宋体" w:cs="宋体"/>
                <w:b/>
                <w:bCs w:val="0"/>
                <w:color w:val="auto"/>
                <w:sz w:val="21"/>
                <w:szCs w:val="21"/>
                <w:highlight w:val="none"/>
                <w:lang w:val="en-US" w:eastAsia="zh-CN"/>
              </w:rPr>
              <w:t>3</w:t>
            </w:r>
          </w:p>
        </w:tc>
        <w:tc>
          <w:tcPr>
            <w:tcW w:w="1251" w:type="pct"/>
            <w:noWrap w:val="0"/>
            <w:vAlign w:val="center"/>
          </w:tcPr>
          <w:p w14:paraId="6E2B478C">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交通事故责任强制保险</w:t>
            </w:r>
          </w:p>
          <w:p w14:paraId="6F6F6F4C">
            <w:pPr>
              <w:tabs>
                <w:tab w:val="left" w:pos="426"/>
              </w:tabs>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lang w:val="en-US" w:eastAsia="zh-CN"/>
              </w:rPr>
              <w:t>（含</w:t>
            </w:r>
            <w:r>
              <w:rPr>
                <w:rFonts w:hint="eastAsia" w:ascii="宋体" w:hAnsi="宋体" w:cs="宋体"/>
                <w:bCs/>
                <w:color w:val="auto"/>
                <w:sz w:val="21"/>
                <w:szCs w:val="21"/>
                <w:highlight w:val="none"/>
              </w:rPr>
              <w:t>车船税</w:t>
            </w:r>
            <w:r>
              <w:rPr>
                <w:rFonts w:hint="eastAsia" w:ascii="宋体" w:hAnsi="宋体" w:cs="宋体"/>
                <w:bCs/>
                <w:color w:val="auto"/>
                <w:sz w:val="21"/>
                <w:szCs w:val="21"/>
                <w:highlight w:val="none"/>
                <w:lang w:val="en-US" w:eastAsia="zh-CN"/>
              </w:rPr>
              <w:t>）</w:t>
            </w:r>
          </w:p>
        </w:tc>
        <w:tc>
          <w:tcPr>
            <w:tcW w:w="2748" w:type="pct"/>
            <w:noWrap w:val="0"/>
            <w:vAlign w:val="center"/>
          </w:tcPr>
          <w:p w14:paraId="69997980">
            <w:pPr>
              <w:tabs>
                <w:tab w:val="left" w:pos="426"/>
              </w:tabs>
              <w:spacing w:line="360" w:lineRule="auto"/>
              <w:jc w:val="center"/>
              <w:rPr>
                <w:rFonts w:hint="default" w:ascii="宋体" w:hAnsi="宋体" w:cs="宋体"/>
                <w:bCs/>
                <w:color w:val="auto"/>
                <w:sz w:val="21"/>
                <w:szCs w:val="21"/>
                <w:highlight w:val="none"/>
                <w:lang w:val="en-US" w:eastAsia="zh-CN"/>
              </w:rPr>
            </w:pPr>
            <w:r>
              <w:rPr>
                <w:rFonts w:hint="eastAsia" w:ascii="宋体" w:hAnsi="宋体" w:cs="宋体"/>
                <w:bCs/>
                <w:color w:val="auto"/>
                <w:sz w:val="21"/>
                <w:szCs w:val="21"/>
                <w:highlight w:val="none"/>
                <w:lang w:val="en-US" w:eastAsia="zh-CN"/>
              </w:rPr>
              <w:t>按中国银保监会发布的《中国银保监会关于调整交强险责任限额和费率浮动系数的公告》标准执行</w:t>
            </w:r>
          </w:p>
        </w:tc>
        <w:tc>
          <w:tcPr>
            <w:tcW w:w="650" w:type="pct"/>
            <w:vMerge w:val="continue"/>
            <w:noWrap w:val="0"/>
            <w:vAlign w:val="center"/>
          </w:tcPr>
          <w:p w14:paraId="6EF399BD">
            <w:pPr>
              <w:tabs>
                <w:tab w:val="left" w:pos="426"/>
              </w:tabs>
              <w:spacing w:line="360" w:lineRule="auto"/>
              <w:jc w:val="center"/>
              <w:rPr>
                <w:rFonts w:hint="eastAsia" w:ascii="宋体" w:hAnsi="宋体" w:cs="宋体"/>
                <w:bCs/>
                <w:color w:val="auto"/>
                <w:sz w:val="21"/>
                <w:szCs w:val="21"/>
                <w:highlight w:val="none"/>
              </w:rPr>
            </w:pPr>
          </w:p>
        </w:tc>
      </w:tr>
    </w:tbl>
    <w:p w14:paraId="1553DBAD">
      <w:pPr>
        <w:keepNext w:val="0"/>
        <w:keepLines w:val="0"/>
        <w:pageBreakBefore w:val="0"/>
        <w:widowControl w:val="0"/>
        <w:tabs>
          <w:tab w:val="left" w:pos="42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6F572B52">
      <w:pPr>
        <w:keepNext w:val="0"/>
        <w:keepLines w:val="0"/>
        <w:pageBreakBefore w:val="0"/>
        <w:widowControl w:val="0"/>
        <w:numPr>
          <w:ilvl w:val="0"/>
          <w:numId w:val="97"/>
        </w:numPr>
        <w:tabs>
          <w:tab w:val="left" w:pos="426"/>
        </w:tabs>
        <w:kinsoku/>
        <w:wordWrap/>
        <w:overflowPunct/>
        <w:topLinePunct w:val="0"/>
        <w:autoSpaceDE/>
        <w:autoSpaceDN/>
        <w:bidi w:val="0"/>
        <w:adjustRightInd/>
        <w:snapToGrid w:val="0"/>
        <w:spacing w:line="360" w:lineRule="auto"/>
        <w:ind w:left="845" w:leftChars="200" w:hanging="425"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在服务期内，</w:t>
      </w:r>
      <w:r>
        <w:rPr>
          <w:rFonts w:hint="eastAsia" w:ascii="宋体" w:hAnsi="宋体" w:cs="宋体"/>
          <w:color w:val="auto"/>
          <w:szCs w:val="21"/>
          <w:highlight w:val="none"/>
          <w:lang w:val="en-US" w:eastAsia="zh-CN"/>
        </w:rPr>
        <w:t>甲方</w:t>
      </w:r>
      <w:r>
        <w:rPr>
          <w:rFonts w:hint="eastAsia" w:ascii="宋体" w:hAnsi="宋体"/>
          <w:iCs/>
          <w:color w:val="auto"/>
          <w:szCs w:val="21"/>
          <w:highlight w:val="none"/>
        </w:rPr>
        <w:t>在册警用摩托车</w:t>
      </w:r>
      <w:r>
        <w:rPr>
          <w:rFonts w:hint="eastAsia" w:ascii="宋体" w:hAnsi="宋体" w:cs="宋体"/>
          <w:color w:val="auto"/>
          <w:szCs w:val="21"/>
          <w:highlight w:val="none"/>
          <w:lang w:val="en-US" w:eastAsia="zh-CN"/>
        </w:rPr>
        <w:t>险购买需求及信息发生变化的</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新增或删减后仍</w:t>
      </w:r>
      <w:r>
        <w:rPr>
          <w:rFonts w:hint="eastAsia" w:ascii="宋体" w:hAnsi="宋体" w:eastAsia="宋体" w:cs="宋体"/>
          <w:color w:val="auto"/>
          <w:szCs w:val="21"/>
          <w:highlight w:val="none"/>
        </w:rPr>
        <w:t>适用于本</w:t>
      </w:r>
      <w:r>
        <w:rPr>
          <w:rFonts w:hint="eastAsia" w:ascii="宋体" w:hAnsi="宋体" w:cs="宋体"/>
          <w:color w:val="auto"/>
          <w:szCs w:val="21"/>
          <w:highlight w:val="none"/>
          <w:lang w:val="en-US" w:eastAsia="zh-CN"/>
        </w:rPr>
        <w:t>合同</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乙方不得以此为由拒绝履行本合同规定的义务</w:t>
      </w:r>
      <w:r>
        <w:rPr>
          <w:rFonts w:hint="eastAsia" w:ascii="宋体" w:hAnsi="宋体" w:eastAsia="宋体" w:cs="宋体"/>
          <w:color w:val="auto"/>
          <w:szCs w:val="21"/>
          <w:highlight w:val="none"/>
        </w:rPr>
        <w:t>。</w:t>
      </w:r>
    </w:p>
    <w:p w14:paraId="715F13A9">
      <w:pPr>
        <w:keepNext w:val="0"/>
        <w:keepLines w:val="0"/>
        <w:pageBreakBefore w:val="0"/>
        <w:widowControl w:val="0"/>
        <w:numPr>
          <w:ilvl w:val="0"/>
          <w:numId w:val="97"/>
        </w:numPr>
        <w:tabs>
          <w:tab w:val="left" w:pos="426"/>
        </w:tabs>
        <w:kinsoku/>
        <w:wordWrap/>
        <w:overflowPunct/>
        <w:topLinePunct w:val="0"/>
        <w:autoSpaceDE/>
        <w:autoSpaceDN/>
        <w:bidi w:val="0"/>
        <w:adjustRightInd/>
        <w:snapToGrid w:val="0"/>
        <w:spacing w:line="360" w:lineRule="auto"/>
        <w:ind w:left="845" w:leftChars="200" w:hanging="425"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所投保</w:t>
      </w:r>
      <w:r>
        <w:rPr>
          <w:rFonts w:hint="eastAsia" w:ascii="宋体" w:hAnsi="宋体"/>
          <w:iCs/>
          <w:color w:val="auto"/>
          <w:szCs w:val="21"/>
          <w:highlight w:val="none"/>
        </w:rPr>
        <w:t>警用摩托车</w:t>
      </w:r>
      <w:r>
        <w:rPr>
          <w:rFonts w:hint="eastAsia" w:ascii="宋体" w:hAnsi="宋体" w:eastAsia="宋体" w:cs="宋体"/>
          <w:color w:val="auto"/>
          <w:szCs w:val="21"/>
          <w:highlight w:val="none"/>
        </w:rPr>
        <w:t>的警灯、警报器、射灯、摄像设备、车辆车身标识等为</w:t>
      </w:r>
      <w:r>
        <w:rPr>
          <w:rFonts w:hint="eastAsia" w:ascii="宋体" w:hAnsi="宋体" w:cs="宋体"/>
          <w:color w:val="auto"/>
          <w:szCs w:val="21"/>
          <w:highlight w:val="none"/>
          <w:lang w:val="en-US" w:eastAsia="zh-CN"/>
        </w:rPr>
        <w:t>车辆</w:t>
      </w:r>
      <w:r>
        <w:rPr>
          <w:rFonts w:hint="eastAsia" w:ascii="宋体" w:hAnsi="宋体" w:eastAsia="宋体" w:cs="宋体"/>
          <w:color w:val="auto"/>
          <w:szCs w:val="21"/>
          <w:highlight w:val="none"/>
        </w:rPr>
        <w:t>的必要装备，与投保车辆视为统一整体，理赔时按车辆损失责任范围内赔付。</w:t>
      </w:r>
    </w:p>
    <w:p w14:paraId="4CF47773">
      <w:pPr>
        <w:keepNext w:val="0"/>
        <w:keepLines w:val="0"/>
        <w:pageBreakBefore w:val="0"/>
        <w:widowControl w:val="0"/>
        <w:numPr>
          <w:ilvl w:val="0"/>
          <w:numId w:val="97"/>
        </w:numPr>
        <w:tabs>
          <w:tab w:val="left" w:pos="426"/>
        </w:tabs>
        <w:kinsoku/>
        <w:wordWrap/>
        <w:overflowPunct/>
        <w:topLinePunct w:val="0"/>
        <w:autoSpaceDE/>
        <w:autoSpaceDN/>
        <w:bidi w:val="0"/>
        <w:adjustRightInd/>
        <w:snapToGrid w:val="0"/>
        <w:spacing w:line="360" w:lineRule="auto"/>
        <w:ind w:left="845" w:leftChars="200" w:hanging="425" w:firstLineChars="0"/>
        <w:textAlignment w:val="auto"/>
        <w:rPr>
          <w:rFonts w:ascii="宋体" w:hAnsi="宋体"/>
          <w:b w:val="0"/>
          <w:bCs/>
          <w:color w:val="auto"/>
          <w:spacing w:val="0"/>
          <w:sz w:val="21"/>
          <w:szCs w:val="21"/>
          <w:highlight w:val="none"/>
        </w:rPr>
      </w:pPr>
      <w:r>
        <w:rPr>
          <w:rFonts w:hint="eastAsia" w:ascii="宋体" w:hAnsi="宋体" w:eastAsia="宋体" w:cs="宋体"/>
          <w:color w:val="auto"/>
          <w:szCs w:val="21"/>
          <w:highlight w:val="none"/>
        </w:rPr>
        <w:t>由于各车辆登记时间不同，</w:t>
      </w:r>
      <w:r>
        <w:rPr>
          <w:rFonts w:hint="eastAsia" w:ascii="宋体" w:hAnsi="宋体" w:cs="宋体"/>
          <w:color w:val="auto"/>
          <w:szCs w:val="21"/>
          <w:highlight w:val="none"/>
          <w:lang w:val="en-US" w:eastAsia="zh-CN"/>
        </w:rPr>
        <w:t>甲方</w:t>
      </w:r>
      <w:r>
        <w:rPr>
          <w:rFonts w:hint="eastAsia" w:ascii="宋体" w:hAnsi="宋体" w:eastAsia="宋体" w:cs="宋体"/>
          <w:color w:val="auto"/>
          <w:szCs w:val="21"/>
          <w:highlight w:val="none"/>
        </w:rPr>
        <w:t>可根据各</w:t>
      </w:r>
      <w:r>
        <w:rPr>
          <w:rFonts w:hint="eastAsia" w:ascii="宋体" w:hAnsi="宋体"/>
          <w:iCs/>
          <w:color w:val="auto"/>
          <w:szCs w:val="21"/>
          <w:highlight w:val="none"/>
        </w:rPr>
        <w:t>警用摩托车</w:t>
      </w:r>
      <w:r>
        <w:rPr>
          <w:rFonts w:hint="eastAsia" w:ascii="宋体" w:hAnsi="宋体" w:eastAsia="宋体" w:cs="宋体"/>
          <w:color w:val="auto"/>
          <w:szCs w:val="21"/>
          <w:highlight w:val="none"/>
        </w:rPr>
        <w:t>保险到期情况进行投保。</w:t>
      </w:r>
    </w:p>
    <w:p w14:paraId="417FE8FB">
      <w:pPr>
        <w:numPr>
          <w:ilvl w:val="0"/>
          <w:numId w:val="96"/>
        </w:numPr>
        <w:snapToGrid w:val="0"/>
        <w:spacing w:line="360" w:lineRule="auto"/>
        <w:contextualSpacing/>
        <w:rPr>
          <w:rFonts w:ascii="宋体" w:hAnsi="宋体"/>
          <w:b w:val="0"/>
          <w:bCs/>
          <w:color w:val="auto"/>
          <w:spacing w:val="0"/>
          <w:sz w:val="21"/>
          <w:szCs w:val="21"/>
          <w:highlight w:val="none"/>
        </w:rPr>
      </w:pPr>
      <w:r>
        <w:rPr>
          <w:rFonts w:hint="eastAsia" w:ascii="宋体" w:hAnsi="宋体"/>
          <w:b w:val="0"/>
          <w:bCs/>
          <w:color w:val="auto"/>
          <w:spacing w:val="0"/>
          <w:sz w:val="21"/>
          <w:szCs w:val="21"/>
          <w:highlight w:val="none"/>
        </w:rPr>
        <w:t>保障方案（以下要求为基础要求，最终投保由</w:t>
      </w:r>
      <w:r>
        <w:rPr>
          <w:rFonts w:hint="eastAsia" w:ascii="宋体" w:hAnsi="宋体"/>
          <w:b w:val="0"/>
          <w:bCs/>
          <w:color w:val="auto"/>
          <w:spacing w:val="0"/>
          <w:sz w:val="21"/>
          <w:szCs w:val="21"/>
          <w:highlight w:val="none"/>
          <w:lang w:val="en-US" w:eastAsia="zh-CN"/>
        </w:rPr>
        <w:t>甲方</w:t>
      </w:r>
      <w:r>
        <w:rPr>
          <w:rFonts w:hint="eastAsia" w:ascii="宋体" w:hAnsi="宋体"/>
          <w:b w:val="0"/>
          <w:bCs/>
          <w:color w:val="auto"/>
          <w:spacing w:val="0"/>
          <w:sz w:val="21"/>
          <w:szCs w:val="21"/>
          <w:highlight w:val="none"/>
        </w:rPr>
        <w:t>根据实际要求确定）</w:t>
      </w:r>
    </w:p>
    <w:p w14:paraId="11597B81">
      <w:pPr>
        <w:keepNext w:val="0"/>
        <w:keepLines w:val="0"/>
        <w:pageBreakBefore w:val="0"/>
        <w:widowControl w:val="0"/>
        <w:numPr>
          <w:ilvl w:val="0"/>
          <w:numId w:val="98"/>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default" w:ascii="宋体" w:hAnsi="宋体" w:cs="宋体"/>
          <w:color w:val="auto"/>
          <w:szCs w:val="21"/>
          <w:highlight w:val="none"/>
          <w:lang w:val="en-US" w:eastAsia="zh-CN"/>
        </w:rPr>
      </w:pPr>
      <w:r>
        <w:rPr>
          <w:rFonts w:hint="default" w:ascii="宋体" w:hAnsi="宋体" w:cs="宋体"/>
          <w:color w:val="auto"/>
          <w:szCs w:val="21"/>
          <w:highlight w:val="none"/>
          <w:lang w:val="en-US" w:eastAsia="zh-CN"/>
        </w:rPr>
        <w:t>机动车第三者责任保险</w:t>
      </w:r>
      <w:r>
        <w:rPr>
          <w:rFonts w:hint="eastAsia" w:ascii="宋体" w:hAnsi="宋体" w:cs="宋体"/>
          <w:color w:val="auto"/>
          <w:szCs w:val="21"/>
          <w:highlight w:val="none"/>
          <w:lang w:val="en-US" w:eastAsia="zh-CN"/>
        </w:rPr>
        <w:t>：</w:t>
      </w:r>
      <w:r>
        <w:rPr>
          <w:rFonts w:hint="default" w:ascii="宋体" w:hAnsi="宋体" w:cs="宋体"/>
          <w:color w:val="auto"/>
          <w:szCs w:val="21"/>
          <w:highlight w:val="none"/>
          <w:lang w:val="en-US" w:eastAsia="zh-CN"/>
        </w:rPr>
        <w:t>在保险期间内，被保险人或其允许的驾驶、操作人员在使用被保险特种车辆过程中发生意外事故，致使第三者遭受人身伤亡或财产直接损毁，</w:t>
      </w:r>
      <w:r>
        <w:rPr>
          <w:rFonts w:hint="eastAsia" w:ascii="宋体" w:hAnsi="宋体" w:cs="宋体"/>
          <w:color w:val="auto"/>
          <w:szCs w:val="21"/>
          <w:highlight w:val="none"/>
          <w:lang w:val="en-US" w:eastAsia="zh-CN"/>
        </w:rPr>
        <w:t>乙方</w:t>
      </w:r>
      <w:r>
        <w:rPr>
          <w:rFonts w:hint="default" w:ascii="宋体" w:hAnsi="宋体" w:cs="宋体"/>
          <w:color w:val="auto"/>
          <w:szCs w:val="21"/>
          <w:highlight w:val="none"/>
          <w:lang w:val="en-US" w:eastAsia="zh-CN"/>
        </w:rPr>
        <w:t>按该被保险人的机动车第三者责任保险金额100万元给付机动车第三者责任保险金。</w:t>
      </w:r>
    </w:p>
    <w:p w14:paraId="764BAECD">
      <w:pPr>
        <w:keepNext w:val="0"/>
        <w:keepLines w:val="0"/>
        <w:pageBreakBefore w:val="0"/>
        <w:widowControl w:val="0"/>
        <w:numPr>
          <w:ilvl w:val="0"/>
          <w:numId w:val="98"/>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default" w:ascii="宋体" w:hAnsi="宋体" w:cs="宋体"/>
          <w:color w:val="auto"/>
          <w:szCs w:val="21"/>
          <w:highlight w:val="none"/>
          <w:lang w:val="en-US" w:eastAsia="zh-CN"/>
        </w:rPr>
      </w:pPr>
      <w:r>
        <w:rPr>
          <w:rFonts w:hint="default" w:ascii="宋体" w:hAnsi="宋体" w:cs="宋体"/>
          <w:color w:val="auto"/>
          <w:szCs w:val="21"/>
          <w:highlight w:val="none"/>
          <w:lang w:val="en-US" w:eastAsia="zh-CN"/>
        </w:rPr>
        <w:t>车上人员责任保险</w:t>
      </w:r>
      <w:r>
        <w:rPr>
          <w:rFonts w:hint="eastAsia" w:ascii="宋体" w:hAnsi="宋体" w:cs="宋体"/>
          <w:color w:val="auto"/>
          <w:szCs w:val="21"/>
          <w:highlight w:val="none"/>
          <w:lang w:val="en-US" w:eastAsia="zh-CN"/>
        </w:rPr>
        <w:t>：</w:t>
      </w:r>
      <w:r>
        <w:rPr>
          <w:rFonts w:hint="default" w:ascii="宋体" w:hAnsi="宋体" w:cs="宋体"/>
          <w:color w:val="auto"/>
          <w:szCs w:val="21"/>
          <w:highlight w:val="none"/>
          <w:lang w:val="en-US" w:eastAsia="zh-CN"/>
        </w:rPr>
        <w:t>在保险期间内，被保险人或其允许的合法驾驶人在使用被保险特种车辆过程中发生意外事故</w:t>
      </w:r>
      <w:r>
        <w:rPr>
          <w:rFonts w:hint="eastAsia" w:ascii="宋体" w:hAnsi="宋体" w:cs="宋体"/>
          <w:color w:val="auto"/>
          <w:szCs w:val="21"/>
          <w:highlight w:val="none"/>
          <w:lang w:val="en-US" w:eastAsia="zh-CN"/>
        </w:rPr>
        <w:t>，</w:t>
      </w:r>
      <w:r>
        <w:rPr>
          <w:rFonts w:hint="default" w:ascii="宋体" w:hAnsi="宋体" w:cs="宋体"/>
          <w:color w:val="auto"/>
          <w:szCs w:val="21"/>
          <w:highlight w:val="none"/>
          <w:lang w:val="en-US" w:eastAsia="zh-CN"/>
        </w:rPr>
        <w:t>致使车上人员遭受人身伤亡，</w:t>
      </w:r>
      <w:r>
        <w:rPr>
          <w:rFonts w:hint="eastAsia" w:ascii="宋体" w:hAnsi="宋体" w:cs="宋体"/>
          <w:color w:val="auto"/>
          <w:szCs w:val="21"/>
          <w:highlight w:val="none"/>
          <w:lang w:val="en-US" w:eastAsia="zh-CN"/>
        </w:rPr>
        <w:t>乙方</w:t>
      </w:r>
      <w:r>
        <w:rPr>
          <w:rFonts w:hint="default" w:ascii="宋体" w:hAnsi="宋体" w:cs="宋体"/>
          <w:color w:val="auto"/>
          <w:szCs w:val="21"/>
          <w:highlight w:val="none"/>
          <w:lang w:val="en-US" w:eastAsia="zh-CN"/>
        </w:rPr>
        <w:t>按该被保险人的车上人员责任保险金额19万元给付车上人员责任保险金，其中司机10万/座、乘客9万/座。</w:t>
      </w:r>
    </w:p>
    <w:p w14:paraId="649D5557">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服务内容及要求</w:t>
      </w:r>
    </w:p>
    <w:p w14:paraId="112A40C9">
      <w:pPr>
        <w:keepNext w:val="0"/>
        <w:keepLines w:val="0"/>
        <w:pageBreakBefore w:val="0"/>
        <w:widowControl w:val="0"/>
        <w:numPr>
          <w:ilvl w:val="0"/>
          <w:numId w:val="99"/>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color w:val="auto"/>
          <w:szCs w:val="21"/>
          <w:highlight w:val="none"/>
        </w:rPr>
      </w:pPr>
      <w:r>
        <w:rPr>
          <w:rFonts w:hint="eastAsia" w:ascii="宋体" w:hAnsi="宋体"/>
          <w:color w:val="auto"/>
          <w:szCs w:val="21"/>
          <w:highlight w:val="none"/>
        </w:rPr>
        <w:t>保险责任</w:t>
      </w:r>
    </w:p>
    <w:p w14:paraId="2EF42674">
      <w:pPr>
        <w:numPr>
          <w:ilvl w:val="0"/>
          <w:numId w:val="100"/>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在保险期限内，</w:t>
      </w:r>
      <w:r>
        <w:rPr>
          <w:rFonts w:hint="eastAsia" w:ascii="宋体" w:hAnsi="宋体"/>
          <w:color w:val="auto"/>
          <w:szCs w:val="21"/>
          <w:highlight w:val="none"/>
          <w:lang w:eastAsia="zh-CN"/>
        </w:rPr>
        <w:t>乙方</w:t>
      </w:r>
      <w:r>
        <w:rPr>
          <w:rFonts w:hint="eastAsia" w:ascii="宋体" w:hAnsi="宋体"/>
          <w:color w:val="auto"/>
          <w:szCs w:val="21"/>
          <w:highlight w:val="none"/>
        </w:rPr>
        <w:t>根据</w:t>
      </w:r>
      <w:r>
        <w:rPr>
          <w:rFonts w:hint="eastAsia" w:ascii="宋体" w:hAnsi="宋体"/>
          <w:color w:val="auto"/>
          <w:szCs w:val="21"/>
          <w:highlight w:val="none"/>
          <w:lang w:eastAsia="zh-CN"/>
        </w:rPr>
        <w:t>甲方</w:t>
      </w:r>
      <w:r>
        <w:rPr>
          <w:rFonts w:hint="eastAsia" w:ascii="宋体" w:hAnsi="宋体"/>
          <w:color w:val="auto"/>
          <w:szCs w:val="21"/>
          <w:highlight w:val="none"/>
        </w:rPr>
        <w:t>选择投保的险种，按照中国银行保险监督管理委员会批复条款所载明的保险责任承担赔偿。</w:t>
      </w:r>
    </w:p>
    <w:p w14:paraId="64D23D35">
      <w:pPr>
        <w:numPr>
          <w:ilvl w:val="0"/>
          <w:numId w:val="100"/>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投保方式：以</w:t>
      </w:r>
      <w:r>
        <w:rPr>
          <w:rFonts w:hint="eastAsia" w:ascii="宋体" w:hAnsi="宋体"/>
          <w:color w:val="auto"/>
          <w:szCs w:val="21"/>
          <w:highlight w:val="none"/>
          <w:lang w:val="en-US" w:eastAsia="zh-CN"/>
        </w:rPr>
        <w:t>甲方</w:t>
      </w:r>
      <w:r>
        <w:rPr>
          <w:rFonts w:hint="eastAsia" w:ascii="宋体" w:hAnsi="宋体"/>
          <w:color w:val="auto"/>
          <w:szCs w:val="21"/>
          <w:highlight w:val="none"/>
        </w:rPr>
        <w:t>提供的保险名单、格式模板为准。</w:t>
      </w:r>
    </w:p>
    <w:p w14:paraId="5F7B6E79">
      <w:pPr>
        <w:numPr>
          <w:ilvl w:val="0"/>
          <w:numId w:val="100"/>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关于保全：</w:t>
      </w:r>
    </w:p>
    <w:p w14:paraId="7A6B1B60">
      <w:pPr>
        <w:numPr>
          <w:ilvl w:val="0"/>
          <w:numId w:val="10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提供系统供保全批改，系统收到保全资料，次日零时起保生效。</w:t>
      </w:r>
    </w:p>
    <w:p w14:paraId="1E59BB8F">
      <w:pPr>
        <w:numPr>
          <w:ilvl w:val="0"/>
          <w:numId w:val="101"/>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新增车辆，提供系统供保全批改，系统收到保全资料，次日零时起保生效，由于加保产生的保费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甲方于</w:t>
      </w:r>
      <w:r>
        <w:rPr>
          <w:rFonts w:hint="eastAsia" w:ascii="宋体" w:hAnsi="宋体"/>
          <w:color w:val="auto"/>
          <w:szCs w:val="21"/>
          <w:highlight w:val="none"/>
        </w:rPr>
        <w:t>30天内结算。</w:t>
      </w:r>
    </w:p>
    <w:p w14:paraId="73DA1D8B">
      <w:pPr>
        <w:keepNext w:val="0"/>
        <w:keepLines w:val="0"/>
        <w:pageBreakBefore w:val="0"/>
        <w:widowControl w:val="0"/>
        <w:numPr>
          <w:ilvl w:val="0"/>
          <w:numId w:val="99"/>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color w:val="auto"/>
          <w:szCs w:val="21"/>
          <w:highlight w:val="none"/>
        </w:rPr>
      </w:pPr>
      <w:r>
        <w:rPr>
          <w:rFonts w:hint="eastAsia" w:ascii="宋体" w:hAnsi="宋体"/>
          <w:color w:val="auto"/>
          <w:szCs w:val="21"/>
          <w:highlight w:val="none"/>
        </w:rPr>
        <w:t>服务要求</w:t>
      </w:r>
    </w:p>
    <w:p w14:paraId="3CE155CB">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eastAsia="zh-CN"/>
        </w:rPr>
        <w:t>甲方</w:t>
      </w:r>
      <w:r>
        <w:rPr>
          <w:rFonts w:hint="eastAsia" w:ascii="宋体" w:hAnsi="宋体"/>
          <w:color w:val="auto"/>
          <w:szCs w:val="21"/>
          <w:highlight w:val="none"/>
        </w:rPr>
        <w:t>/投保人、</w:t>
      </w:r>
      <w:r>
        <w:rPr>
          <w:rFonts w:hint="eastAsia" w:ascii="宋体" w:hAnsi="宋体"/>
          <w:color w:val="auto"/>
          <w:szCs w:val="21"/>
          <w:highlight w:val="none"/>
          <w:lang w:eastAsia="zh-CN"/>
        </w:rPr>
        <w:t>乙方</w:t>
      </w:r>
      <w:r>
        <w:rPr>
          <w:rFonts w:hint="eastAsia" w:ascii="宋体" w:hAnsi="宋体"/>
          <w:color w:val="auto"/>
          <w:szCs w:val="21"/>
          <w:highlight w:val="none"/>
        </w:rPr>
        <w:t>、被保险人、受益人按照本项目保险协议的约定及《中华人民共和国保险法》的规定享有权利，承担义务。</w:t>
      </w:r>
    </w:p>
    <w:p w14:paraId="66F9DDFC">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保证</w:t>
      </w:r>
      <w:r>
        <w:rPr>
          <w:rFonts w:hint="eastAsia" w:ascii="宋体" w:hAnsi="宋体"/>
          <w:color w:val="auto"/>
          <w:szCs w:val="21"/>
          <w:highlight w:val="none"/>
          <w:lang w:eastAsia="zh-CN"/>
        </w:rPr>
        <w:t>甲方</w:t>
      </w:r>
      <w:r>
        <w:rPr>
          <w:rFonts w:hint="eastAsia" w:ascii="宋体" w:hAnsi="宋体"/>
          <w:color w:val="auto"/>
          <w:szCs w:val="21"/>
          <w:highlight w:val="none"/>
        </w:rPr>
        <w:t>获得优先服务的权利，</w:t>
      </w:r>
      <w:r>
        <w:rPr>
          <w:rFonts w:hint="eastAsia" w:ascii="宋体" w:hAnsi="宋体"/>
          <w:color w:val="auto"/>
          <w:szCs w:val="21"/>
          <w:highlight w:val="none"/>
          <w:lang w:eastAsia="zh-CN"/>
        </w:rPr>
        <w:t>乙方</w:t>
      </w:r>
      <w:r>
        <w:rPr>
          <w:rFonts w:hint="eastAsia" w:ascii="宋体" w:hAnsi="宋体"/>
          <w:color w:val="auto"/>
          <w:szCs w:val="21"/>
          <w:highlight w:val="none"/>
        </w:rPr>
        <w:t>应根据被保险单位的通知及时与被保险单位签订机动车保险单。</w:t>
      </w:r>
    </w:p>
    <w:p w14:paraId="16D7F6AB">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成立“警用摩托车保险统保项目”领导小组，在本协议签署后投入管理运作，负责各项内容，包括承保、理赔等服务的组织实施与总体管理，督促落实各项具体服务承诺工作。</w:t>
      </w:r>
    </w:p>
    <w:p w14:paraId="571F874D">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须指派一名服务态度好、责任心强且熟悉理赔流程的专职人员专人对接，能提供迅速、便捷的第一现场查勘服务和覆盖全省、响应快速的定损服务，并且负责上门办理保险的承保与理赔等事宜。</w:t>
      </w:r>
    </w:p>
    <w:p w14:paraId="58C6AB23">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提供异地出险、就地理赔服务。凡是车辆在外地出险，可直接拨打服务热线电话，由当地的保险机构提供查勘定损服务。</w:t>
      </w:r>
    </w:p>
    <w:p w14:paraId="1806D6AC">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响应速度：对于</w:t>
      </w:r>
      <w:r>
        <w:rPr>
          <w:rFonts w:hint="eastAsia" w:ascii="宋体" w:hAnsi="宋体"/>
          <w:color w:val="auto"/>
          <w:szCs w:val="21"/>
          <w:highlight w:val="none"/>
          <w:lang w:eastAsia="zh-CN"/>
        </w:rPr>
        <w:t>甲方</w:t>
      </w:r>
      <w:r>
        <w:rPr>
          <w:rFonts w:hint="eastAsia" w:ascii="宋体" w:hAnsi="宋体"/>
          <w:color w:val="auto"/>
          <w:szCs w:val="21"/>
          <w:highlight w:val="none"/>
        </w:rPr>
        <w:t>员工提出的疑问</w:t>
      </w:r>
      <w:r>
        <w:rPr>
          <w:rFonts w:hint="eastAsia" w:ascii="宋体" w:hAnsi="宋体"/>
          <w:color w:val="auto"/>
          <w:szCs w:val="21"/>
          <w:highlight w:val="none"/>
          <w:lang w:eastAsia="zh-CN"/>
        </w:rPr>
        <w:t>乙方</w:t>
      </w:r>
      <w:r>
        <w:rPr>
          <w:rFonts w:hint="eastAsia" w:ascii="宋体" w:hAnsi="宋体"/>
          <w:color w:val="auto"/>
          <w:szCs w:val="21"/>
          <w:highlight w:val="none"/>
        </w:rPr>
        <w:t>须在2个小时内响应，</w:t>
      </w:r>
      <w:r>
        <w:rPr>
          <w:rFonts w:hint="eastAsia" w:ascii="宋体" w:hAnsi="宋体"/>
          <w:color w:val="auto"/>
          <w:szCs w:val="21"/>
          <w:highlight w:val="none"/>
          <w:lang w:eastAsia="zh-CN"/>
        </w:rPr>
        <w:t>乙方</w:t>
      </w:r>
      <w:r>
        <w:rPr>
          <w:rFonts w:hint="eastAsia" w:ascii="宋体" w:hAnsi="宋体"/>
          <w:color w:val="auto"/>
          <w:szCs w:val="21"/>
          <w:highlight w:val="none"/>
        </w:rPr>
        <w:t>须在2个工作日内提供相关人员的承保证明并加盖公章。</w:t>
      </w:r>
    </w:p>
    <w:p w14:paraId="64470C55">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val="en-US" w:eastAsia="zh-CN"/>
        </w:rPr>
        <w:t>现场勘查时效：乙方应设有24小时全天报案服务电话，并派专人受理索赔接报案。投保人驾驶员或安全员报案后，保险机构查勘员应在5分钟内同报案人取得联系，收到报案后40分钟内赶到现场，并为报案人提供现场处理指引。所有案件均要求保险机构查勘员到达现场，经投保人安全员同意的，可通过电话引导无须到达现场。</w:t>
      </w:r>
    </w:p>
    <w:p w14:paraId="229A595F">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未经</w:t>
      </w:r>
      <w:r>
        <w:rPr>
          <w:rFonts w:hint="eastAsia" w:ascii="宋体" w:hAnsi="宋体"/>
          <w:color w:val="auto"/>
          <w:szCs w:val="21"/>
          <w:highlight w:val="none"/>
          <w:lang w:val="en-US" w:eastAsia="zh-CN"/>
        </w:rPr>
        <w:t>甲方</w:t>
      </w:r>
      <w:r>
        <w:rPr>
          <w:rFonts w:hint="eastAsia" w:ascii="宋体" w:hAnsi="宋体"/>
          <w:color w:val="auto"/>
          <w:szCs w:val="21"/>
          <w:highlight w:val="none"/>
        </w:rPr>
        <w:t>同意，</w:t>
      </w:r>
      <w:r>
        <w:rPr>
          <w:rFonts w:hint="eastAsia" w:ascii="宋体" w:hAnsi="宋体"/>
          <w:color w:val="auto"/>
          <w:szCs w:val="21"/>
          <w:highlight w:val="none"/>
          <w:lang w:eastAsia="zh-CN"/>
        </w:rPr>
        <w:t>乙方</w:t>
      </w:r>
      <w:r>
        <w:rPr>
          <w:rFonts w:hint="eastAsia" w:ascii="宋体" w:hAnsi="宋体"/>
          <w:color w:val="auto"/>
          <w:szCs w:val="21"/>
          <w:highlight w:val="none"/>
        </w:rPr>
        <w:t>不得将本项目所载义务、责任分出给其他保险公司承担。</w:t>
      </w:r>
    </w:p>
    <w:p w14:paraId="46EDD48E">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eastAsia="zh-CN"/>
        </w:rPr>
        <w:t>乙方</w:t>
      </w:r>
      <w:r>
        <w:rPr>
          <w:rFonts w:hint="eastAsia" w:ascii="宋体" w:hAnsi="宋体"/>
          <w:color w:val="auto"/>
          <w:szCs w:val="21"/>
          <w:highlight w:val="none"/>
        </w:rPr>
        <w:t>收到被保险人或者受益人的赔偿或者给付保险金的请求后，对属于保险责任的，</w:t>
      </w:r>
      <w:r>
        <w:rPr>
          <w:rFonts w:hint="eastAsia" w:ascii="宋体" w:hAnsi="宋体"/>
          <w:color w:val="auto"/>
          <w:szCs w:val="21"/>
          <w:highlight w:val="none"/>
          <w:lang w:eastAsia="zh-CN"/>
        </w:rPr>
        <w:t>乙方</w:t>
      </w:r>
      <w:r>
        <w:rPr>
          <w:rFonts w:hint="eastAsia" w:ascii="宋体" w:hAnsi="宋体"/>
          <w:color w:val="auto"/>
          <w:szCs w:val="21"/>
          <w:highlight w:val="none"/>
        </w:rPr>
        <w:t>须在五日内，履行赔偿或者给付保险金义务。</w:t>
      </w:r>
    </w:p>
    <w:p w14:paraId="047597A5">
      <w:pPr>
        <w:numPr>
          <w:ilvl w:val="0"/>
          <w:numId w:val="102"/>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供应商</w:t>
      </w:r>
      <w:r>
        <w:rPr>
          <w:rFonts w:hint="eastAsia" w:ascii="宋体" w:hAnsi="宋体"/>
          <w:color w:val="auto"/>
          <w:szCs w:val="21"/>
          <w:highlight w:val="none"/>
          <w:lang w:val="en-US" w:eastAsia="zh-CN"/>
        </w:rPr>
        <w:t>需为本项目提供</w:t>
      </w:r>
      <w:r>
        <w:rPr>
          <w:rFonts w:hint="eastAsia" w:ascii="宋体" w:hAnsi="宋体"/>
          <w:color w:val="auto"/>
          <w:szCs w:val="21"/>
          <w:highlight w:val="none"/>
        </w:rPr>
        <w:t>在发生重特大事故损失的保险应急预案，包括</w:t>
      </w:r>
      <w:r>
        <w:rPr>
          <w:rFonts w:hint="eastAsia" w:ascii="宋体" w:hAnsi="宋体"/>
          <w:color w:val="auto"/>
          <w:szCs w:val="21"/>
          <w:highlight w:val="none"/>
          <w:lang w:val="en-US" w:eastAsia="zh-CN"/>
        </w:rPr>
        <w:t>但不限于</w:t>
      </w:r>
      <w:r>
        <w:rPr>
          <w:rFonts w:hint="eastAsia" w:ascii="宋体" w:hAnsi="宋体"/>
          <w:color w:val="auto"/>
          <w:szCs w:val="21"/>
          <w:highlight w:val="none"/>
        </w:rPr>
        <w:t>理赔绿色通道、医疗探视、快捷救援</w:t>
      </w:r>
      <w:r>
        <w:rPr>
          <w:rFonts w:hint="eastAsia" w:ascii="宋体" w:hAnsi="宋体"/>
          <w:color w:val="auto"/>
          <w:szCs w:val="21"/>
          <w:highlight w:val="none"/>
          <w:lang w:val="en-US" w:eastAsia="zh-CN"/>
        </w:rPr>
        <w:t>等</w:t>
      </w:r>
      <w:r>
        <w:rPr>
          <w:rFonts w:hint="eastAsia" w:ascii="宋体" w:hAnsi="宋体"/>
          <w:color w:val="auto"/>
          <w:szCs w:val="21"/>
          <w:highlight w:val="none"/>
        </w:rPr>
        <w:t>的行动举措</w:t>
      </w:r>
      <w:r>
        <w:rPr>
          <w:rFonts w:hint="eastAsia" w:ascii="宋体" w:hAnsi="宋体"/>
          <w:color w:val="auto"/>
          <w:szCs w:val="21"/>
          <w:highlight w:val="none"/>
          <w:lang w:eastAsia="zh-CN"/>
        </w:rPr>
        <w:t>。</w:t>
      </w:r>
    </w:p>
    <w:p w14:paraId="5E28569F">
      <w:pPr>
        <w:keepNext w:val="0"/>
        <w:keepLines w:val="0"/>
        <w:pageBreakBefore w:val="0"/>
        <w:widowControl w:val="0"/>
        <w:numPr>
          <w:ilvl w:val="0"/>
          <w:numId w:val="99"/>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color w:val="auto"/>
          <w:szCs w:val="21"/>
          <w:highlight w:val="none"/>
        </w:rPr>
      </w:pPr>
      <w:r>
        <w:rPr>
          <w:rFonts w:hint="eastAsia" w:ascii="宋体" w:hAnsi="宋体"/>
          <w:color w:val="auto"/>
          <w:szCs w:val="21"/>
          <w:highlight w:val="none"/>
        </w:rPr>
        <w:t>赔款时效承诺</w:t>
      </w:r>
    </w:p>
    <w:p w14:paraId="654F83ED">
      <w:pPr>
        <w:adjustRightInd w:val="0"/>
        <w:spacing w:line="360" w:lineRule="auto"/>
        <w:contextualSpacing/>
        <w:jc w:val="left"/>
        <w:rPr>
          <w:rFonts w:hint="eastAsia" w:ascii="宋体" w:hAnsi="宋体"/>
          <w:color w:val="auto"/>
          <w:szCs w:val="21"/>
          <w:highlight w:val="none"/>
        </w:rPr>
      </w:pPr>
      <w:r>
        <w:rPr>
          <w:rFonts w:hint="eastAsia" w:ascii="宋体" w:hAnsi="宋体"/>
          <w:color w:val="auto"/>
          <w:szCs w:val="21"/>
          <w:highlight w:val="none"/>
        </w:rPr>
        <w:t>“主动、迅速、准确、合理”地处理赔案，使被保险人得到最快的补偿。</w:t>
      </w:r>
    </w:p>
    <w:p w14:paraId="0975A4DB">
      <w:pPr>
        <w:numPr>
          <w:ilvl w:val="0"/>
          <w:numId w:val="103"/>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保险人对符合保险责任及不需要调查的索赔，收到投保人提交的资料后，5个工作日内对符合保险责任且资料齐全的索赔进行赔付并划赔款。</w:t>
      </w:r>
    </w:p>
    <w:p w14:paraId="669F403E">
      <w:pPr>
        <w:numPr>
          <w:ilvl w:val="0"/>
          <w:numId w:val="103"/>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lang w:eastAsia="zh-CN"/>
        </w:rPr>
        <w:t>乙方</w:t>
      </w:r>
      <w:r>
        <w:rPr>
          <w:rFonts w:hint="eastAsia" w:ascii="宋体" w:hAnsi="宋体"/>
          <w:color w:val="auto"/>
          <w:szCs w:val="21"/>
          <w:highlight w:val="none"/>
        </w:rPr>
        <w:t>对需要补充或重新提交资料的索赔，在1个工作日内一次性提出，并通知到被保险人。</w:t>
      </w:r>
    </w:p>
    <w:p w14:paraId="42BBD613">
      <w:pPr>
        <w:numPr>
          <w:ilvl w:val="0"/>
          <w:numId w:val="103"/>
        </w:numPr>
        <w:adjustRightInd w:val="0"/>
        <w:spacing w:line="360" w:lineRule="auto"/>
        <w:ind w:left="425" w:leftChars="0" w:hanging="425" w:firstLineChars="0"/>
        <w:contextualSpacing/>
        <w:jc w:val="left"/>
        <w:rPr>
          <w:rFonts w:hint="eastAsia" w:ascii="宋体" w:hAnsi="宋体"/>
          <w:color w:val="auto"/>
          <w:szCs w:val="21"/>
          <w:highlight w:val="none"/>
        </w:rPr>
      </w:pPr>
      <w:r>
        <w:rPr>
          <w:rFonts w:hint="eastAsia" w:ascii="宋体" w:hAnsi="宋体"/>
          <w:color w:val="auto"/>
          <w:szCs w:val="21"/>
          <w:highlight w:val="none"/>
        </w:rPr>
        <w:t>对于拒赔案件，经审核无异议后，由</w:t>
      </w:r>
      <w:r>
        <w:rPr>
          <w:rFonts w:hint="eastAsia" w:ascii="宋体" w:hAnsi="宋体"/>
          <w:color w:val="auto"/>
          <w:szCs w:val="21"/>
          <w:highlight w:val="none"/>
          <w:lang w:eastAsia="zh-CN"/>
        </w:rPr>
        <w:t>乙方</w:t>
      </w:r>
      <w:r>
        <w:rPr>
          <w:rFonts w:hint="eastAsia" w:ascii="宋体" w:hAnsi="宋体"/>
          <w:color w:val="auto"/>
          <w:szCs w:val="21"/>
          <w:highlight w:val="none"/>
        </w:rPr>
        <w:t>在1-3个工作日内联系申请人，并发出拒绝赔偿或者拒绝给付保险金通知书及理由书。</w:t>
      </w:r>
    </w:p>
    <w:p w14:paraId="4D233426">
      <w:pPr>
        <w:numPr>
          <w:ilvl w:val="0"/>
          <w:numId w:val="103"/>
        </w:numPr>
        <w:adjustRightInd w:val="0"/>
        <w:spacing w:line="360" w:lineRule="auto"/>
        <w:ind w:left="425" w:leftChars="0" w:hanging="425" w:firstLineChars="0"/>
        <w:contextualSpacing/>
        <w:jc w:val="left"/>
        <w:rPr>
          <w:rFonts w:ascii="宋体" w:hAnsi="宋体"/>
          <w:b w:val="0"/>
          <w:bCs/>
          <w:color w:val="auto"/>
          <w:spacing w:val="0"/>
          <w:sz w:val="21"/>
          <w:szCs w:val="21"/>
          <w:highlight w:val="none"/>
        </w:rPr>
      </w:pPr>
      <w:r>
        <w:rPr>
          <w:rFonts w:hint="eastAsia" w:ascii="宋体" w:hAnsi="宋体"/>
          <w:color w:val="auto"/>
          <w:szCs w:val="21"/>
          <w:highlight w:val="none"/>
        </w:rPr>
        <w:t>特殊需要调查案件，收到完整资料后15个工作日做出理赔决定，超出约定的理赔时限的，</w:t>
      </w:r>
      <w:r>
        <w:rPr>
          <w:rFonts w:hint="eastAsia" w:ascii="宋体" w:hAnsi="宋体"/>
          <w:color w:val="auto"/>
          <w:szCs w:val="21"/>
          <w:highlight w:val="none"/>
          <w:lang w:eastAsia="zh-CN"/>
        </w:rPr>
        <w:t>乙方</w:t>
      </w:r>
      <w:r>
        <w:rPr>
          <w:rFonts w:hint="eastAsia" w:ascii="宋体" w:hAnsi="宋体"/>
          <w:color w:val="auto"/>
          <w:szCs w:val="21"/>
          <w:highlight w:val="none"/>
        </w:rPr>
        <w:t>须发出延赔通知书给被保险人。</w:t>
      </w:r>
    </w:p>
    <w:p w14:paraId="6A998BE7">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分包与转包</w:t>
      </w:r>
    </w:p>
    <w:p w14:paraId="1F9904EC">
      <w:pPr>
        <w:numPr>
          <w:ilvl w:val="0"/>
          <w:numId w:val="104"/>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严禁转包，未经甲方书面同意不得分包</w:t>
      </w:r>
    </w:p>
    <w:p w14:paraId="4C5E89B5">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违约责任</w:t>
      </w:r>
    </w:p>
    <w:p w14:paraId="61D5B287">
      <w:pPr>
        <w:numPr>
          <w:ilvl w:val="0"/>
          <w:numId w:val="105"/>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乙方违反合同及磋商文件约定的有关义务，对甲方造成经济损失的，应给予甲方经济赔偿；如造成重大损失的，甲方有权终止合同。</w:t>
      </w:r>
    </w:p>
    <w:p w14:paraId="5E2ED3B6">
      <w:pPr>
        <w:numPr>
          <w:ilvl w:val="0"/>
          <w:numId w:val="105"/>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olor w:val="auto"/>
          <w:szCs w:val="21"/>
          <w:highlight w:val="none"/>
          <w:u w:val="single"/>
        </w:rPr>
        <w:t xml:space="preserve"> 3 </w:t>
      </w:r>
      <w:r>
        <w:rPr>
          <w:rFonts w:hint="eastAsia" w:ascii="宋体" w:hAnsi="宋体"/>
          <w:color w:val="auto"/>
          <w:szCs w:val="21"/>
          <w:highlight w:val="none"/>
        </w:rPr>
        <w:t>‰</w:t>
      </w:r>
      <w:r>
        <w:rPr>
          <w:rFonts w:hint="eastAsia" w:ascii="宋体" w:hAnsi="宋体" w:cs="黑体"/>
          <w:color w:val="auto"/>
          <w:szCs w:val="21"/>
          <w:highlight w:val="none"/>
        </w:rPr>
        <w:t>的数额向甲方支付违约金；逾期15天或以上的，甲方有权终止合同，要求乙方一次性支付合同总金额</w:t>
      </w:r>
      <w:r>
        <w:rPr>
          <w:rFonts w:hint="eastAsia" w:ascii="宋体" w:hAnsi="宋体" w:cs="黑体"/>
          <w:color w:val="auto"/>
          <w:szCs w:val="21"/>
          <w:highlight w:val="none"/>
          <w:u w:val="single"/>
        </w:rPr>
        <w:t xml:space="preserve"> 20 %</w:t>
      </w:r>
      <w:r>
        <w:rPr>
          <w:rFonts w:hint="eastAsia" w:ascii="宋体" w:hAnsi="宋体" w:cs="黑体"/>
          <w:color w:val="auto"/>
          <w:szCs w:val="21"/>
          <w:highlight w:val="none"/>
        </w:rPr>
        <w:t>违约金，并且给甲方造成的经济损失由乙方承担赔偿责任。</w:t>
      </w:r>
    </w:p>
    <w:p w14:paraId="457CD1D2">
      <w:pPr>
        <w:numPr>
          <w:ilvl w:val="0"/>
          <w:numId w:val="105"/>
        </w:numPr>
        <w:tabs>
          <w:tab w:val="left" w:pos="84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因乙方原因导致本合同解除或是无法履行的，乙方应向甲方支付合同总价</w:t>
      </w:r>
      <w:r>
        <w:rPr>
          <w:rFonts w:hint="eastAsia" w:ascii="宋体" w:hAnsi="宋体"/>
          <w:color w:val="auto"/>
          <w:szCs w:val="21"/>
          <w:highlight w:val="none"/>
          <w:u w:val="single"/>
        </w:rPr>
        <w:t xml:space="preserve"> 20 %</w:t>
      </w:r>
      <w:r>
        <w:rPr>
          <w:rFonts w:hint="eastAsia" w:ascii="宋体" w:hAnsi="宋体"/>
          <w:color w:val="auto"/>
          <w:szCs w:val="21"/>
          <w:highlight w:val="none"/>
        </w:rPr>
        <w:t>的违约金，并且给甲方造成的经济损失由乙方承担赔偿责任。</w:t>
      </w:r>
    </w:p>
    <w:p w14:paraId="608A43EC">
      <w:pPr>
        <w:numPr>
          <w:ilvl w:val="0"/>
          <w:numId w:val="105"/>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甲方有权从未支付的款项或是履约保证金中直接扣除乙方的违约金，不足的部分由乙方另行补足。</w:t>
      </w:r>
    </w:p>
    <w:p w14:paraId="335C9E62">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争议的解决办法</w:t>
      </w:r>
    </w:p>
    <w:p w14:paraId="0334F3CA">
      <w:pPr>
        <w:numPr>
          <w:ilvl w:val="0"/>
          <w:numId w:val="10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凡与本合同有关而引起的一切争议，甲乙双方应首先通过友好协商解决，如经协商后仍不能达成协议时，任何一方可以向法院提出诉讼。</w:t>
      </w:r>
    </w:p>
    <w:p w14:paraId="21794C39">
      <w:pPr>
        <w:numPr>
          <w:ilvl w:val="0"/>
          <w:numId w:val="10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本合同发生的诉讼管辖地为东莞市有管辖权的法院。</w:t>
      </w:r>
    </w:p>
    <w:p w14:paraId="456DF742">
      <w:pPr>
        <w:numPr>
          <w:ilvl w:val="0"/>
          <w:numId w:val="10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在进行法院审理期间，除提交法院审理的事项外，合同其他部分仍继续履行。</w:t>
      </w:r>
    </w:p>
    <w:p w14:paraId="26B37393">
      <w:pPr>
        <w:numPr>
          <w:ilvl w:val="0"/>
          <w:numId w:val="106"/>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本合同按照中华人民共和国的法律进行解释。</w:t>
      </w:r>
    </w:p>
    <w:p w14:paraId="4D6584A6">
      <w:pPr>
        <w:numPr>
          <w:ilvl w:val="0"/>
          <w:numId w:val="88"/>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不可抗力</w:t>
      </w:r>
    </w:p>
    <w:p w14:paraId="4A9EC1A0">
      <w:pPr>
        <w:numPr>
          <w:ilvl w:val="0"/>
          <w:numId w:val="10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numPr>
          <w:ilvl w:val="0"/>
          <w:numId w:val="10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numPr>
          <w:ilvl w:val="0"/>
          <w:numId w:val="88"/>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合同生效</w:t>
      </w:r>
    </w:p>
    <w:p w14:paraId="6153FF0A">
      <w:pPr>
        <w:numPr>
          <w:ilvl w:val="0"/>
          <w:numId w:val="108"/>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本合同由双方法定代表人或委托代理人签字盖章后立即生效，具有同等法律效力</w:t>
      </w:r>
      <w:r>
        <w:rPr>
          <w:rFonts w:hint="eastAsia" w:ascii="宋体" w:hAnsi="宋体"/>
          <w:color w:val="auto"/>
          <w:szCs w:val="21"/>
          <w:highlight w:val="none"/>
          <w:lang w:eastAsia="zh-CN"/>
        </w:rPr>
        <w:t>，</w:t>
      </w:r>
      <w:r>
        <w:rPr>
          <w:rFonts w:hint="eastAsia" w:ascii="宋体" w:hAnsi="宋体"/>
          <w:color w:val="auto"/>
          <w:szCs w:val="21"/>
          <w:highlight w:val="none"/>
        </w:rPr>
        <w:t>合同有效期随服务期结束而自然终止；</w:t>
      </w:r>
    </w:p>
    <w:p w14:paraId="6E6C19D7">
      <w:pPr>
        <w:numPr>
          <w:ilvl w:val="0"/>
          <w:numId w:val="108"/>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份，其中甲方</w:t>
      </w:r>
      <w:r>
        <w:rPr>
          <w:rFonts w:hint="eastAsia" w:ascii="宋体" w:hAnsi="宋体"/>
          <w:color w:val="auto"/>
          <w:szCs w:val="21"/>
          <w:highlight w:val="none"/>
          <w:u w:val="single"/>
        </w:rPr>
        <w:t xml:space="preserve">  </w:t>
      </w:r>
      <w:r>
        <w:rPr>
          <w:rFonts w:hint="eastAsia" w:ascii="宋体" w:hAnsi="宋体"/>
          <w:color w:val="auto"/>
          <w:szCs w:val="21"/>
          <w:highlight w:val="none"/>
        </w:rPr>
        <w:t>份、乙方</w:t>
      </w:r>
      <w:r>
        <w:rPr>
          <w:rFonts w:hint="eastAsia" w:ascii="宋体" w:hAnsi="宋体"/>
          <w:color w:val="auto"/>
          <w:szCs w:val="21"/>
          <w:highlight w:val="none"/>
          <w:u w:val="single"/>
        </w:rPr>
        <w:t xml:space="preserve">     </w:t>
      </w:r>
      <w:r>
        <w:rPr>
          <w:rFonts w:hint="eastAsia" w:ascii="宋体" w:hAnsi="宋体"/>
          <w:color w:val="auto"/>
          <w:szCs w:val="21"/>
          <w:highlight w:val="none"/>
        </w:rPr>
        <w:t>份，采购代理机构</w:t>
      </w:r>
      <w:r>
        <w:rPr>
          <w:rFonts w:hint="eastAsia" w:ascii="宋体" w:hAnsi="宋体"/>
          <w:color w:val="auto"/>
          <w:szCs w:val="21"/>
          <w:highlight w:val="none"/>
          <w:u w:val="single"/>
        </w:rPr>
        <w:t xml:space="preserve">  壹  </w:t>
      </w:r>
      <w:r>
        <w:rPr>
          <w:rFonts w:hint="eastAsia" w:ascii="宋体" w:hAnsi="宋体"/>
          <w:color w:val="auto"/>
          <w:szCs w:val="21"/>
          <w:highlight w:val="none"/>
        </w:rPr>
        <w:t>份（须在合同签订之日起5个工作日内递交）</w:t>
      </w:r>
    </w:p>
    <w:p w14:paraId="44284CEF">
      <w:pPr>
        <w:numPr>
          <w:ilvl w:val="0"/>
          <w:numId w:val="88"/>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其它</w:t>
      </w:r>
    </w:p>
    <w:p w14:paraId="591C422B">
      <w:pPr>
        <w:numPr>
          <w:ilvl w:val="0"/>
          <w:numId w:val="10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本合同未尽事宜，双方可签订补充合同，补充合同与所有附件均为合同的有效组成部分，与本合同具有同等法律效力；</w:t>
      </w:r>
    </w:p>
    <w:p w14:paraId="2C234131">
      <w:pPr>
        <w:numPr>
          <w:ilvl w:val="0"/>
          <w:numId w:val="10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F88B8E9">
      <w:pPr>
        <w:numPr>
          <w:ilvl w:val="0"/>
          <w:numId w:val="10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本合同合计</w:t>
      </w:r>
      <w:r>
        <w:rPr>
          <w:rFonts w:hint="eastAsia"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tbl>
      <w:tblPr>
        <w:tblStyle w:val="7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tcPr>
          <w:p w14:paraId="2E750595">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甲方（盖章）：</w:t>
            </w:r>
          </w:p>
        </w:tc>
        <w:tc>
          <w:tcPr>
            <w:tcW w:w="2500" w:type="pct"/>
          </w:tcPr>
          <w:p w14:paraId="5A63E7F7">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甲方代表人(签字)：</w:t>
            </w:r>
          </w:p>
        </w:tc>
        <w:tc>
          <w:tcPr>
            <w:tcW w:w="2500" w:type="pct"/>
          </w:tcPr>
          <w:p w14:paraId="0B36C83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1DC430">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签字日期：</w:t>
            </w:r>
          </w:p>
        </w:tc>
        <w:tc>
          <w:tcPr>
            <w:tcW w:w="2500" w:type="pct"/>
          </w:tcPr>
          <w:p w14:paraId="29FC68F0">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地址：</w:t>
            </w:r>
          </w:p>
        </w:tc>
        <w:tc>
          <w:tcPr>
            <w:tcW w:w="2500" w:type="pct"/>
          </w:tcPr>
          <w:p w14:paraId="4D138A9D">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电话：</w:t>
            </w:r>
          </w:p>
        </w:tc>
        <w:tc>
          <w:tcPr>
            <w:tcW w:w="2500" w:type="pct"/>
          </w:tcPr>
          <w:p w14:paraId="46397EF7">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传真：</w:t>
            </w:r>
          </w:p>
        </w:tc>
        <w:tc>
          <w:tcPr>
            <w:tcW w:w="2500" w:type="pct"/>
          </w:tcPr>
          <w:p w14:paraId="28565CE8">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开户银行：</w:t>
            </w:r>
          </w:p>
        </w:tc>
        <w:tc>
          <w:tcPr>
            <w:tcW w:w="2500" w:type="pct"/>
          </w:tcPr>
          <w:p w14:paraId="415382E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银行账户：</w:t>
            </w:r>
          </w:p>
        </w:tc>
        <w:tc>
          <w:tcPr>
            <w:tcW w:w="2500" w:type="pct"/>
          </w:tcPr>
          <w:p w14:paraId="0B37DE8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银行账户：</w:t>
            </w:r>
          </w:p>
        </w:tc>
      </w:tr>
      <w:bookmarkEnd w:id="40"/>
      <w:bookmarkEnd w:id="41"/>
      <w:bookmarkEnd w:id="42"/>
    </w:tbl>
    <w:p w14:paraId="68A3D5F7">
      <w:pPr>
        <w:pStyle w:val="2"/>
        <w:keepNext w:val="0"/>
        <w:keepLines w:val="0"/>
        <w:pageBreakBefore/>
        <w:spacing w:after="240" w:line="360" w:lineRule="auto"/>
        <w:jc w:val="center"/>
        <w:rPr>
          <w:kern w:val="0"/>
          <w:sz w:val="20"/>
          <w:szCs w:val="20"/>
          <w:lang w:eastAsia="zh-Hans"/>
        </w:rPr>
      </w:pPr>
      <w:bookmarkStart w:id="44" w:name="_Toc169807545"/>
      <w:bookmarkStart w:id="45" w:name="_Toc169799784"/>
      <w:bookmarkStart w:id="46" w:name="_Toc170228133"/>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4"/>
      <w:bookmarkEnd w:id="45"/>
      <w:bookmarkEnd w:id="46"/>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47" w:name="_Toc169799785"/>
      <w:bookmarkStart w:id="48" w:name="_Hlk170195764"/>
      <w:r>
        <w:rPr>
          <w:rFonts w:hint="eastAsia" w:ascii="宋体" w:hAnsi="宋体"/>
          <w:b/>
          <w:bCs/>
          <w:sz w:val="80"/>
          <w:szCs w:val="80"/>
        </w:rPr>
        <w:t>东莞市长安镇辅警大队2025年警用摩托车保险服务采购项目</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47"/>
    </w:p>
    <w:p w14:paraId="50B3A474">
      <w:pPr>
        <w:spacing w:after="1560" w:afterLines="500"/>
        <w:jc w:val="center"/>
        <w:rPr>
          <w:rFonts w:ascii="宋体" w:hAnsi="宋体"/>
          <w:b/>
          <w:bCs/>
        </w:rPr>
      </w:pPr>
      <w:bookmarkStart w:id="49" w:name="_Toc169799786"/>
      <w:r>
        <w:rPr>
          <w:rFonts w:ascii="宋体" w:hAnsi="宋体"/>
          <w:b/>
          <w:bCs/>
          <w:sz w:val="44"/>
          <w:szCs w:val="48"/>
        </w:rPr>
        <w:t>（正本/副本）</w:t>
      </w:r>
      <w:bookmarkEnd w:id="49"/>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2497" w:beforeLines="800" w:line="360" w:lineRule="auto"/>
        <w:ind w:firstLine="1558" w:firstLineChars="485"/>
        <w:jc w:val="left"/>
        <w:textAlignment w:val="auto"/>
        <w:outlineLvl w:val="9"/>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rPr>
        <w:t>ZHDGZC2025018</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48"/>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响应承诺</w:t>
      </w:r>
      <w:r>
        <w:rPr>
          <w:kern w:val="0"/>
          <w:szCs w:val="21"/>
          <w:lang w:eastAsia="zh-Hans"/>
        </w:rPr>
        <w:t>函</w:t>
      </w:r>
    </w:p>
    <w:p w14:paraId="0781EDCA">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首次报价表</w:t>
      </w:r>
    </w:p>
    <w:p w14:paraId="0092BFB5">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中小企业声明函</w:t>
      </w:r>
    </w:p>
    <w:p w14:paraId="18D13542">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监狱企业</w:t>
      </w:r>
    </w:p>
    <w:p w14:paraId="2CF4E8CA">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残疾人福利性单位声明函</w:t>
      </w:r>
    </w:p>
    <w:p w14:paraId="4A935B1F">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kern w:val="0"/>
          <w:szCs w:val="21"/>
          <w:lang w:eastAsia="zh-Hans"/>
        </w:rPr>
        <w:t>政策适用性说明</w:t>
      </w:r>
    </w:p>
    <w:p w14:paraId="45E0E053">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法定代表人证明书</w:t>
      </w:r>
    </w:p>
    <w:p w14:paraId="5F0A9EE7">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法定代表人授权</w:t>
      </w:r>
      <w:r>
        <w:rPr>
          <w:rFonts w:hint="eastAsia"/>
          <w:kern w:val="0"/>
          <w:szCs w:val="21"/>
          <w:lang w:eastAsia="zh-Hans"/>
        </w:rPr>
        <w:t>委托</w:t>
      </w:r>
      <w:r>
        <w:rPr>
          <w:kern w:val="0"/>
          <w:szCs w:val="21"/>
          <w:lang w:eastAsia="zh-Hans"/>
        </w:rPr>
        <w:t>书</w:t>
      </w:r>
    </w:p>
    <w:p w14:paraId="5E81537C">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rPr>
        <w:t>资格条件承诺函</w:t>
      </w:r>
    </w:p>
    <w:p w14:paraId="226C9F8E">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kern w:val="0"/>
          <w:szCs w:val="21"/>
          <w:lang w:eastAsia="zh-Hans"/>
        </w:rPr>
        <w:t>提供具有独立承担民事责任的能力的证明材料</w:t>
      </w:r>
    </w:p>
    <w:p w14:paraId="3C31C674">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拟投入本项目设备情况表</w:t>
      </w:r>
    </w:p>
    <w:p w14:paraId="5C972F00">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项目技术服务人员情况表</w:t>
      </w:r>
    </w:p>
    <w:p w14:paraId="2EF2EB31">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项目负责人简历表</w:t>
      </w:r>
    </w:p>
    <w:p w14:paraId="383588A0">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供应商业绩情况表</w:t>
      </w:r>
    </w:p>
    <w:p w14:paraId="78C72316">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技术和服务要求响应表</w:t>
      </w:r>
    </w:p>
    <w:p w14:paraId="0A99EF58">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商务条件响应表</w:t>
      </w:r>
    </w:p>
    <w:p w14:paraId="082762C3">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lang w:eastAsia="zh-Hans"/>
        </w:rPr>
      </w:pPr>
      <w:r>
        <w:rPr>
          <w:rFonts w:hint="eastAsia"/>
          <w:color w:val="auto"/>
          <w:kern w:val="0"/>
          <w:szCs w:val="21"/>
          <w:lang w:eastAsia="zh-Hans"/>
        </w:rPr>
        <w:t>★号条款响应表</w:t>
      </w:r>
    </w:p>
    <w:p w14:paraId="4E7FA942">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各类证明材料</w:t>
      </w:r>
    </w:p>
    <w:p w14:paraId="128D1BDA">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rPr>
      </w:pPr>
      <w:r>
        <w:rPr>
          <w:rFonts w:hint="eastAsia"/>
          <w:kern w:val="0"/>
          <w:szCs w:val="21"/>
          <w:lang w:eastAsia="zh-Hans"/>
        </w:rPr>
        <w:t>采购代理服务费支付承诺书</w:t>
      </w:r>
    </w:p>
    <w:p w14:paraId="4A7229A0">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询问函、质疑函、投诉书格式</w:t>
      </w:r>
    </w:p>
    <w:p w14:paraId="41AC0ED3">
      <w:pPr>
        <w:keepNext w:val="0"/>
        <w:keepLines w:val="0"/>
        <w:pageBreakBefore w:val="0"/>
        <w:widowControl/>
        <w:numPr>
          <w:ilvl w:val="0"/>
          <w:numId w:val="110"/>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1"/>
          <w:szCs w:val="21"/>
          <w:lang w:eastAsia="zh-Hans"/>
        </w:rPr>
      </w:pPr>
      <w:r>
        <w:rPr>
          <w:rFonts w:hint="eastAsia"/>
          <w:color w:val="auto"/>
          <w:kern w:val="0"/>
          <w:sz w:val="21"/>
          <w:szCs w:val="21"/>
          <w:lang w:eastAsia="zh-Hans"/>
        </w:rPr>
        <w:t>项目总体服务承诺、实施计划及理赔方案、体系制度、保险应急预案、培训方案</w:t>
      </w:r>
      <w:r>
        <w:rPr>
          <w:color w:val="auto"/>
          <w:kern w:val="0"/>
          <w:sz w:val="21"/>
          <w:szCs w:val="21"/>
          <w:lang w:eastAsia="zh-Hans"/>
        </w:rPr>
        <w:t>等</w:t>
      </w:r>
    </w:p>
    <w:p w14:paraId="00C19504">
      <w:pPr>
        <w:widowControl/>
        <w:jc w:val="left"/>
        <w:rPr>
          <w:kern w:val="0"/>
          <w:sz w:val="20"/>
          <w:szCs w:val="20"/>
        </w:rPr>
      </w:pPr>
    </w:p>
    <w:p w14:paraId="1D7E5E32">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0" w:name="_Hlk169787866"/>
      <w:r>
        <w:rPr>
          <w:rFonts w:ascii="宋体" w:hAnsi="宋体"/>
          <w:b/>
          <w:bCs/>
          <w:sz w:val="24"/>
          <w:szCs w:val="24"/>
        </w:rPr>
        <w:t>详细评审</w:t>
      </w:r>
      <w:r>
        <w:rPr>
          <w:rFonts w:hint="eastAsia" w:ascii="宋体" w:hAnsi="宋体"/>
          <w:b/>
          <w:bCs/>
          <w:sz w:val="24"/>
          <w:szCs w:val="24"/>
        </w:rPr>
        <w:t>索引表</w:t>
      </w:r>
      <w:bookmarkEnd w:id="50"/>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1" w:name="_Toc169799787"/>
      <w:r>
        <w:rPr>
          <w:rFonts w:ascii="宋体" w:hAnsi="宋体"/>
          <w:b/>
          <w:bCs/>
          <w:sz w:val="24"/>
          <w:szCs w:val="28"/>
        </w:rPr>
        <w:t>格式一：</w:t>
      </w:r>
      <w:bookmarkEnd w:id="51"/>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kern w:val="0"/>
          <w:szCs w:val="21"/>
          <w:lang w:eastAsia="zh-Hans"/>
        </w:rPr>
      </w:pPr>
      <w:r>
        <w:rPr>
          <w:kern w:val="0"/>
          <w:szCs w:val="21"/>
          <w:lang w:eastAsia="zh-Hans"/>
        </w:rPr>
        <w:t>你方组织的</w:t>
      </w:r>
      <w:r>
        <w:rPr>
          <w:rFonts w:hint="eastAsia"/>
          <w:kern w:val="0"/>
          <w:szCs w:val="21"/>
          <w:u w:val="single"/>
        </w:rPr>
        <w:t xml:space="preserve">    （项目名称）       </w:t>
      </w:r>
      <w:r>
        <w:rPr>
          <w:kern w:val="0"/>
          <w:szCs w:val="21"/>
          <w:lang w:eastAsia="zh-Hans"/>
        </w:rPr>
        <w:t>的</w:t>
      </w:r>
      <w:r>
        <w:rPr>
          <w:rFonts w:hint="eastAsia"/>
          <w:kern w:val="0"/>
          <w:szCs w:val="21"/>
          <w:lang w:eastAsia="zh-Hans"/>
        </w:rPr>
        <w:t>竞争性磋商（</w:t>
      </w:r>
      <w:r>
        <w:rPr>
          <w:kern w:val="0"/>
          <w:szCs w:val="21"/>
          <w:lang w:eastAsia="zh-Hans"/>
        </w:rPr>
        <w:t>项目编号为：</w:t>
      </w:r>
      <w:r>
        <w:rPr>
          <w:rFonts w:hint="eastAsia"/>
          <w:kern w:val="0"/>
          <w:szCs w:val="21"/>
          <w:u w:val="single"/>
        </w:rPr>
        <w:t xml:space="preserve">               </w:t>
      </w:r>
      <w:r>
        <w:rPr>
          <w:rFonts w:hint="eastAsia"/>
          <w:kern w:val="0"/>
          <w:szCs w:val="21"/>
        </w:rPr>
        <w:t>）</w:t>
      </w:r>
      <w:r>
        <w:rPr>
          <w:kern w:val="0"/>
          <w:szCs w:val="21"/>
          <w:lang w:eastAsia="zh-Hans"/>
        </w:rPr>
        <w:t>，我方愿参与</w:t>
      </w:r>
      <w:r>
        <w:rPr>
          <w:rFonts w:hint="eastAsia"/>
          <w:kern w:val="0"/>
          <w:szCs w:val="21"/>
          <w:lang w:eastAsia="zh-Hans"/>
        </w:rPr>
        <w:t>响应</w:t>
      </w:r>
      <w:r>
        <w:rPr>
          <w:kern w:val="0"/>
          <w:szCs w:val="21"/>
          <w:lang w:eastAsia="zh-Hans"/>
        </w:rPr>
        <w:t>。</w:t>
      </w:r>
    </w:p>
    <w:p w14:paraId="11062D7A">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hint="eastAsia" w:ascii="宋体" w:hAnsi="宋体"/>
          <w:kern w:val="0"/>
          <w:szCs w:val="21"/>
          <w:u w:val="single"/>
        </w:rPr>
        <w:t xml:space="preserve">      （项目名称）        </w:t>
      </w:r>
      <w:r>
        <w:rPr>
          <w:rFonts w:ascii="宋体" w:hAnsi="宋体"/>
          <w:kern w:val="0"/>
          <w:szCs w:val="21"/>
          <w:lang w:eastAsia="zh-Hans"/>
        </w:rPr>
        <w:t>的</w:t>
      </w:r>
      <w:r>
        <w:rPr>
          <w:rFonts w:hint="eastAsia" w:ascii="宋体" w:hAnsi="宋体"/>
          <w:kern w:val="0"/>
          <w:szCs w:val="21"/>
          <w:lang w:eastAsia="zh-Hans"/>
        </w:rPr>
        <w:t>磋商文件</w:t>
      </w:r>
      <w:r>
        <w:rPr>
          <w:rFonts w:ascii="宋体" w:hAnsi="宋体"/>
          <w:kern w:val="0"/>
          <w:szCs w:val="21"/>
          <w:lang w:eastAsia="zh-Hans"/>
        </w:rPr>
        <w:t>的全部内容。</w:t>
      </w:r>
    </w:p>
    <w:p w14:paraId="350B518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t>响应</w:t>
      </w:r>
      <w:r>
        <w:rPr>
          <w:rFonts w:ascii="宋体" w:hAnsi="宋体"/>
          <w:kern w:val="0"/>
          <w:szCs w:val="21"/>
          <w:lang w:eastAsia="zh-Hans"/>
        </w:rPr>
        <w:t>前已详细研究了</w:t>
      </w:r>
      <w:r>
        <w:rPr>
          <w:rFonts w:hint="eastAsia" w:ascii="宋体" w:hAnsi="宋体"/>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hint="eastAsia" w:ascii="宋体" w:hAnsi="宋体"/>
          <w:kern w:val="0"/>
          <w:szCs w:val="21"/>
          <w:lang w:eastAsia="zh-Hans"/>
        </w:rPr>
        <w:t>磋商文件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Hans"/>
        </w:rPr>
        <w:t>磋商文件</w:t>
      </w:r>
      <w:r>
        <w:rPr>
          <w:rFonts w:ascii="宋体" w:hAnsi="宋体"/>
          <w:kern w:val="0"/>
          <w:szCs w:val="21"/>
          <w:lang w:eastAsia="zh-Hans"/>
        </w:rPr>
        <w:t>的相关条款，放弃对</w:t>
      </w:r>
      <w:r>
        <w:rPr>
          <w:rFonts w:hint="eastAsia" w:ascii="宋体" w:hAnsi="宋体"/>
          <w:kern w:val="0"/>
          <w:szCs w:val="21"/>
          <w:lang w:eastAsia="zh-Hans"/>
        </w:rPr>
        <w:t>磋商文件</w:t>
      </w:r>
      <w:r>
        <w:rPr>
          <w:rFonts w:ascii="宋体" w:hAnsi="宋体"/>
          <w:kern w:val="0"/>
          <w:szCs w:val="21"/>
          <w:lang w:eastAsia="zh-Hans"/>
        </w:rPr>
        <w:t>提出误解和质疑的一切权力。</w:t>
      </w:r>
    </w:p>
    <w:p w14:paraId="0E426D7A">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256E89DC">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Hans"/>
        </w:rPr>
        <w:t>磋商文件</w:t>
      </w:r>
      <w:r>
        <w:rPr>
          <w:rFonts w:ascii="宋体" w:hAnsi="宋体"/>
          <w:kern w:val="0"/>
          <w:szCs w:val="21"/>
          <w:lang w:eastAsia="zh-Hans"/>
        </w:rPr>
        <w:t>的所有条款要求，并申明如下：</w:t>
      </w:r>
    </w:p>
    <w:p w14:paraId="73CAE7E0">
      <w:pPr>
        <w:pStyle w:val="74"/>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（八）</w:t>
      </w:r>
      <w:r>
        <w:rPr>
          <w:rFonts w:hint="eastAsia" w:ascii="宋体" w:hAnsi="宋体"/>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2" w:name="_Toc169799788"/>
      <w:r>
        <w:rPr>
          <w:rFonts w:ascii="宋体" w:hAnsi="宋体"/>
          <w:b/>
          <w:bCs/>
          <w:sz w:val="24"/>
          <w:szCs w:val="28"/>
        </w:rPr>
        <w:t>格式二：</w:t>
      </w:r>
      <w:bookmarkEnd w:id="52"/>
    </w:p>
    <w:p w14:paraId="299FD221">
      <w:pPr>
        <w:widowControl/>
        <w:jc w:val="center"/>
        <w:outlineLvl w:val="3"/>
        <w:rPr>
          <w:rFonts w:hint="eastAsia"/>
          <w:b/>
          <w:kern w:val="0"/>
          <w:sz w:val="32"/>
          <w:lang w:eastAsia="zh-Hans"/>
        </w:rPr>
      </w:pPr>
      <w:r>
        <w:rPr>
          <w:rFonts w:hint="eastAsia"/>
          <w:b/>
          <w:kern w:val="0"/>
          <w:sz w:val="32"/>
          <w:lang w:eastAsia="zh-Hans"/>
        </w:rPr>
        <w:t>首次报价表</w:t>
      </w:r>
    </w:p>
    <w:p w14:paraId="734D1107">
      <w:pPr>
        <w:widowControl/>
        <w:snapToGrid w:val="0"/>
        <w:spacing w:line="360" w:lineRule="auto"/>
        <w:contextualSpacing/>
        <w:jc w:val="left"/>
        <w:rPr>
          <w:kern w:val="0"/>
          <w:szCs w:val="21"/>
          <w:lang w:eastAsia="zh-Hans"/>
        </w:rPr>
      </w:pPr>
      <w:r>
        <w:rPr>
          <w:kern w:val="0"/>
          <w:szCs w:val="21"/>
          <w:lang w:eastAsia="zh-Hans"/>
        </w:rPr>
        <w:t>项目编号：</w:t>
      </w:r>
    </w:p>
    <w:p w14:paraId="6E933FF6">
      <w:pPr>
        <w:widowControl/>
        <w:snapToGrid w:val="0"/>
        <w:spacing w:line="360" w:lineRule="auto"/>
        <w:contextualSpacing/>
        <w:jc w:val="left"/>
        <w:rPr>
          <w:kern w:val="0"/>
          <w:szCs w:val="21"/>
          <w:lang w:eastAsia="zh-Hans"/>
        </w:rPr>
      </w:pPr>
      <w:r>
        <w:rPr>
          <w:kern w:val="0"/>
          <w:szCs w:val="21"/>
          <w:lang w:eastAsia="zh-Hans"/>
        </w:rPr>
        <w:t>项目名称：</w:t>
      </w:r>
    </w:p>
    <w:p w14:paraId="2209BB7A">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1"/>
        <w:gridCol w:w="3826"/>
        <w:gridCol w:w="3588"/>
        <w:gridCol w:w="1141"/>
      </w:tblGrid>
      <w:tr w14:paraId="54411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4" w:type="pct"/>
            <w:tcBorders>
              <w:top w:val="single" w:color="auto" w:sz="4" w:space="0"/>
              <w:left w:val="single" w:color="auto" w:sz="4" w:space="0"/>
              <w:right w:val="single" w:color="auto" w:sz="4" w:space="0"/>
            </w:tcBorders>
            <w:vAlign w:val="center"/>
          </w:tcPr>
          <w:p w14:paraId="7EE548CF">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2059" w:type="pct"/>
            <w:tcBorders>
              <w:top w:val="single" w:color="auto" w:sz="4" w:space="0"/>
              <w:left w:val="single" w:color="auto" w:sz="4" w:space="0"/>
              <w:right w:val="single" w:color="auto" w:sz="4" w:space="0"/>
            </w:tcBorders>
            <w:vAlign w:val="center"/>
          </w:tcPr>
          <w:p w14:paraId="3D272A8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1931" w:type="pct"/>
            <w:tcBorders>
              <w:top w:val="single" w:color="auto" w:sz="4" w:space="0"/>
              <w:left w:val="single" w:color="auto" w:sz="4" w:space="0"/>
              <w:bottom w:val="single" w:color="auto" w:sz="4" w:space="0"/>
              <w:right w:val="single" w:color="auto" w:sz="4" w:space="0"/>
            </w:tcBorders>
            <w:vAlign w:val="center"/>
          </w:tcPr>
          <w:p w14:paraId="22985F1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lang w:val="en-US" w:eastAsia="zh-CN"/>
                <w14:textFill>
                  <w14:solidFill>
                    <w14:schemeClr w14:val="tx1"/>
                  </w14:solidFill>
                </w14:textFill>
              </w:rPr>
              <w:t>响应单价</w:t>
            </w:r>
            <w:r>
              <w:rPr>
                <w:rFonts w:hint="eastAsia" w:ascii="宋体" w:hAnsi="宋体"/>
                <w:b/>
                <w:color w:val="000000" w:themeColor="text1"/>
                <w:szCs w:val="21"/>
                <w14:textFill>
                  <w14:solidFill>
                    <w14:schemeClr w14:val="tx1"/>
                  </w14:solidFill>
                </w14:textFill>
              </w:rPr>
              <w:t>报价（单位：元</w:t>
            </w:r>
            <w:r>
              <w:rPr>
                <w:rFonts w:hint="eastAsia" w:ascii="宋体" w:hAnsi="宋体"/>
                <w:b/>
                <w:color w:val="000000" w:themeColor="text1"/>
                <w:szCs w:val="21"/>
                <w:lang w:val="en-US" w:eastAsia="zh-CN"/>
                <w14:textFill>
                  <w14:solidFill>
                    <w14:schemeClr w14:val="tx1"/>
                  </w14:solidFill>
                </w14:textFill>
              </w:rPr>
              <w:t>/台/年</w:t>
            </w:r>
            <w:r>
              <w:rPr>
                <w:rFonts w:hint="eastAsia" w:ascii="宋体" w:hAnsi="宋体"/>
                <w:b/>
                <w:color w:val="000000" w:themeColor="text1"/>
                <w:szCs w:val="21"/>
                <w14:textFill>
                  <w14:solidFill>
                    <w14:schemeClr w14:val="tx1"/>
                  </w14:solidFill>
                </w14:textFill>
              </w:rPr>
              <w:t>）</w:t>
            </w:r>
          </w:p>
        </w:tc>
        <w:tc>
          <w:tcPr>
            <w:tcW w:w="614" w:type="pct"/>
            <w:tcBorders>
              <w:top w:val="single" w:color="auto" w:sz="4" w:space="0"/>
              <w:left w:val="single" w:color="auto" w:sz="4" w:space="0"/>
              <w:right w:val="single" w:color="auto" w:sz="4" w:space="0"/>
            </w:tcBorders>
            <w:vAlign w:val="center"/>
          </w:tcPr>
          <w:p w14:paraId="4A8465C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备注</w:t>
            </w:r>
          </w:p>
        </w:tc>
      </w:tr>
      <w:tr w14:paraId="029E3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4" w:type="pct"/>
            <w:tcBorders>
              <w:top w:val="single" w:color="auto" w:sz="4" w:space="0"/>
              <w:left w:val="single" w:color="auto" w:sz="4" w:space="0"/>
              <w:bottom w:val="single" w:color="auto" w:sz="4" w:space="0"/>
              <w:right w:val="single" w:color="auto" w:sz="4" w:space="0"/>
            </w:tcBorders>
            <w:vAlign w:val="center"/>
          </w:tcPr>
          <w:p w14:paraId="606128F8">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2059" w:type="pct"/>
            <w:tcBorders>
              <w:top w:val="single" w:color="auto" w:sz="4" w:space="0"/>
              <w:left w:val="single" w:color="auto" w:sz="4" w:space="0"/>
              <w:bottom w:val="single" w:color="auto" w:sz="4" w:space="0"/>
              <w:right w:val="single" w:color="auto" w:sz="4" w:space="0"/>
            </w:tcBorders>
            <w:vAlign w:val="center"/>
          </w:tcPr>
          <w:p w14:paraId="0A6D8A4A">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1931" w:type="pct"/>
            <w:tcBorders>
              <w:top w:val="single" w:color="auto" w:sz="4" w:space="0"/>
              <w:left w:val="single" w:color="auto" w:sz="4" w:space="0"/>
              <w:bottom w:val="single" w:color="auto" w:sz="4" w:space="0"/>
              <w:right w:val="single" w:color="auto" w:sz="4" w:space="0"/>
            </w:tcBorders>
            <w:vAlign w:val="center"/>
          </w:tcPr>
          <w:p w14:paraId="275EE458">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14:paraId="7E6AC4EE">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614" w:type="pct"/>
            <w:tcBorders>
              <w:top w:val="single" w:color="auto" w:sz="4" w:space="0"/>
              <w:left w:val="single" w:color="auto" w:sz="4" w:space="0"/>
              <w:bottom w:val="single" w:color="auto" w:sz="4" w:space="0"/>
              <w:right w:val="single" w:color="auto" w:sz="4" w:space="0"/>
            </w:tcBorders>
            <w:vAlign w:val="center"/>
          </w:tcPr>
          <w:p w14:paraId="6111CACE">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14:paraId="3D34F90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p>
    <w:p w14:paraId="18076205">
      <w:pPr>
        <w:pStyle w:val="70"/>
        <w:keepNext w:val="0"/>
        <w:keepLines w:val="0"/>
        <w:pageBreakBefore w:val="0"/>
        <w:widowControl w:val="0"/>
        <w:numPr>
          <w:ilvl w:val="0"/>
          <w:numId w:val="111"/>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须用文字和数字两种方式表示</w:t>
      </w:r>
      <w:r>
        <w:rPr>
          <w:rFonts w:hint="eastAsia" w:ascii="宋体" w:hAnsi="宋体" w:cs="宋体"/>
          <w:color w:val="auto"/>
          <w:sz w:val="21"/>
          <w:szCs w:val="21"/>
          <w:highlight w:val="none"/>
          <w:lang w:val="en-US" w:eastAsia="zh-CN"/>
        </w:rPr>
        <w:t>响应单价报价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最多保留两位小数</w:t>
      </w:r>
      <w:r>
        <w:rPr>
          <w:rFonts w:hint="eastAsia" w:ascii="宋体" w:hAnsi="宋体" w:eastAsia="宋体" w:cs="宋体"/>
          <w:color w:val="auto"/>
          <w:sz w:val="21"/>
          <w:szCs w:val="21"/>
          <w:highlight w:val="none"/>
          <w:lang w:eastAsia="zh-CN"/>
        </w:rPr>
        <w:t>；</w:t>
      </w:r>
    </w:p>
    <w:p w14:paraId="73B644C5">
      <w:pPr>
        <w:pStyle w:val="70"/>
        <w:keepNext w:val="0"/>
        <w:keepLines w:val="0"/>
        <w:pageBreakBefore w:val="0"/>
        <w:widowControl w:val="0"/>
        <w:numPr>
          <w:ilvl w:val="0"/>
          <w:numId w:val="111"/>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b/>
          <w:bCs/>
          <w:color w:val="auto"/>
          <w:sz w:val="21"/>
          <w:szCs w:val="21"/>
          <w:highlight w:val="none"/>
        </w:rPr>
      </w:pPr>
      <w:r>
        <w:rPr>
          <w:rFonts w:hint="eastAsia" w:ascii="宋体" w:hAnsi="宋体" w:cs="宋体"/>
          <w:b/>
          <w:bCs/>
          <w:color w:val="auto"/>
          <w:sz w:val="21"/>
          <w:szCs w:val="21"/>
          <w:highlight w:val="none"/>
          <w:lang w:val="en-US" w:eastAsia="zh-CN"/>
        </w:rPr>
        <w:t>本项目单价最高限价为1,121.00元/台/年，供应商响应单价报价不得超出本项目的单价最高限价，否则将被视为无效响应；</w:t>
      </w:r>
    </w:p>
    <w:p w14:paraId="175C8597">
      <w:pPr>
        <w:pStyle w:val="70"/>
        <w:keepNext w:val="0"/>
        <w:keepLines w:val="0"/>
        <w:pageBreakBefore w:val="0"/>
        <w:widowControl w:val="0"/>
        <w:numPr>
          <w:ilvl w:val="0"/>
          <w:numId w:val="111"/>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开标一览表内容与</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文件中相应内容不一致的，以开标一览表为准</w:t>
      </w:r>
      <w:r>
        <w:rPr>
          <w:rFonts w:hint="eastAsia" w:ascii="宋体" w:hAnsi="宋体" w:eastAsia="宋体" w:cs="宋体"/>
          <w:color w:val="auto"/>
          <w:sz w:val="21"/>
          <w:szCs w:val="21"/>
          <w:highlight w:val="none"/>
          <w:lang w:eastAsia="zh-CN"/>
        </w:rPr>
        <w:t>；</w:t>
      </w:r>
    </w:p>
    <w:p w14:paraId="11C6F915">
      <w:pPr>
        <w:pStyle w:val="70"/>
        <w:keepNext w:val="0"/>
        <w:keepLines w:val="0"/>
        <w:pageBreakBefore w:val="0"/>
        <w:widowControl w:val="0"/>
        <w:numPr>
          <w:ilvl w:val="0"/>
          <w:numId w:val="111"/>
        </w:numPr>
        <w:kinsoku/>
        <w:wordWrap/>
        <w:overflowPunct/>
        <w:topLinePunct w:val="0"/>
        <w:autoSpaceDE/>
        <w:autoSpaceDN/>
        <w:bidi w:val="0"/>
        <w:adjustRightInd/>
        <w:snapToGrid/>
        <w:spacing w:line="360" w:lineRule="auto"/>
        <w:ind w:firstLineChars="0"/>
        <w:textAlignment w:val="auto"/>
        <w:rPr>
          <w:rFonts w:ascii="Calibri" w:hAnsi="Calibri" w:eastAsia="宋体" w:cs="Times New Roman"/>
          <w:color w:val="auto"/>
          <w:kern w:val="0"/>
          <w:szCs w:val="21"/>
          <w:highlight w:val="none"/>
        </w:rPr>
      </w:pPr>
      <w:r>
        <w:rPr>
          <w:rFonts w:hint="eastAsia" w:ascii="宋体" w:hAnsi="宋体" w:eastAsia="宋体" w:cs="宋体"/>
          <w:color w:val="auto"/>
          <w:sz w:val="21"/>
          <w:szCs w:val="21"/>
          <w:highlight w:val="none"/>
        </w:rPr>
        <w:t>大写和小写不一致的，以大写为准</w:t>
      </w:r>
      <w:r>
        <w:rPr>
          <w:rFonts w:hint="eastAsia" w:ascii="宋体" w:hAnsi="宋体" w:cs="宋体"/>
          <w:color w:val="auto"/>
          <w:sz w:val="21"/>
          <w:szCs w:val="21"/>
          <w:highlight w:val="none"/>
          <w:lang w:eastAsia="zh-CN"/>
        </w:rPr>
        <w:t>。</w:t>
      </w:r>
    </w:p>
    <w:p w14:paraId="5364CB20">
      <w:pPr>
        <w:widowControl/>
        <w:snapToGrid w:val="0"/>
        <w:spacing w:line="360" w:lineRule="auto"/>
        <w:contextualSpacing/>
        <w:jc w:val="left"/>
        <w:rPr>
          <w:kern w:val="0"/>
          <w:szCs w:val="21"/>
        </w:rPr>
      </w:pPr>
    </w:p>
    <w:p w14:paraId="791DD63B">
      <w:pPr>
        <w:widowControl/>
        <w:snapToGrid w:val="0"/>
        <w:spacing w:line="360" w:lineRule="auto"/>
        <w:contextualSpacing/>
        <w:jc w:val="left"/>
        <w:rPr>
          <w:kern w:val="0"/>
          <w:sz w:val="20"/>
          <w:szCs w:val="20"/>
          <w:lang w:eastAsia="zh-Hans"/>
        </w:rPr>
      </w:pPr>
    </w:p>
    <w:tbl>
      <w:tblPr>
        <w:tblStyle w:val="23"/>
        <w:tblpPr w:leftFromText="180" w:rightFromText="180" w:vertAnchor="text" w:horzAnchor="page" w:tblpX="1393" w:tblpY="1122"/>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102D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468DC5C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581B32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5D7A0FB">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5D18C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BA999CF">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6298CD86">
      <w:pPr>
        <w:widowControl/>
        <w:jc w:val="left"/>
        <w:rPr>
          <w:kern w:val="0"/>
          <w:sz w:val="20"/>
          <w:szCs w:val="20"/>
          <w:lang w:eastAsia="zh-Hans"/>
        </w:rPr>
      </w:pPr>
    </w:p>
    <w:p w14:paraId="13835997">
      <w:pPr>
        <w:pageBreakBefore/>
        <w:rPr>
          <w:rFonts w:ascii="宋体" w:hAnsi="宋体"/>
          <w:kern w:val="0"/>
          <w:szCs w:val="21"/>
          <w:lang w:eastAsia="zh-Hans"/>
        </w:rPr>
      </w:pPr>
      <w:bookmarkStart w:id="53" w:name="_Toc169799790"/>
      <w:r>
        <w:rPr>
          <w:rFonts w:ascii="宋体" w:hAnsi="宋体"/>
          <w:b/>
          <w:bCs/>
          <w:sz w:val="24"/>
          <w:szCs w:val="28"/>
        </w:rPr>
        <w:t>格式</w:t>
      </w:r>
      <w:r>
        <w:rPr>
          <w:rFonts w:hint="eastAsia" w:ascii="宋体" w:hAnsi="宋体"/>
          <w:b/>
          <w:bCs/>
          <w:sz w:val="24"/>
          <w:szCs w:val="28"/>
          <w:lang w:eastAsia="zh-CN"/>
        </w:rPr>
        <w:t>三</w:t>
      </w:r>
      <w:r>
        <w:rPr>
          <w:rFonts w:ascii="宋体" w:hAnsi="宋体"/>
          <w:b/>
          <w:bCs/>
          <w:sz w:val="24"/>
          <w:szCs w:val="28"/>
        </w:rPr>
        <w:t>：</w:t>
      </w:r>
      <w:bookmarkEnd w:id="53"/>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keepNext w:val="0"/>
        <w:keepLines w:val="0"/>
        <w:pageBreakBefore w:val="0"/>
        <w:widowControl/>
        <w:kinsoku/>
        <w:wordWrap/>
        <w:overflowPunct/>
        <w:topLinePunct w:val="0"/>
        <w:autoSpaceDE/>
        <w:autoSpaceDN/>
        <w:bidi w:val="0"/>
        <w:adjustRightInd/>
        <w:snapToGrid/>
        <w:jc w:val="left"/>
        <w:textAlignment w:val="auto"/>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4" w:name="_Toc169799791"/>
      <w:r>
        <w:rPr>
          <w:rFonts w:ascii="宋体" w:hAnsi="宋体"/>
          <w:b/>
          <w:bCs/>
          <w:sz w:val="24"/>
          <w:szCs w:val="28"/>
        </w:rPr>
        <w:t>格式</w:t>
      </w:r>
      <w:r>
        <w:rPr>
          <w:rFonts w:hint="eastAsia" w:ascii="宋体" w:hAnsi="宋体"/>
          <w:b/>
          <w:bCs/>
          <w:sz w:val="24"/>
          <w:szCs w:val="28"/>
          <w:lang w:eastAsia="zh-CN"/>
        </w:rPr>
        <w:t>四</w:t>
      </w:r>
      <w:r>
        <w:rPr>
          <w:rFonts w:ascii="宋体" w:hAnsi="宋体"/>
          <w:b/>
          <w:bCs/>
          <w:sz w:val="24"/>
          <w:szCs w:val="28"/>
        </w:rPr>
        <w:t>：</w:t>
      </w:r>
      <w:bookmarkEnd w:id="54"/>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3F3CC531">
      <w:pPr>
        <w:rPr>
          <w:rFonts w:ascii="宋体" w:hAnsi="宋体"/>
          <w:b/>
          <w:bCs/>
          <w:sz w:val="24"/>
          <w:szCs w:val="28"/>
        </w:rPr>
      </w:pPr>
      <w:bookmarkStart w:id="55" w:name="_Toc169799792"/>
      <w:r>
        <w:rPr>
          <w:rFonts w:ascii="宋体" w:hAnsi="宋体"/>
          <w:b/>
          <w:bCs/>
          <w:sz w:val="24"/>
          <w:szCs w:val="28"/>
        </w:rPr>
        <w:br w:type="page"/>
      </w:r>
    </w:p>
    <w:p w14:paraId="3BFB1100">
      <w:pPr>
        <w:keepLines/>
        <w:spacing w:before="468" w:beforeLines="150" w:line="360" w:lineRule="auto"/>
        <w:rPr>
          <w:rFonts w:ascii="宋体" w:hAnsi="宋体"/>
          <w:kern w:val="0"/>
          <w:szCs w:val="21"/>
          <w:lang w:eastAsia="zh-Hans"/>
        </w:rPr>
      </w:pPr>
      <w:r>
        <w:rPr>
          <w:rFonts w:ascii="宋体" w:hAnsi="宋体"/>
          <w:b/>
          <w:bCs/>
          <w:sz w:val="24"/>
          <w:szCs w:val="28"/>
        </w:rPr>
        <w:t>格式</w:t>
      </w:r>
      <w:r>
        <w:rPr>
          <w:rFonts w:hint="eastAsia" w:ascii="宋体" w:hAnsi="宋体"/>
          <w:b/>
          <w:bCs/>
          <w:sz w:val="24"/>
          <w:szCs w:val="28"/>
          <w:lang w:eastAsia="zh-CN"/>
        </w:rPr>
        <w:t>五</w:t>
      </w:r>
      <w:r>
        <w:rPr>
          <w:rFonts w:ascii="宋体" w:hAnsi="宋体"/>
          <w:b/>
          <w:bCs/>
          <w:sz w:val="24"/>
          <w:szCs w:val="28"/>
        </w:rPr>
        <w:t>：</w:t>
      </w:r>
      <w:bookmarkEnd w:id="55"/>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56" w:name="_Toc169799793"/>
      <w:r>
        <w:rPr>
          <w:rFonts w:ascii="宋体" w:hAnsi="宋体"/>
          <w:b/>
          <w:bCs/>
          <w:sz w:val="24"/>
          <w:szCs w:val="28"/>
        </w:rPr>
        <w:t>格式</w:t>
      </w:r>
      <w:r>
        <w:rPr>
          <w:rFonts w:hint="eastAsia" w:ascii="宋体" w:hAnsi="宋体"/>
          <w:b/>
          <w:bCs/>
          <w:sz w:val="24"/>
          <w:szCs w:val="28"/>
          <w:lang w:val="en-US" w:eastAsia="zh-CN"/>
        </w:rPr>
        <w:t>六</w:t>
      </w:r>
      <w:r>
        <w:rPr>
          <w:rFonts w:ascii="宋体" w:hAnsi="宋体"/>
          <w:b/>
          <w:bCs/>
          <w:sz w:val="24"/>
          <w:szCs w:val="28"/>
        </w:rPr>
        <w:t>：</w:t>
      </w:r>
      <w:bookmarkEnd w:id="56"/>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57" w:name="_Toc169799795"/>
      <w:r>
        <w:rPr>
          <w:rFonts w:ascii="宋体" w:hAnsi="宋体"/>
          <w:b/>
          <w:bCs/>
          <w:sz w:val="24"/>
          <w:szCs w:val="28"/>
        </w:rPr>
        <w:t>格式</w:t>
      </w:r>
      <w:r>
        <w:rPr>
          <w:rFonts w:hint="eastAsia" w:ascii="宋体" w:hAnsi="宋体"/>
          <w:b/>
          <w:bCs/>
          <w:sz w:val="24"/>
          <w:szCs w:val="28"/>
          <w:lang w:eastAsia="zh-CN"/>
        </w:rPr>
        <w:t>七</w:t>
      </w:r>
      <w:r>
        <w:rPr>
          <w:rFonts w:ascii="宋体" w:hAnsi="宋体"/>
          <w:b/>
          <w:bCs/>
          <w:sz w:val="24"/>
          <w:szCs w:val="28"/>
        </w:rPr>
        <w:t>：</w:t>
      </w:r>
      <w:bookmarkEnd w:id="57"/>
    </w:p>
    <w:p w14:paraId="4F0D4039">
      <w:pPr>
        <w:keepNext w:val="0"/>
        <w:keepLines w:val="0"/>
        <w:pageBreakBefore w:val="0"/>
        <w:widowControl/>
        <w:kinsoku/>
        <w:wordWrap/>
        <w:overflowPunct/>
        <w:topLinePunct w:val="0"/>
        <w:autoSpaceDE/>
        <w:autoSpaceDN/>
        <w:bidi w:val="0"/>
        <w:adjustRightInd/>
        <w:snapToGrid/>
        <w:spacing w:before="156" w:beforeLines="50" w:after="313" w:afterLines="100"/>
        <w:jc w:val="center"/>
        <w:textAlignment w:val="auto"/>
        <w:outlineLvl w:val="3"/>
        <w:rPr>
          <w:b/>
          <w:kern w:val="0"/>
          <w:sz w:val="32"/>
          <w:lang w:eastAsia="zh-Hans"/>
        </w:rPr>
      </w:pPr>
      <w:r>
        <w:rPr>
          <w:b/>
          <w:kern w:val="0"/>
          <w:sz w:val="32"/>
          <w:lang w:eastAsia="zh-Hans"/>
        </w:rPr>
        <w:t>法定代表人证明书</w:t>
      </w:r>
    </w:p>
    <w:p w14:paraId="50820A27">
      <w:pPr>
        <w:widowControl/>
        <w:spacing w:line="360" w:lineRule="auto"/>
        <w:jc w:val="left"/>
        <w:rPr>
          <w:rFonts w:hint="eastAsia" w:ascii="宋体" w:hAnsi="宋体"/>
          <w:kern w:val="0"/>
          <w:szCs w:val="21"/>
          <w:u w:val="single"/>
        </w:rPr>
      </w:pP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58" w:name="_Toc169799796"/>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58"/>
    </w:p>
    <w:p w14:paraId="78F9EB4A">
      <w:pPr>
        <w:keepNext w:val="0"/>
        <w:keepLines w:val="0"/>
        <w:pageBreakBefore w:val="0"/>
        <w:widowControl/>
        <w:kinsoku/>
        <w:wordWrap/>
        <w:overflowPunct/>
        <w:topLinePunct w:val="0"/>
        <w:autoSpaceDE/>
        <w:autoSpaceDN/>
        <w:bidi w:val="0"/>
        <w:adjustRightInd/>
        <w:snapToGrid/>
        <w:spacing w:before="156" w:beforeLines="50"/>
        <w:jc w:val="center"/>
        <w:textAlignment w:val="auto"/>
        <w:outlineLvl w:val="3"/>
        <w:rPr>
          <w:b/>
          <w:kern w:val="0"/>
          <w:sz w:val="32"/>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5E65DEA5">
      <w:pPr>
        <w:keepNext w:val="0"/>
        <w:keepLines w:val="0"/>
        <w:pageBreakBefore w:val="0"/>
        <w:widowControl/>
        <w:kinsoku/>
        <w:wordWrap/>
        <w:overflowPunct/>
        <w:topLinePunct w:val="0"/>
        <w:autoSpaceDE/>
        <w:autoSpaceDN/>
        <w:bidi w:val="0"/>
        <w:adjustRightInd/>
        <w:snapToGrid/>
        <w:spacing w:after="312" w:afterLines="100"/>
        <w:jc w:val="center"/>
        <w:textAlignment w:val="auto"/>
        <w:outlineLvl w:val="9"/>
        <w:rPr>
          <w:b w:val="0"/>
          <w:bCs/>
          <w:kern w:val="0"/>
          <w:sz w:val="21"/>
          <w:szCs w:val="21"/>
          <w:lang w:eastAsia="zh-Hans"/>
        </w:rPr>
      </w:pPr>
      <w:r>
        <w:rPr>
          <w:rFonts w:hint="eastAsia"/>
          <w:b w:val="0"/>
          <w:bCs/>
          <w:kern w:val="0"/>
          <w:sz w:val="21"/>
          <w:szCs w:val="21"/>
          <w:lang w:eastAsia="zh-Hans"/>
        </w:rPr>
        <w:t>（对于银行、保险、电信、邮政、铁路等行业以及获得总公司投标授权的分公司，可以提供投标分支机构负责人授权书）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34B92EE4">
      <w:pPr>
        <w:pageBreakBefore/>
        <w:rPr>
          <w:rFonts w:ascii="宋体" w:hAnsi="宋体"/>
          <w:b/>
          <w:bCs/>
        </w:rPr>
      </w:pPr>
      <w:r>
        <w:rPr>
          <w:rFonts w:hint="eastAsia" w:ascii="宋体" w:hAnsi="宋体"/>
          <w:b/>
          <w:bCs/>
          <w:sz w:val="24"/>
          <w:szCs w:val="28"/>
        </w:rPr>
        <w:t>格式</w:t>
      </w:r>
      <w:r>
        <w:rPr>
          <w:rFonts w:hint="eastAsia" w:ascii="宋体" w:hAnsi="宋体"/>
          <w:b/>
          <w:bCs/>
          <w:sz w:val="24"/>
          <w:szCs w:val="28"/>
          <w:lang w:val="en-US" w:eastAsia="zh-CN"/>
        </w:rPr>
        <w:t>九</w:t>
      </w:r>
      <w:r>
        <w:rPr>
          <w:rFonts w:hint="eastAsia" w:ascii="宋体" w:hAnsi="宋体"/>
          <w:b/>
          <w:bCs/>
          <w:sz w:val="24"/>
          <w:szCs w:val="28"/>
        </w:rPr>
        <w:t>：</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112"/>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112"/>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112"/>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112"/>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112"/>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112"/>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4A8F9C03">
      <w:pPr>
        <w:pStyle w:val="70"/>
        <w:widowControl/>
        <w:numPr>
          <w:ilvl w:val="0"/>
          <w:numId w:val="112"/>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59" w:name="_Toc169799798"/>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59"/>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一</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0" w:name="_Toc169799799"/>
      <w:r>
        <w:rPr>
          <w:rFonts w:ascii="宋体" w:hAnsi="宋体"/>
          <w:b/>
          <w:bCs/>
          <w:sz w:val="24"/>
          <w:szCs w:val="28"/>
        </w:rPr>
        <w:t>格式十</w:t>
      </w:r>
      <w:r>
        <w:rPr>
          <w:rFonts w:hint="eastAsia" w:ascii="宋体" w:hAnsi="宋体"/>
          <w:b/>
          <w:bCs/>
          <w:sz w:val="24"/>
          <w:szCs w:val="28"/>
          <w:lang w:eastAsia="zh-CN"/>
        </w:rPr>
        <w:t>四</w:t>
      </w:r>
      <w:r>
        <w:rPr>
          <w:rFonts w:ascii="宋体" w:hAnsi="宋体"/>
          <w:b/>
          <w:bCs/>
          <w:sz w:val="24"/>
          <w:szCs w:val="28"/>
        </w:rPr>
        <w:t>：</w:t>
      </w:r>
      <w:bookmarkEnd w:id="60"/>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1" w:name="_Toc169799800"/>
      <w:r>
        <w:rPr>
          <w:rFonts w:ascii="宋体" w:hAnsi="宋体"/>
          <w:b/>
          <w:bCs/>
          <w:sz w:val="24"/>
          <w:szCs w:val="28"/>
        </w:rPr>
        <w:t>格式十</w:t>
      </w:r>
      <w:r>
        <w:rPr>
          <w:rFonts w:hint="eastAsia" w:ascii="宋体" w:hAnsi="宋体"/>
          <w:b/>
          <w:bCs/>
          <w:sz w:val="24"/>
          <w:szCs w:val="28"/>
          <w:lang w:eastAsia="zh-CN"/>
        </w:rPr>
        <w:t>五</w:t>
      </w:r>
      <w:r>
        <w:rPr>
          <w:rFonts w:ascii="宋体" w:hAnsi="宋体"/>
          <w:b/>
          <w:bCs/>
          <w:sz w:val="24"/>
          <w:szCs w:val="28"/>
        </w:rPr>
        <w:t>：</w:t>
      </w:r>
      <w:bookmarkEnd w:id="61"/>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2" w:name="_Hlk169717981"/>
      <w:r>
        <w:rPr>
          <w:rFonts w:ascii="宋体" w:hAnsi="宋体"/>
          <w:kern w:val="0"/>
          <w:szCs w:val="21"/>
          <w:lang w:eastAsia="zh-Hans"/>
        </w:rPr>
        <w:t>“备注”</w:t>
      </w:r>
      <w:bookmarkEnd w:id="62"/>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3" w:name="_Toc169799801"/>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3"/>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64" w:name="_Toc169799802"/>
      <w:r>
        <w:rPr>
          <w:rFonts w:ascii="宋体" w:hAnsi="宋体"/>
          <w:b/>
          <w:bCs/>
          <w:sz w:val="24"/>
          <w:szCs w:val="28"/>
        </w:rPr>
        <w:br w:type="page"/>
      </w:r>
    </w:p>
    <w:p w14:paraId="28126855">
      <w:pPr>
        <w:pageBreakBefore/>
        <w:rPr>
          <w:kern w:val="0"/>
          <w:sz w:val="20"/>
          <w:szCs w:val="20"/>
          <w:lang w:eastAsia="zh-Hans"/>
        </w:rPr>
      </w:pPr>
      <w:r>
        <w:rPr>
          <w:rFonts w:ascii="宋体" w:hAnsi="宋体"/>
          <w:b/>
          <w:bCs/>
          <w:sz w:val="24"/>
          <w:szCs w:val="28"/>
        </w:rPr>
        <w:t>格式</w:t>
      </w:r>
      <w:r>
        <w:rPr>
          <w:rFonts w:hint="eastAsia" w:ascii="宋体" w:hAnsi="宋体"/>
          <w:b/>
          <w:bCs/>
          <w:sz w:val="24"/>
          <w:szCs w:val="28"/>
        </w:rPr>
        <w:t>十</w:t>
      </w:r>
      <w:r>
        <w:rPr>
          <w:rFonts w:hint="eastAsia" w:ascii="宋体" w:hAnsi="宋体"/>
          <w:b/>
          <w:bCs/>
          <w:sz w:val="24"/>
          <w:szCs w:val="28"/>
          <w:lang w:eastAsia="zh-CN"/>
        </w:rPr>
        <w:t>七</w:t>
      </w:r>
      <w:r>
        <w:rPr>
          <w:rFonts w:ascii="宋体" w:hAnsi="宋体"/>
          <w:b/>
          <w:bCs/>
          <w:sz w:val="24"/>
          <w:szCs w:val="28"/>
        </w:rPr>
        <w:t>：</w:t>
      </w: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响应供应商必须对应磋商文件</w:t>
      </w:r>
      <w:r>
        <w:rPr>
          <w:rFonts w:hint="eastAsia" w:ascii="宋体" w:hAnsi="宋体" w:eastAsia="宋体" w:cs="宋体"/>
          <w:b/>
          <w:bCs/>
        </w:rPr>
        <w:t>“采购需求”</w:t>
      </w:r>
      <w:r>
        <w:rPr>
          <w:rFonts w:hint="eastAsia" w:ascii="宋体" w:hAnsi="宋体" w:eastAsia="宋体" w:cs="宋体"/>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若磋商文件</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F673520">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413BD1A">
      <w:pPr>
        <w:rPr>
          <w:rFonts w:hint="eastAsia" w:ascii="宋体" w:hAnsi="宋体" w:eastAsia="宋体" w:cs="宋体"/>
          <w:b/>
          <w:bCs/>
          <w:sz w:val="24"/>
          <w:szCs w:val="28"/>
        </w:rPr>
      </w:pPr>
      <w:r>
        <w:rPr>
          <w:rFonts w:hint="eastAsia" w:ascii="宋体" w:hAnsi="宋体" w:eastAsia="宋体" w:cs="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rPr>
        <w:t>十</w:t>
      </w:r>
      <w:r>
        <w:rPr>
          <w:rFonts w:hint="eastAsia" w:ascii="宋体" w:hAnsi="宋体"/>
          <w:b/>
          <w:bCs/>
          <w:sz w:val="24"/>
          <w:szCs w:val="28"/>
          <w:lang w:val="en-US" w:eastAsia="zh-CN"/>
        </w:rPr>
        <w:t>八</w:t>
      </w:r>
      <w:r>
        <w:rPr>
          <w:rFonts w:ascii="宋体" w:hAnsi="宋体"/>
          <w:b/>
          <w:bCs/>
          <w:sz w:val="24"/>
          <w:szCs w:val="28"/>
        </w:rPr>
        <w:t>：</w:t>
      </w:r>
      <w:bookmarkEnd w:id="64"/>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65" w:name="_Toc169799803"/>
      <w:r>
        <w:rPr>
          <w:rFonts w:ascii="宋体" w:hAnsi="宋体"/>
          <w:b/>
          <w:bCs/>
          <w:sz w:val="24"/>
          <w:szCs w:val="28"/>
        </w:rPr>
        <w:t>格式十</w:t>
      </w:r>
      <w:r>
        <w:rPr>
          <w:rFonts w:hint="eastAsia" w:ascii="宋体" w:hAnsi="宋体"/>
          <w:b/>
          <w:bCs/>
          <w:sz w:val="24"/>
          <w:szCs w:val="28"/>
          <w:lang w:val="en-US" w:eastAsia="zh-CN"/>
        </w:rPr>
        <w:t>九</w:t>
      </w:r>
      <w:r>
        <w:rPr>
          <w:rFonts w:ascii="宋体" w:hAnsi="宋体"/>
          <w:b/>
          <w:bCs/>
          <w:sz w:val="24"/>
          <w:szCs w:val="28"/>
        </w:rPr>
        <w:t>：</w:t>
      </w:r>
      <w:bookmarkEnd w:id="65"/>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66" w:name="_Toc169799804"/>
      <w:r>
        <w:rPr>
          <w:rFonts w:ascii="宋体" w:hAnsi="宋体"/>
          <w:b/>
          <w:bCs/>
          <w:sz w:val="24"/>
          <w:szCs w:val="28"/>
        </w:rPr>
        <w:t>格式二十：</w:t>
      </w:r>
      <w:bookmarkEnd w:id="66"/>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67"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67"/>
    <w:p w14:paraId="1D9AC70A">
      <w:pPr>
        <w:pageBreakBefore/>
        <w:rPr>
          <w:kern w:val="0"/>
          <w:sz w:val="20"/>
          <w:szCs w:val="20"/>
          <w:lang w:eastAsia="zh-Hans"/>
        </w:rPr>
      </w:pPr>
      <w:bookmarkStart w:id="68" w:name="_Toc169799806"/>
      <w:r>
        <w:rPr>
          <w:rFonts w:ascii="宋体" w:hAnsi="宋体"/>
          <w:b/>
          <w:bCs/>
          <w:sz w:val="24"/>
          <w:szCs w:val="28"/>
        </w:rPr>
        <w:t>格式二十</w:t>
      </w:r>
      <w:r>
        <w:rPr>
          <w:rFonts w:hint="eastAsia" w:ascii="宋体" w:hAnsi="宋体"/>
          <w:b/>
          <w:bCs/>
          <w:sz w:val="24"/>
          <w:szCs w:val="28"/>
          <w:lang w:val="en-US" w:eastAsia="zh-CN"/>
        </w:rPr>
        <w:t>一</w:t>
      </w:r>
      <w:r>
        <w:rPr>
          <w:rFonts w:ascii="宋体" w:hAnsi="宋体"/>
          <w:b/>
          <w:bCs/>
          <w:sz w:val="24"/>
          <w:szCs w:val="28"/>
        </w:rPr>
        <w:t>：</w:t>
      </w:r>
      <w:bookmarkEnd w:id="68"/>
    </w:p>
    <w:p w14:paraId="55D289B9">
      <w:pPr>
        <w:widowControl/>
        <w:jc w:val="left"/>
        <w:rPr>
          <w:kern w:val="0"/>
          <w:sz w:val="20"/>
          <w:szCs w:val="20"/>
          <w:lang w:eastAsia="zh-Hans"/>
        </w:rPr>
      </w:pPr>
      <w:r>
        <w:rPr>
          <w:kern w:val="0"/>
          <w:sz w:val="20"/>
          <w:szCs w:val="20"/>
          <w:lang w:eastAsia="zh-Hans"/>
        </w:rPr>
        <w:t>（以下格式文件由供应商根据需要选用）</w:t>
      </w:r>
    </w:p>
    <w:p w14:paraId="17F68D9F">
      <w:pPr>
        <w:spacing w:line="360" w:lineRule="auto"/>
        <w:rPr>
          <w:rFonts w:asciiTheme="minorEastAsia" w:hAnsiTheme="minorEastAsia" w:eastAsiaTheme="minorEastAsia"/>
          <w:color w:val="auto"/>
        </w:rPr>
      </w:pPr>
      <w:r>
        <w:rPr>
          <w:rFonts w:hint="eastAsia"/>
          <w:color w:val="auto"/>
          <w:sz w:val="20"/>
          <w:szCs w:val="20"/>
          <w:lang w:eastAsia="zh-Hans"/>
        </w:rPr>
        <w:t>项目总体服务承诺、实施计划及理赔方案、体系制度、保险应急预案、培训方案等内容和格式自拟。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FB7255"/>
    <w:multiLevelType w:val="singleLevel"/>
    <w:tmpl w:val="80FB7255"/>
    <w:lvl w:ilvl="0" w:tentative="0">
      <w:start w:val="1"/>
      <w:numFmt w:val="decimal"/>
      <w:lvlText w:val="(%1)"/>
      <w:lvlJc w:val="left"/>
      <w:pPr>
        <w:ind w:left="425" w:hanging="425"/>
      </w:pPr>
      <w:rPr>
        <w:rFonts w:hint="default"/>
      </w:rPr>
    </w:lvl>
  </w:abstractNum>
  <w:abstractNum w:abstractNumId="1">
    <w:nsid w:val="99583753"/>
    <w:multiLevelType w:val="singleLevel"/>
    <w:tmpl w:val="99583753"/>
    <w:lvl w:ilvl="0" w:tentative="0">
      <w:start w:val="1"/>
      <w:numFmt w:val="decimal"/>
      <w:lvlText w:val="(%1)"/>
      <w:lvlJc w:val="left"/>
      <w:pPr>
        <w:ind w:left="425" w:hanging="425"/>
      </w:pPr>
      <w:rPr>
        <w:rFonts w:hint="default"/>
      </w:rPr>
    </w:lvl>
  </w:abstractNum>
  <w:abstractNum w:abstractNumId="2">
    <w:nsid w:val="9E19830B"/>
    <w:multiLevelType w:val="singleLevel"/>
    <w:tmpl w:val="9E19830B"/>
    <w:lvl w:ilvl="0" w:tentative="0">
      <w:start w:val="1"/>
      <w:numFmt w:val="decimal"/>
      <w:lvlText w:val="(%1)"/>
      <w:lvlJc w:val="left"/>
      <w:pPr>
        <w:ind w:left="425" w:hanging="425"/>
      </w:pPr>
      <w:rPr>
        <w:rFonts w:hint="default"/>
      </w:rPr>
    </w:lvl>
  </w:abstractNum>
  <w:abstractNum w:abstractNumId="3">
    <w:nsid w:val="A2A108C6"/>
    <w:multiLevelType w:val="singleLevel"/>
    <w:tmpl w:val="A2A108C6"/>
    <w:lvl w:ilvl="0" w:tentative="0">
      <w:start w:val="1"/>
      <w:numFmt w:val="decimal"/>
      <w:lvlText w:val="(%1)"/>
      <w:lvlJc w:val="left"/>
      <w:pPr>
        <w:ind w:left="425" w:hanging="425"/>
      </w:pPr>
      <w:rPr>
        <w:rFonts w:hint="default"/>
      </w:rPr>
    </w:lvl>
  </w:abstractNum>
  <w:abstractNum w:abstractNumId="4">
    <w:nsid w:val="A4614256"/>
    <w:multiLevelType w:val="singleLevel"/>
    <w:tmpl w:val="A4614256"/>
    <w:lvl w:ilvl="0" w:tentative="0">
      <w:start w:val="1"/>
      <w:numFmt w:val="decimal"/>
      <w:lvlText w:val="(%1)"/>
      <w:lvlJc w:val="left"/>
      <w:pPr>
        <w:ind w:left="425" w:hanging="425"/>
      </w:pPr>
      <w:rPr>
        <w:rFonts w:hint="default"/>
      </w:rPr>
    </w:lvl>
  </w:abstractNum>
  <w:abstractNum w:abstractNumId="5">
    <w:nsid w:val="C070A910"/>
    <w:multiLevelType w:val="multilevel"/>
    <w:tmpl w:val="C070A910"/>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C6534DAB"/>
    <w:multiLevelType w:val="singleLevel"/>
    <w:tmpl w:val="C6534DAB"/>
    <w:lvl w:ilvl="0" w:tentative="0">
      <w:start w:val="1"/>
      <w:numFmt w:val="decimal"/>
      <w:lvlText w:val="(%1)"/>
      <w:lvlJc w:val="left"/>
      <w:pPr>
        <w:ind w:left="425" w:hanging="425"/>
      </w:pPr>
      <w:rPr>
        <w:rFonts w:hint="default"/>
      </w:rPr>
    </w:lvl>
  </w:abstractNum>
  <w:abstractNum w:abstractNumId="7">
    <w:nsid w:val="D4A2FEB7"/>
    <w:multiLevelType w:val="singleLevel"/>
    <w:tmpl w:val="D4A2FEB7"/>
    <w:lvl w:ilvl="0" w:tentative="0">
      <w:start w:val="1"/>
      <w:numFmt w:val="decimal"/>
      <w:lvlText w:val="(%1)"/>
      <w:lvlJc w:val="left"/>
      <w:pPr>
        <w:ind w:left="425" w:hanging="425"/>
      </w:pPr>
      <w:rPr>
        <w:rFonts w:hint="default"/>
      </w:rPr>
    </w:lvl>
  </w:abstractNum>
  <w:abstractNum w:abstractNumId="8">
    <w:nsid w:val="DC88BF01"/>
    <w:multiLevelType w:val="singleLevel"/>
    <w:tmpl w:val="DC88BF01"/>
    <w:lvl w:ilvl="0" w:tentative="0">
      <w:start w:val="1"/>
      <w:numFmt w:val="decimal"/>
      <w:lvlText w:val="%1)"/>
      <w:lvlJc w:val="left"/>
      <w:pPr>
        <w:ind w:left="425" w:hanging="425"/>
      </w:pPr>
      <w:rPr>
        <w:rFonts w:hint="default"/>
      </w:rPr>
    </w:lvl>
  </w:abstractNum>
  <w:abstractNum w:abstractNumId="9">
    <w:nsid w:val="DF17D621"/>
    <w:multiLevelType w:val="multilevel"/>
    <w:tmpl w:val="DF17D621"/>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E62DEC64"/>
    <w:multiLevelType w:val="singleLevel"/>
    <w:tmpl w:val="E62DEC64"/>
    <w:lvl w:ilvl="0" w:tentative="0">
      <w:start w:val="1"/>
      <w:numFmt w:val="decimal"/>
      <w:lvlText w:val="(%1)"/>
      <w:lvlJc w:val="left"/>
      <w:pPr>
        <w:ind w:left="425" w:hanging="425"/>
      </w:pPr>
      <w:rPr>
        <w:rFonts w:hint="default"/>
      </w:rPr>
    </w:lvl>
  </w:abstractNum>
  <w:abstractNum w:abstractNumId="11">
    <w:nsid w:val="EF1D1BFE"/>
    <w:multiLevelType w:val="multilevel"/>
    <w:tmpl w:val="EF1D1BFE"/>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EFDB7D8B"/>
    <w:multiLevelType w:val="multilevel"/>
    <w:tmpl w:val="EFDB7D8B"/>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FBE7166D"/>
    <w:multiLevelType w:val="multilevel"/>
    <w:tmpl w:val="FBE7166D"/>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21"/>
    <w:multiLevelType w:val="multilevel"/>
    <w:tmpl w:val="00000021"/>
    <w:lvl w:ilvl="0" w:tentative="0">
      <w:start w:val="1"/>
      <w:numFmt w:val="decimal"/>
      <w:lvlText w:val="%1"/>
      <w:lvlJc w:val="left"/>
      <w:pPr>
        <w:ind w:left="420" w:hanging="42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3A4421D"/>
    <w:multiLevelType w:val="multilevel"/>
    <w:tmpl w:val="03A4421D"/>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3">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07686198"/>
    <w:multiLevelType w:val="singleLevel"/>
    <w:tmpl w:val="07686198"/>
    <w:lvl w:ilvl="0" w:tentative="0">
      <w:start w:val="1"/>
      <w:numFmt w:val="decimal"/>
      <w:lvlText w:val="(%1)"/>
      <w:lvlJc w:val="left"/>
      <w:pPr>
        <w:ind w:left="425" w:hanging="425"/>
      </w:pPr>
      <w:rPr>
        <w:rFonts w:hint="default"/>
      </w:rPr>
    </w:lvl>
  </w:abstractNum>
  <w:abstractNum w:abstractNumId="28">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0043CDF"/>
    <w:multiLevelType w:val="singleLevel"/>
    <w:tmpl w:val="10043CDF"/>
    <w:lvl w:ilvl="0" w:tentative="0">
      <w:start w:val="1"/>
      <w:numFmt w:val="chineseCounting"/>
      <w:suff w:val="nothing"/>
      <w:lvlText w:val="%1、"/>
      <w:lvlJc w:val="left"/>
      <w:pPr>
        <w:ind w:left="0" w:firstLine="420"/>
      </w:pPr>
      <w:rPr>
        <w:rFonts w:hint="eastAsia" w:ascii="宋体" w:hAnsi="宋体" w:eastAsia="宋体" w:cs="宋体"/>
      </w:rPr>
    </w:lvl>
  </w:abstractNum>
  <w:abstractNum w:abstractNumId="36">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1E24B388"/>
    <w:multiLevelType w:val="multilevel"/>
    <w:tmpl w:val="1E24B38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0B85D70"/>
    <w:multiLevelType w:val="singleLevel"/>
    <w:tmpl w:val="30B85D70"/>
    <w:lvl w:ilvl="0" w:tentative="0">
      <w:start w:val="1"/>
      <w:numFmt w:val="decimal"/>
      <w:lvlText w:val="(%1)"/>
      <w:lvlJc w:val="left"/>
      <w:pPr>
        <w:ind w:left="425" w:hanging="425"/>
      </w:pPr>
      <w:rPr>
        <w:rFonts w:hint="default"/>
      </w:rPr>
    </w:lvl>
  </w:abstractNum>
  <w:abstractNum w:abstractNumId="54">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49F086A"/>
    <w:multiLevelType w:val="multilevel"/>
    <w:tmpl w:val="349F086A"/>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39AC2A00"/>
    <w:multiLevelType w:val="multilevel"/>
    <w:tmpl w:val="39AC2A0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7">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3DC5C217"/>
    <w:multiLevelType w:val="singleLevel"/>
    <w:tmpl w:val="3DC5C217"/>
    <w:lvl w:ilvl="0" w:tentative="0">
      <w:start w:val="1"/>
      <w:numFmt w:val="decimal"/>
      <w:lvlText w:val="(%1)"/>
      <w:lvlJc w:val="left"/>
      <w:pPr>
        <w:ind w:left="425" w:hanging="425"/>
      </w:pPr>
      <w:rPr>
        <w:rFonts w:hint="default"/>
      </w:rPr>
    </w:lvl>
  </w:abstractNum>
  <w:abstractNum w:abstractNumId="69">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3">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4">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67F55E3A"/>
    <w:multiLevelType w:val="multilevel"/>
    <w:tmpl w:val="67F55E3A"/>
    <w:lvl w:ilvl="0" w:tentative="0">
      <w:start w:val="1"/>
      <w:numFmt w:val="decimal"/>
      <w:lvlText w:val="%1）"/>
      <w:lvlJc w:val="left"/>
      <w:pPr>
        <w:ind w:left="360" w:hanging="360"/>
      </w:pPr>
      <w:rPr>
        <w:rFonts w:hint="default" w:ascii="宋体" w:hAnsi="宋体"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7C6488C6"/>
    <w:multiLevelType w:val="singleLevel"/>
    <w:tmpl w:val="7C6488C6"/>
    <w:lvl w:ilvl="0" w:tentative="0">
      <w:start w:val="1"/>
      <w:numFmt w:val="decimal"/>
      <w:lvlText w:val="%1)"/>
      <w:lvlJc w:val="left"/>
      <w:pPr>
        <w:ind w:left="425" w:hanging="425"/>
      </w:pPr>
      <w:rPr>
        <w:rFonts w:hint="default"/>
      </w:rPr>
    </w:lvl>
  </w:abstractNum>
  <w:abstractNum w:abstractNumId="111">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9"/>
  </w:num>
  <w:num w:numId="2">
    <w:abstractNumId w:val="36"/>
  </w:num>
  <w:num w:numId="3">
    <w:abstractNumId w:val="55"/>
  </w:num>
  <w:num w:numId="4">
    <w:abstractNumId w:val="54"/>
  </w:num>
  <w:num w:numId="5">
    <w:abstractNumId w:val="32"/>
  </w:num>
  <w:num w:numId="6">
    <w:abstractNumId w:val="109"/>
  </w:num>
  <w:num w:numId="7">
    <w:abstractNumId w:val="106"/>
  </w:num>
  <w:num w:numId="8">
    <w:abstractNumId w:val="84"/>
  </w:num>
  <w:num w:numId="9">
    <w:abstractNumId w:val="108"/>
  </w:num>
  <w:num w:numId="10">
    <w:abstractNumId w:val="22"/>
  </w:num>
  <w:num w:numId="11">
    <w:abstractNumId w:val="63"/>
  </w:num>
  <w:num w:numId="12">
    <w:abstractNumId w:val="13"/>
  </w:num>
  <w:num w:numId="13">
    <w:abstractNumId w:val="9"/>
  </w:num>
  <w:num w:numId="14">
    <w:abstractNumId w:val="46"/>
  </w:num>
  <w:num w:numId="15">
    <w:abstractNumId w:val="11"/>
  </w:num>
  <w:num w:numId="16">
    <w:abstractNumId w:val="0"/>
  </w:num>
  <w:num w:numId="17">
    <w:abstractNumId w:val="68"/>
  </w:num>
  <w:num w:numId="18">
    <w:abstractNumId w:val="12"/>
  </w:num>
  <w:num w:numId="19">
    <w:abstractNumId w:val="6"/>
  </w:num>
  <w:num w:numId="20">
    <w:abstractNumId w:val="110"/>
  </w:num>
  <w:num w:numId="21">
    <w:abstractNumId w:val="27"/>
  </w:num>
  <w:num w:numId="22">
    <w:abstractNumId w:val="3"/>
  </w:num>
  <w:num w:numId="23">
    <w:abstractNumId w:val="4"/>
  </w:num>
  <w:num w:numId="24">
    <w:abstractNumId w:val="70"/>
  </w:num>
  <w:num w:numId="25">
    <w:abstractNumId w:val="42"/>
  </w:num>
  <w:num w:numId="26">
    <w:abstractNumId w:val="26"/>
  </w:num>
  <w:num w:numId="27">
    <w:abstractNumId w:val="29"/>
  </w:num>
  <w:num w:numId="28">
    <w:abstractNumId w:val="28"/>
  </w:num>
  <w:num w:numId="29">
    <w:abstractNumId w:val="111"/>
  </w:num>
  <w:num w:numId="30">
    <w:abstractNumId w:val="37"/>
  </w:num>
  <w:num w:numId="31">
    <w:abstractNumId w:val="60"/>
  </w:num>
  <w:num w:numId="32">
    <w:abstractNumId w:val="61"/>
  </w:num>
  <w:num w:numId="33">
    <w:abstractNumId w:val="30"/>
  </w:num>
  <w:num w:numId="34">
    <w:abstractNumId w:val="102"/>
  </w:num>
  <w:num w:numId="35">
    <w:abstractNumId w:val="31"/>
  </w:num>
  <w:num w:numId="36">
    <w:abstractNumId w:val="21"/>
  </w:num>
  <w:num w:numId="37">
    <w:abstractNumId w:val="103"/>
  </w:num>
  <w:num w:numId="38">
    <w:abstractNumId w:val="87"/>
  </w:num>
  <w:num w:numId="39">
    <w:abstractNumId w:val="41"/>
  </w:num>
  <w:num w:numId="40">
    <w:abstractNumId w:val="56"/>
  </w:num>
  <w:num w:numId="41">
    <w:abstractNumId w:val="40"/>
  </w:num>
  <w:num w:numId="42">
    <w:abstractNumId w:val="77"/>
  </w:num>
  <w:num w:numId="43">
    <w:abstractNumId w:val="98"/>
  </w:num>
  <w:num w:numId="44">
    <w:abstractNumId w:val="67"/>
  </w:num>
  <w:num w:numId="45">
    <w:abstractNumId w:val="104"/>
  </w:num>
  <w:num w:numId="46">
    <w:abstractNumId w:val="90"/>
  </w:num>
  <w:num w:numId="47">
    <w:abstractNumId w:val="78"/>
  </w:num>
  <w:num w:numId="48">
    <w:abstractNumId w:val="52"/>
  </w:num>
  <w:num w:numId="49">
    <w:abstractNumId w:val="25"/>
  </w:num>
  <w:num w:numId="50">
    <w:abstractNumId w:val="43"/>
  </w:num>
  <w:num w:numId="51">
    <w:abstractNumId w:val="72"/>
  </w:num>
  <w:num w:numId="52">
    <w:abstractNumId w:val="89"/>
  </w:num>
  <w:num w:numId="53">
    <w:abstractNumId w:val="76"/>
  </w:num>
  <w:num w:numId="54">
    <w:abstractNumId w:val="99"/>
  </w:num>
  <w:num w:numId="55">
    <w:abstractNumId w:val="49"/>
  </w:num>
  <w:num w:numId="56">
    <w:abstractNumId w:val="101"/>
  </w:num>
  <w:num w:numId="57">
    <w:abstractNumId w:val="48"/>
  </w:num>
  <w:num w:numId="58">
    <w:abstractNumId w:val="95"/>
  </w:num>
  <w:num w:numId="59">
    <w:abstractNumId w:val="73"/>
  </w:num>
  <w:num w:numId="60">
    <w:abstractNumId w:val="79"/>
  </w:num>
  <w:num w:numId="61">
    <w:abstractNumId w:val="57"/>
  </w:num>
  <w:num w:numId="62">
    <w:abstractNumId w:val="24"/>
  </w:num>
  <w:num w:numId="63">
    <w:abstractNumId w:val="34"/>
  </w:num>
  <w:num w:numId="64">
    <w:abstractNumId w:val="69"/>
  </w:num>
  <w:num w:numId="65">
    <w:abstractNumId w:val="91"/>
  </w:num>
  <w:num w:numId="66">
    <w:abstractNumId w:val="85"/>
  </w:num>
  <w:num w:numId="67">
    <w:abstractNumId w:val="66"/>
  </w:num>
  <w:num w:numId="68">
    <w:abstractNumId w:val="82"/>
  </w:num>
  <w:num w:numId="69">
    <w:abstractNumId w:val="45"/>
  </w:num>
  <w:num w:numId="70">
    <w:abstractNumId w:val="107"/>
  </w:num>
  <w:num w:numId="71">
    <w:abstractNumId w:val="23"/>
  </w:num>
  <w:num w:numId="72">
    <w:abstractNumId w:val="92"/>
  </w:num>
  <w:num w:numId="73">
    <w:abstractNumId w:val="75"/>
  </w:num>
  <w:num w:numId="74">
    <w:abstractNumId w:val="71"/>
  </w:num>
  <w:num w:numId="75">
    <w:abstractNumId w:val="47"/>
  </w:num>
  <w:num w:numId="76">
    <w:abstractNumId w:val="33"/>
  </w:num>
  <w:num w:numId="77">
    <w:abstractNumId w:val="81"/>
  </w:num>
  <w:num w:numId="78">
    <w:abstractNumId w:val="62"/>
  </w:num>
  <w:num w:numId="79">
    <w:abstractNumId w:val="88"/>
  </w:num>
  <w:num w:numId="80">
    <w:abstractNumId w:val="86"/>
  </w:num>
  <w:num w:numId="81">
    <w:abstractNumId w:val="83"/>
  </w:num>
  <w:num w:numId="82">
    <w:abstractNumId w:val="38"/>
  </w:num>
  <w:num w:numId="83">
    <w:abstractNumId w:val="105"/>
  </w:num>
  <w:num w:numId="84">
    <w:abstractNumId w:val="100"/>
  </w:num>
  <w:num w:numId="85">
    <w:abstractNumId w:val="50"/>
  </w:num>
  <w:num w:numId="86">
    <w:abstractNumId w:val="39"/>
  </w:num>
  <w:num w:numId="87">
    <w:abstractNumId w:val="93"/>
  </w:num>
  <w:num w:numId="88">
    <w:abstractNumId w:val="17"/>
  </w:num>
  <w:num w:numId="89">
    <w:abstractNumId w:val="15"/>
  </w:num>
  <w:num w:numId="90">
    <w:abstractNumId w:val="74"/>
  </w:num>
  <w:num w:numId="91">
    <w:abstractNumId w:val="97"/>
  </w:num>
  <w:num w:numId="92">
    <w:abstractNumId w:val="80"/>
  </w:num>
  <w:num w:numId="93">
    <w:abstractNumId w:val="14"/>
  </w:num>
  <w:num w:numId="94">
    <w:abstractNumId w:val="58"/>
  </w:num>
  <w:num w:numId="95">
    <w:abstractNumId w:val="16"/>
  </w:num>
  <w:num w:numId="96">
    <w:abstractNumId w:val="5"/>
  </w:num>
  <w:num w:numId="97">
    <w:abstractNumId w:val="10"/>
  </w:num>
  <w:num w:numId="98">
    <w:abstractNumId w:val="53"/>
  </w:num>
  <w:num w:numId="99">
    <w:abstractNumId w:val="44"/>
  </w:num>
  <w:num w:numId="100">
    <w:abstractNumId w:val="2"/>
  </w:num>
  <w:num w:numId="101">
    <w:abstractNumId w:val="8"/>
  </w:num>
  <w:num w:numId="102">
    <w:abstractNumId w:val="1"/>
  </w:num>
  <w:num w:numId="103">
    <w:abstractNumId w:val="7"/>
  </w:num>
  <w:num w:numId="104">
    <w:abstractNumId w:val="20"/>
  </w:num>
  <w:num w:numId="105">
    <w:abstractNumId w:val="51"/>
  </w:num>
  <w:num w:numId="106">
    <w:abstractNumId w:val="65"/>
  </w:num>
  <w:num w:numId="107">
    <w:abstractNumId w:val="96"/>
  </w:num>
  <w:num w:numId="108">
    <w:abstractNumId w:val="18"/>
  </w:num>
  <w:num w:numId="109">
    <w:abstractNumId w:val="19"/>
  </w:num>
  <w:num w:numId="110">
    <w:abstractNumId w:val="35"/>
  </w:num>
  <w:num w:numId="111">
    <w:abstractNumId w:val="94"/>
  </w:num>
  <w:num w:numId="112">
    <w:abstractNumId w:val="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115B19"/>
    <w:rsid w:val="01404BF0"/>
    <w:rsid w:val="01DA23AF"/>
    <w:rsid w:val="01F86CD9"/>
    <w:rsid w:val="033B6E7D"/>
    <w:rsid w:val="033D6862"/>
    <w:rsid w:val="051F457C"/>
    <w:rsid w:val="05212394"/>
    <w:rsid w:val="05C54482"/>
    <w:rsid w:val="06262C6B"/>
    <w:rsid w:val="06FE02A8"/>
    <w:rsid w:val="080C703A"/>
    <w:rsid w:val="0865674A"/>
    <w:rsid w:val="08933CE4"/>
    <w:rsid w:val="08C20FF5"/>
    <w:rsid w:val="09E0077E"/>
    <w:rsid w:val="09EA0C98"/>
    <w:rsid w:val="0A5E78F5"/>
    <w:rsid w:val="0A8E51BD"/>
    <w:rsid w:val="0ACC0D02"/>
    <w:rsid w:val="0BC639A4"/>
    <w:rsid w:val="0CB057A5"/>
    <w:rsid w:val="0CD0364E"/>
    <w:rsid w:val="0DB066B9"/>
    <w:rsid w:val="0E4806A0"/>
    <w:rsid w:val="0E72396F"/>
    <w:rsid w:val="10071369"/>
    <w:rsid w:val="10806817"/>
    <w:rsid w:val="10847253"/>
    <w:rsid w:val="10E943BC"/>
    <w:rsid w:val="11647A4F"/>
    <w:rsid w:val="119613BE"/>
    <w:rsid w:val="11B928CB"/>
    <w:rsid w:val="11BC2E42"/>
    <w:rsid w:val="11C10E95"/>
    <w:rsid w:val="12042B30"/>
    <w:rsid w:val="120E0E57"/>
    <w:rsid w:val="12263D73"/>
    <w:rsid w:val="13427DB4"/>
    <w:rsid w:val="143C3D2A"/>
    <w:rsid w:val="14991C55"/>
    <w:rsid w:val="149E40CA"/>
    <w:rsid w:val="15B11221"/>
    <w:rsid w:val="15B42ABF"/>
    <w:rsid w:val="161672D6"/>
    <w:rsid w:val="167209B0"/>
    <w:rsid w:val="16797F90"/>
    <w:rsid w:val="17363260"/>
    <w:rsid w:val="17F442EA"/>
    <w:rsid w:val="18972950"/>
    <w:rsid w:val="18976EEF"/>
    <w:rsid w:val="191E2EA7"/>
    <w:rsid w:val="19780C73"/>
    <w:rsid w:val="19930995"/>
    <w:rsid w:val="19A5109C"/>
    <w:rsid w:val="1A1D0C33"/>
    <w:rsid w:val="1A2E277D"/>
    <w:rsid w:val="1CE41EA1"/>
    <w:rsid w:val="1D3F136B"/>
    <w:rsid w:val="1D69418F"/>
    <w:rsid w:val="1E0C16EA"/>
    <w:rsid w:val="1E1E4F79"/>
    <w:rsid w:val="1E3542EE"/>
    <w:rsid w:val="1F3A2287"/>
    <w:rsid w:val="1FCD6C57"/>
    <w:rsid w:val="20F14BC7"/>
    <w:rsid w:val="22B1282E"/>
    <w:rsid w:val="22DA0CFF"/>
    <w:rsid w:val="22F35816"/>
    <w:rsid w:val="230010F2"/>
    <w:rsid w:val="237154E5"/>
    <w:rsid w:val="249E0BC2"/>
    <w:rsid w:val="26AC3A6A"/>
    <w:rsid w:val="270F3FF9"/>
    <w:rsid w:val="27D52D46"/>
    <w:rsid w:val="27F009E7"/>
    <w:rsid w:val="284D6B87"/>
    <w:rsid w:val="285C21F6"/>
    <w:rsid w:val="28B12D73"/>
    <w:rsid w:val="28C36E49"/>
    <w:rsid w:val="28F96D0F"/>
    <w:rsid w:val="295959FF"/>
    <w:rsid w:val="297665B1"/>
    <w:rsid w:val="297D349C"/>
    <w:rsid w:val="299A3B46"/>
    <w:rsid w:val="2A3B74D2"/>
    <w:rsid w:val="2A720B27"/>
    <w:rsid w:val="2A9071FF"/>
    <w:rsid w:val="2B3E6C5B"/>
    <w:rsid w:val="2BD32C68"/>
    <w:rsid w:val="2CDB60BB"/>
    <w:rsid w:val="2DB87198"/>
    <w:rsid w:val="2E642E7C"/>
    <w:rsid w:val="2EAE40F8"/>
    <w:rsid w:val="2EC612D6"/>
    <w:rsid w:val="2FC55B9D"/>
    <w:rsid w:val="2FDB06F2"/>
    <w:rsid w:val="2FDB716E"/>
    <w:rsid w:val="302428C3"/>
    <w:rsid w:val="30721C3C"/>
    <w:rsid w:val="313740FB"/>
    <w:rsid w:val="314D409C"/>
    <w:rsid w:val="31992E3D"/>
    <w:rsid w:val="31CE409B"/>
    <w:rsid w:val="3273165E"/>
    <w:rsid w:val="32E4633A"/>
    <w:rsid w:val="33581EED"/>
    <w:rsid w:val="3363713C"/>
    <w:rsid w:val="3369683F"/>
    <w:rsid w:val="33BE6B8B"/>
    <w:rsid w:val="33D47543"/>
    <w:rsid w:val="33F64577"/>
    <w:rsid w:val="340071A3"/>
    <w:rsid w:val="345839B8"/>
    <w:rsid w:val="34B41D3C"/>
    <w:rsid w:val="34D94209"/>
    <w:rsid w:val="35170C48"/>
    <w:rsid w:val="355F614C"/>
    <w:rsid w:val="357716E7"/>
    <w:rsid w:val="35E05F5F"/>
    <w:rsid w:val="36C721FA"/>
    <w:rsid w:val="37B57733"/>
    <w:rsid w:val="37C404E8"/>
    <w:rsid w:val="37CB7AC8"/>
    <w:rsid w:val="3926502D"/>
    <w:rsid w:val="398A27BC"/>
    <w:rsid w:val="39E2620E"/>
    <w:rsid w:val="39EB6200"/>
    <w:rsid w:val="39F01A68"/>
    <w:rsid w:val="3B751C47"/>
    <w:rsid w:val="3B844B5E"/>
    <w:rsid w:val="3BB50897"/>
    <w:rsid w:val="3C850B8E"/>
    <w:rsid w:val="3C9C5234"/>
    <w:rsid w:val="3CAF1767"/>
    <w:rsid w:val="3D4311FF"/>
    <w:rsid w:val="3DCC7B36"/>
    <w:rsid w:val="3DDD67A7"/>
    <w:rsid w:val="3E1D4DF6"/>
    <w:rsid w:val="3E21391C"/>
    <w:rsid w:val="3E916518"/>
    <w:rsid w:val="3E977D8B"/>
    <w:rsid w:val="3EB94B1E"/>
    <w:rsid w:val="3F253F62"/>
    <w:rsid w:val="3F2C52F0"/>
    <w:rsid w:val="3F724CCD"/>
    <w:rsid w:val="3FEC2CD2"/>
    <w:rsid w:val="406250BB"/>
    <w:rsid w:val="416C5E78"/>
    <w:rsid w:val="41B64AD1"/>
    <w:rsid w:val="42033710"/>
    <w:rsid w:val="42037115"/>
    <w:rsid w:val="4245123D"/>
    <w:rsid w:val="42B86E9B"/>
    <w:rsid w:val="42BC2E2F"/>
    <w:rsid w:val="430A1D0C"/>
    <w:rsid w:val="4352109E"/>
    <w:rsid w:val="43622D30"/>
    <w:rsid w:val="43760FB2"/>
    <w:rsid w:val="43D761B4"/>
    <w:rsid w:val="448E61E3"/>
    <w:rsid w:val="448F7DDB"/>
    <w:rsid w:val="457C2FEA"/>
    <w:rsid w:val="46A317DF"/>
    <w:rsid w:val="47B60184"/>
    <w:rsid w:val="47BC742D"/>
    <w:rsid w:val="47CC42DC"/>
    <w:rsid w:val="47FB1D04"/>
    <w:rsid w:val="4803505C"/>
    <w:rsid w:val="48457423"/>
    <w:rsid w:val="48BB6EDC"/>
    <w:rsid w:val="48F618EF"/>
    <w:rsid w:val="4966759A"/>
    <w:rsid w:val="49A4496C"/>
    <w:rsid w:val="49BC54C3"/>
    <w:rsid w:val="49DE0F52"/>
    <w:rsid w:val="4A56349A"/>
    <w:rsid w:val="4AD239F8"/>
    <w:rsid w:val="4BD27220"/>
    <w:rsid w:val="4BEE4070"/>
    <w:rsid w:val="4C045886"/>
    <w:rsid w:val="4C2A5200"/>
    <w:rsid w:val="4C8147A2"/>
    <w:rsid w:val="4CEB0648"/>
    <w:rsid w:val="4D0D77FD"/>
    <w:rsid w:val="4D831DF4"/>
    <w:rsid w:val="4D8331E2"/>
    <w:rsid w:val="4D9E773D"/>
    <w:rsid w:val="4DA03C92"/>
    <w:rsid w:val="4E43575C"/>
    <w:rsid w:val="4E4C150B"/>
    <w:rsid w:val="4EAD7AD0"/>
    <w:rsid w:val="4F0A5FD9"/>
    <w:rsid w:val="4F0F079A"/>
    <w:rsid w:val="4F2A1CC8"/>
    <w:rsid w:val="4F50502B"/>
    <w:rsid w:val="506D728C"/>
    <w:rsid w:val="50EE68AA"/>
    <w:rsid w:val="5111725A"/>
    <w:rsid w:val="51532BB1"/>
    <w:rsid w:val="51965659"/>
    <w:rsid w:val="52012A35"/>
    <w:rsid w:val="521A1920"/>
    <w:rsid w:val="55142657"/>
    <w:rsid w:val="553F6765"/>
    <w:rsid w:val="563D3E2F"/>
    <w:rsid w:val="56FA5424"/>
    <w:rsid w:val="57A37CC2"/>
    <w:rsid w:val="58DC7D89"/>
    <w:rsid w:val="598F49A2"/>
    <w:rsid w:val="5AEA2B03"/>
    <w:rsid w:val="5BBE156E"/>
    <w:rsid w:val="5BDC19F5"/>
    <w:rsid w:val="5BF907F8"/>
    <w:rsid w:val="5C1A041F"/>
    <w:rsid w:val="5CA52A3F"/>
    <w:rsid w:val="5D2378DB"/>
    <w:rsid w:val="5D2E44D2"/>
    <w:rsid w:val="5DB42C29"/>
    <w:rsid w:val="5EC62C14"/>
    <w:rsid w:val="5F2462A5"/>
    <w:rsid w:val="5FDE21DF"/>
    <w:rsid w:val="61005AF5"/>
    <w:rsid w:val="6151253D"/>
    <w:rsid w:val="61F71336"/>
    <w:rsid w:val="627956E9"/>
    <w:rsid w:val="628A3F58"/>
    <w:rsid w:val="62F51D1A"/>
    <w:rsid w:val="630E4B89"/>
    <w:rsid w:val="63530D85"/>
    <w:rsid w:val="63775AF0"/>
    <w:rsid w:val="638C48B6"/>
    <w:rsid w:val="63B35731"/>
    <w:rsid w:val="63E1229E"/>
    <w:rsid w:val="63E43B3C"/>
    <w:rsid w:val="647924D6"/>
    <w:rsid w:val="65052BD7"/>
    <w:rsid w:val="65242442"/>
    <w:rsid w:val="65B03CD6"/>
    <w:rsid w:val="6650370B"/>
    <w:rsid w:val="67955879"/>
    <w:rsid w:val="679715F1"/>
    <w:rsid w:val="69AB153C"/>
    <w:rsid w:val="6A0740E0"/>
    <w:rsid w:val="6A082C8B"/>
    <w:rsid w:val="6A0C16F7"/>
    <w:rsid w:val="6AB6190B"/>
    <w:rsid w:val="6B930322"/>
    <w:rsid w:val="6CEB3744"/>
    <w:rsid w:val="6D927D32"/>
    <w:rsid w:val="6E310B8E"/>
    <w:rsid w:val="6E5D69C5"/>
    <w:rsid w:val="6EA72C59"/>
    <w:rsid w:val="6F4831D1"/>
    <w:rsid w:val="6FBF9311"/>
    <w:rsid w:val="70114CEC"/>
    <w:rsid w:val="70C64CF5"/>
    <w:rsid w:val="717300E1"/>
    <w:rsid w:val="71D13952"/>
    <w:rsid w:val="72141A90"/>
    <w:rsid w:val="721A7DF0"/>
    <w:rsid w:val="726E2F4F"/>
    <w:rsid w:val="728564EA"/>
    <w:rsid w:val="734D525A"/>
    <w:rsid w:val="742835D1"/>
    <w:rsid w:val="74BA1537"/>
    <w:rsid w:val="75026274"/>
    <w:rsid w:val="75EB1BC8"/>
    <w:rsid w:val="7601232C"/>
    <w:rsid w:val="76115C78"/>
    <w:rsid w:val="779F016E"/>
    <w:rsid w:val="77A45665"/>
    <w:rsid w:val="77C912FA"/>
    <w:rsid w:val="77E15F71"/>
    <w:rsid w:val="787A7F08"/>
    <w:rsid w:val="7A4B6C8D"/>
    <w:rsid w:val="7AA80CC3"/>
    <w:rsid w:val="7AB94F83"/>
    <w:rsid w:val="7B2745E3"/>
    <w:rsid w:val="7B3311D9"/>
    <w:rsid w:val="7B554283"/>
    <w:rsid w:val="7BAB2622"/>
    <w:rsid w:val="7C5F1143"/>
    <w:rsid w:val="7C6B6751"/>
    <w:rsid w:val="7D555CEB"/>
    <w:rsid w:val="7DEB18F7"/>
    <w:rsid w:val="7E527BC8"/>
    <w:rsid w:val="7E6A2956"/>
    <w:rsid w:val="7EA815AB"/>
    <w:rsid w:val="7F741DC0"/>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65</Pages>
  <Words>5811</Words>
  <Characters>6177</Characters>
  <Lines>370</Lines>
  <Paragraphs>104</Paragraphs>
  <TotalTime>1</TotalTime>
  <ScaleCrop>false</ScaleCrop>
  <LinksUpToDate>false</LinksUpToDate>
  <CharactersWithSpaces>6261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WPS_1583285465</cp:lastModifiedBy>
  <cp:lastPrinted>2019-08-12T07:35:00Z</cp:lastPrinted>
  <dcterms:modified xsi:type="dcterms:W3CDTF">2025-04-11T01:48:37Z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5FB7159D75BF48D69E79FAE1CDD8DB7B_12</vt:lpwstr>
  </property>
  <property fmtid="{D5CDD505-2E9C-101B-9397-08002B2CF9AE}" pid="4" name="KSOTemplateDocerSaveRecord">
    <vt:lpwstr>eyJoZGlkIjoiZmRhMmFmYjM3OWE4N2ViMTFmMDk1NGM5ZGE2M2MzZDciLCJ1c2VySWQiOiI4ODQ5MTAzMjQifQ==</vt:lpwstr>
  </property>
</Properties>
</file>