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80" w:beforeLines="250" w:after="312" w:afterLines="100"/>
        <w:jc w:val="center"/>
        <w:rPr>
          <w:rFonts w:ascii="黑体" w:hAnsi="黑体" w:eastAsia="黑体"/>
          <w:b/>
          <w:spacing w:val="60"/>
          <w:sz w:val="96"/>
          <w:szCs w:val="96"/>
          <w:highlight w:val="none"/>
        </w:rPr>
      </w:pPr>
      <w:r>
        <w:rPr>
          <w:rFonts w:hint="eastAsia" w:ascii="黑体" w:hAnsi="黑体" w:eastAsia="黑体"/>
          <w:b/>
          <w:spacing w:val="60"/>
          <w:sz w:val="96"/>
          <w:szCs w:val="96"/>
          <w:highlight w:val="none"/>
        </w:rPr>
        <w:t>竞争性谈判文件</w:t>
      </w:r>
    </w:p>
    <w:p>
      <w:pPr>
        <w:spacing w:before="780" w:beforeLines="250" w:after="312" w:afterLines="100"/>
        <w:jc w:val="center"/>
        <w:rPr>
          <w:rFonts w:ascii="黑体" w:hAnsi="黑体" w:eastAsia="黑体"/>
          <w:b/>
          <w:spacing w:val="60"/>
          <w:sz w:val="24"/>
          <w:szCs w:val="96"/>
          <w:highlight w:val="none"/>
        </w:rPr>
      </w:pPr>
    </w:p>
    <w:p>
      <w:pPr>
        <w:spacing w:after="624" w:afterLines="200"/>
        <w:jc w:val="center"/>
        <w:rPr>
          <w:rFonts w:ascii="黑体" w:hAnsi="黑体" w:eastAsia="黑体"/>
          <w:highlight w:val="none"/>
        </w:rPr>
      </w:pPr>
      <w:r>
        <w:rPr>
          <w:rFonts w:ascii="宋体" w:hAnsi="宋体" w:eastAsia="宋体"/>
          <w:b/>
          <w:sz w:val="32"/>
          <w:highlight w:val="none"/>
        </w:rPr>
        <w:drawing>
          <wp:inline distT="0" distB="0" distL="0" distR="0">
            <wp:extent cx="3571875" cy="2981325"/>
            <wp:effectExtent l="19050" t="0" r="9525" b="0"/>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19"/>
        <w:tblW w:w="73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57"/>
        <w:gridCol w:w="52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jc w:val="center"/>
              <w:rPr>
                <w:rFonts w:ascii="黑体" w:hAnsi="黑体" w:eastAsia="黑体"/>
                <w:b/>
                <w:spacing w:val="40"/>
                <w:sz w:val="28"/>
                <w:szCs w:val="28"/>
                <w:highlight w:val="none"/>
              </w:rPr>
            </w:pPr>
            <w:r>
              <w:rPr>
                <w:rFonts w:hint="eastAsia" w:ascii="黑体" w:hAnsi="黑体" w:eastAsia="黑体"/>
                <w:b/>
                <w:spacing w:val="40"/>
                <w:sz w:val="28"/>
                <w:szCs w:val="28"/>
                <w:highlight w:val="none"/>
              </w:rPr>
              <w:t>项目名称：</w:t>
            </w:r>
          </w:p>
        </w:tc>
        <w:tc>
          <w:tcPr>
            <w:tcW w:w="5259" w:type="dxa"/>
          </w:tcPr>
          <w:p>
            <w:pPr>
              <w:jc w:val="left"/>
              <w:rPr>
                <w:rFonts w:hint="eastAsia" w:ascii="黑体" w:hAnsi="黑体" w:eastAsia="黑体"/>
                <w:b/>
                <w:sz w:val="28"/>
                <w:szCs w:val="28"/>
                <w:highlight w:val="none"/>
                <w:lang w:eastAsia="zh-CN"/>
              </w:rPr>
            </w:pPr>
            <w:r>
              <w:rPr>
                <w:rFonts w:hint="eastAsia" w:ascii="黑体" w:hAnsi="黑体" w:eastAsia="黑体"/>
                <w:b/>
                <w:spacing w:val="30"/>
                <w:sz w:val="28"/>
                <w:szCs w:val="28"/>
                <w:highlight w:val="none"/>
                <w:lang w:eastAsia="zh-CN"/>
              </w:rPr>
              <w:t>2023年省级事故现场应急通讯能力提升采购专项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jc w:val="left"/>
              <w:rPr>
                <w:rFonts w:ascii="黑体" w:hAnsi="黑体" w:eastAsia="黑体"/>
                <w:b/>
                <w:sz w:val="28"/>
                <w:szCs w:val="28"/>
                <w:highlight w:val="none"/>
              </w:rPr>
            </w:pPr>
            <w:r>
              <w:rPr>
                <w:rFonts w:hint="eastAsia" w:ascii="黑体" w:hAnsi="黑体" w:eastAsia="黑体"/>
                <w:b/>
                <w:spacing w:val="40"/>
                <w:sz w:val="28"/>
                <w:szCs w:val="28"/>
                <w:highlight w:val="none"/>
              </w:rPr>
              <w:t>项目编号：</w:t>
            </w:r>
          </w:p>
        </w:tc>
        <w:tc>
          <w:tcPr>
            <w:tcW w:w="5259" w:type="dxa"/>
          </w:tcPr>
          <w:p>
            <w:pPr>
              <w:jc w:val="left"/>
              <w:rPr>
                <w:rFonts w:ascii="黑体" w:hAnsi="黑体" w:eastAsia="黑体"/>
                <w:b/>
                <w:sz w:val="28"/>
                <w:szCs w:val="28"/>
                <w:highlight w:val="none"/>
              </w:rPr>
            </w:pPr>
            <w:r>
              <w:rPr>
                <w:rFonts w:ascii="黑体" w:hAnsi="黑体" w:eastAsia="黑体"/>
                <w:b/>
                <w:spacing w:val="30"/>
                <w:sz w:val="28"/>
                <w:szCs w:val="28"/>
                <w:highlight w:val="none"/>
              </w:rPr>
              <w:t>ZHSTZC2023003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jc w:val="center"/>
              <w:rPr>
                <w:rFonts w:ascii="黑体" w:hAnsi="黑体" w:eastAsia="黑体"/>
                <w:b/>
                <w:sz w:val="28"/>
                <w:szCs w:val="28"/>
                <w:highlight w:val="none"/>
              </w:rPr>
            </w:pPr>
            <w:r>
              <w:rPr>
                <w:rFonts w:hint="eastAsia" w:ascii="黑体" w:hAnsi="黑体" w:eastAsia="黑体"/>
                <w:b/>
                <w:spacing w:val="40"/>
                <w:sz w:val="28"/>
                <w:szCs w:val="28"/>
                <w:highlight w:val="none"/>
              </w:rPr>
              <w:t>采购单位：</w:t>
            </w:r>
          </w:p>
        </w:tc>
        <w:tc>
          <w:tcPr>
            <w:tcW w:w="5259" w:type="dxa"/>
          </w:tcPr>
          <w:p>
            <w:pPr>
              <w:jc w:val="left"/>
              <w:rPr>
                <w:rFonts w:ascii="黑体" w:hAnsi="黑体" w:eastAsia="黑体"/>
                <w:b/>
                <w:spacing w:val="20"/>
                <w:sz w:val="28"/>
                <w:szCs w:val="28"/>
                <w:highlight w:val="none"/>
              </w:rPr>
            </w:pPr>
            <w:r>
              <w:rPr>
                <w:rFonts w:hint="eastAsia" w:ascii="黑体" w:hAnsi="黑体" w:eastAsia="黑体"/>
                <w:b/>
                <w:spacing w:val="30"/>
                <w:sz w:val="28"/>
                <w:szCs w:val="28"/>
                <w:highlight w:val="none"/>
              </w:rPr>
              <w:t>汕头市应急管理局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tcPr>
          <w:p>
            <w:pPr>
              <w:rPr>
                <w:rFonts w:ascii="黑体" w:hAnsi="黑体" w:eastAsia="黑体"/>
                <w:b/>
                <w:sz w:val="28"/>
                <w:szCs w:val="28"/>
                <w:highlight w:val="none"/>
              </w:rPr>
            </w:pPr>
            <w:r>
              <w:rPr>
                <w:rFonts w:hint="eastAsia" w:ascii="黑体" w:hAnsi="黑体" w:eastAsia="黑体"/>
                <w:b/>
                <w:spacing w:val="-10"/>
                <w:sz w:val="28"/>
                <w:szCs w:val="28"/>
                <w:highlight w:val="none"/>
              </w:rPr>
              <w:t>采购代理机构</w:t>
            </w:r>
            <w:r>
              <w:rPr>
                <w:rFonts w:hint="eastAsia" w:ascii="黑体" w:hAnsi="黑体" w:eastAsia="黑体"/>
                <w:b/>
                <w:sz w:val="28"/>
                <w:szCs w:val="28"/>
                <w:highlight w:val="none"/>
              </w:rPr>
              <w:t>：</w:t>
            </w:r>
          </w:p>
        </w:tc>
        <w:tc>
          <w:tcPr>
            <w:tcW w:w="5259" w:type="dxa"/>
          </w:tcPr>
          <w:p>
            <w:pPr>
              <w:jc w:val="left"/>
              <w:rPr>
                <w:rFonts w:ascii="黑体" w:hAnsi="黑体" w:eastAsia="黑体"/>
                <w:b/>
                <w:spacing w:val="4"/>
                <w:sz w:val="28"/>
                <w:szCs w:val="28"/>
                <w:highlight w:val="none"/>
              </w:rPr>
            </w:pPr>
            <w:r>
              <w:rPr>
                <w:rFonts w:hint="eastAsia" w:ascii="黑体" w:hAnsi="黑体" w:eastAsia="黑体"/>
                <w:b/>
                <w:spacing w:val="30"/>
                <w:sz w:val="28"/>
                <w:szCs w:val="28"/>
                <w:highlight w:val="none"/>
              </w:rPr>
              <w:t>广东智汇城市招标采购有限公司</w:t>
            </w:r>
          </w:p>
        </w:tc>
      </w:tr>
    </w:tbl>
    <w:p>
      <w:pPr>
        <w:jc w:val="center"/>
        <w:rPr>
          <w:rFonts w:ascii="黑体" w:hAnsi="黑体" w:eastAsia="黑体"/>
          <w:b/>
          <w:sz w:val="32"/>
          <w:szCs w:val="32"/>
          <w:highlight w:val="none"/>
        </w:rPr>
      </w:pPr>
    </w:p>
    <w:p>
      <w:pPr>
        <w:jc w:val="center"/>
        <w:rPr>
          <w:rFonts w:ascii="黑体" w:hAnsi="黑体" w:eastAsia="黑体"/>
          <w:b/>
          <w:spacing w:val="60"/>
          <w:sz w:val="28"/>
          <w:szCs w:val="28"/>
          <w:highlight w:val="none"/>
        </w:rPr>
      </w:pPr>
      <w:r>
        <w:rPr>
          <w:rFonts w:hint="eastAsia" w:ascii="黑体" w:hAnsi="黑体" w:eastAsia="黑体"/>
          <w:b/>
          <w:spacing w:val="60"/>
          <w:sz w:val="28"/>
          <w:szCs w:val="28"/>
          <w:highlight w:val="none"/>
        </w:rPr>
        <w:t>二〇二三年</w:t>
      </w:r>
      <w:r>
        <w:rPr>
          <w:rFonts w:hint="eastAsia" w:ascii="黑体" w:hAnsi="黑体" w:eastAsia="黑体"/>
          <w:b/>
          <w:spacing w:val="60"/>
          <w:sz w:val="28"/>
          <w:szCs w:val="28"/>
          <w:highlight w:val="none"/>
          <w:lang w:val="en-US" w:eastAsia="zh-CN"/>
        </w:rPr>
        <w:t>二</w:t>
      </w:r>
      <w:r>
        <w:rPr>
          <w:rFonts w:hint="eastAsia" w:ascii="黑体" w:hAnsi="黑体" w:eastAsia="黑体"/>
          <w:b/>
          <w:spacing w:val="60"/>
          <w:sz w:val="28"/>
          <w:szCs w:val="28"/>
          <w:highlight w:val="none"/>
        </w:rPr>
        <w:t>月</w:t>
      </w:r>
    </w:p>
    <w:p>
      <w:pPr>
        <w:pageBreakBefore/>
        <w:spacing w:before="312" w:beforeLines="100" w:line="480" w:lineRule="auto"/>
        <w:jc w:val="center"/>
        <w:rPr>
          <w:rFonts w:ascii="黑体" w:hAnsi="黑体" w:eastAsia="黑体" w:cs="Times New Roman"/>
          <w:b/>
          <w:spacing w:val="60"/>
          <w:sz w:val="32"/>
          <w:szCs w:val="32"/>
          <w:highlight w:val="none"/>
        </w:rPr>
      </w:pPr>
      <w:r>
        <w:rPr>
          <w:rFonts w:hint="eastAsia" w:ascii="黑体" w:hAnsi="黑体" w:eastAsia="黑体" w:cs="Times New Roman"/>
          <w:b/>
          <w:spacing w:val="60"/>
          <w:sz w:val="32"/>
          <w:szCs w:val="32"/>
          <w:highlight w:val="none"/>
        </w:rPr>
        <w:t>温馨提示</w:t>
      </w:r>
    </w:p>
    <w:p>
      <w:pPr>
        <w:numPr>
          <w:ilvl w:val="0"/>
          <w:numId w:val="1"/>
        </w:numPr>
        <w:spacing w:line="480" w:lineRule="auto"/>
        <w:jc w:val="left"/>
        <w:rPr>
          <w:rFonts w:ascii="黑体" w:hAnsi="黑体" w:eastAsia="黑体" w:cs="Times New Roman"/>
          <w:spacing w:val="-10"/>
          <w:szCs w:val="21"/>
          <w:highlight w:val="none"/>
        </w:rPr>
      </w:pPr>
      <w:r>
        <w:rPr>
          <w:rFonts w:hint="eastAsia" w:ascii="黑体" w:hAnsi="黑体" w:eastAsia="黑体" w:cs="Times New Roman"/>
          <w:szCs w:val="21"/>
          <w:highlight w:val="none"/>
        </w:rPr>
        <w:t>响应截止时间一到，本公司不接收任何响应文件，因此，请适当提前到达。</w:t>
      </w:r>
    </w:p>
    <w:p>
      <w:pPr>
        <w:numPr>
          <w:ilvl w:val="0"/>
          <w:numId w:val="1"/>
        </w:numPr>
        <w:spacing w:line="480" w:lineRule="auto"/>
        <w:jc w:val="left"/>
        <w:rPr>
          <w:rFonts w:ascii="黑体" w:hAnsi="黑体" w:eastAsia="黑体" w:cs="Times New Roman"/>
          <w:highlight w:val="none"/>
        </w:rPr>
      </w:pPr>
      <w:r>
        <w:rPr>
          <w:rFonts w:hint="eastAsia" w:ascii="黑体" w:hAnsi="黑体" w:eastAsia="黑体" w:cs="Times New Roman"/>
          <w:highlight w:val="none"/>
        </w:rPr>
        <w:t>请正确填写《首次报价一览表》。多包项目请仔细检查包号，包号跟包名称必须一致。</w:t>
      </w:r>
    </w:p>
    <w:p>
      <w:pPr>
        <w:numPr>
          <w:ilvl w:val="0"/>
          <w:numId w:val="1"/>
        </w:numPr>
        <w:spacing w:line="480" w:lineRule="auto"/>
        <w:jc w:val="left"/>
        <w:rPr>
          <w:rFonts w:ascii="黑体" w:hAnsi="黑体" w:eastAsia="黑体" w:cs="Times New Roman"/>
          <w:highlight w:val="none"/>
        </w:rPr>
      </w:pPr>
      <w:r>
        <w:rPr>
          <w:rFonts w:hint="eastAsia" w:ascii="黑体" w:hAnsi="黑体" w:eastAsia="黑体" w:cs="Times New Roman"/>
          <w:highlight w:val="none"/>
        </w:rPr>
        <w:t>请仔细检查《法定代表人授权委托书》、《谈判函》、《首次报价一览表》等重要格式文件是否有按要求盖公章、签名</w:t>
      </w:r>
      <w:r>
        <w:rPr>
          <w:rFonts w:hint="eastAsia" w:ascii="黑体" w:hAnsi="黑体" w:eastAsia="黑体"/>
          <w:highlight w:val="none"/>
        </w:rPr>
        <w:t>（或盖私章）、签署日期。</w:t>
      </w:r>
    </w:p>
    <w:p>
      <w:pPr>
        <w:numPr>
          <w:ilvl w:val="0"/>
          <w:numId w:val="1"/>
        </w:numPr>
        <w:spacing w:line="480" w:lineRule="auto"/>
        <w:jc w:val="left"/>
        <w:rPr>
          <w:rFonts w:ascii="黑体" w:hAnsi="黑体" w:eastAsia="黑体" w:cs="Times New Roman"/>
          <w:highlight w:val="none"/>
        </w:rPr>
      </w:pPr>
      <w:r>
        <w:rPr>
          <w:rFonts w:hint="eastAsia" w:ascii="黑体" w:hAnsi="黑体" w:eastAsia="黑体" w:cs="Times New Roman"/>
          <w:highlight w:val="none"/>
        </w:rPr>
        <w:t>加★号的条款必须一一响应。</w:t>
      </w:r>
    </w:p>
    <w:p>
      <w:pPr>
        <w:numPr>
          <w:ilvl w:val="0"/>
          <w:numId w:val="1"/>
        </w:numPr>
        <w:spacing w:line="480" w:lineRule="auto"/>
        <w:jc w:val="left"/>
        <w:rPr>
          <w:rFonts w:ascii="黑体" w:hAnsi="黑体" w:eastAsia="黑体" w:cs="Times New Roman"/>
          <w:highlight w:val="none"/>
        </w:rPr>
      </w:pPr>
      <w:r>
        <w:rPr>
          <w:rFonts w:hint="eastAsia" w:ascii="黑体" w:hAnsi="黑体" w:eastAsia="黑体" w:cs="Times New Roman"/>
          <w:szCs w:val="21"/>
          <w:highlight w:val="none"/>
        </w:rPr>
        <w:t>响应文件</w:t>
      </w:r>
      <w:r>
        <w:rPr>
          <w:rFonts w:hint="eastAsia" w:ascii="黑体" w:hAnsi="黑体" w:eastAsia="黑体" w:cs="Times New Roman"/>
          <w:highlight w:val="none"/>
        </w:rPr>
        <w:t>应按顺序编制页码。</w:t>
      </w:r>
    </w:p>
    <w:p>
      <w:pPr>
        <w:numPr>
          <w:ilvl w:val="0"/>
          <w:numId w:val="1"/>
        </w:numPr>
        <w:spacing w:line="480" w:lineRule="auto"/>
        <w:jc w:val="left"/>
        <w:rPr>
          <w:rFonts w:ascii="黑体" w:hAnsi="黑体" w:eastAsia="黑体"/>
          <w:highlight w:val="none"/>
        </w:rPr>
      </w:pPr>
      <w:r>
        <w:rPr>
          <w:rFonts w:ascii="黑体" w:hAnsi="黑体" w:eastAsia="黑体"/>
          <w:highlight w:val="none"/>
        </w:rPr>
        <w:t>我</w:t>
      </w:r>
      <w:r>
        <w:rPr>
          <w:rFonts w:hint="eastAsia" w:ascii="黑体" w:hAnsi="黑体" w:eastAsia="黑体"/>
          <w:highlight w:val="none"/>
        </w:rPr>
        <w:t>公司</w:t>
      </w:r>
      <w:r>
        <w:rPr>
          <w:rFonts w:ascii="黑体" w:hAnsi="黑体" w:eastAsia="黑体"/>
          <w:highlight w:val="none"/>
        </w:rPr>
        <w:t>为采购代理机构，不对</w:t>
      </w:r>
      <w:r>
        <w:rPr>
          <w:rFonts w:hint="eastAsia" w:ascii="黑体" w:hAnsi="黑体" w:eastAsia="黑体"/>
          <w:highlight w:val="none"/>
        </w:rPr>
        <w:t>供应商获取</w:t>
      </w:r>
      <w:r>
        <w:rPr>
          <w:rFonts w:ascii="黑体" w:hAnsi="黑体" w:eastAsia="黑体"/>
          <w:highlight w:val="none"/>
        </w:rPr>
        <w:t>采购文件时提交的相关资料的</w:t>
      </w:r>
      <w:r>
        <w:rPr>
          <w:rFonts w:hint="eastAsia" w:ascii="黑体" w:hAnsi="黑体" w:eastAsia="黑体"/>
          <w:highlight w:val="none"/>
        </w:rPr>
        <w:t>真实性负责，</w:t>
      </w:r>
      <w:r>
        <w:rPr>
          <w:rFonts w:ascii="黑体" w:hAnsi="黑体" w:eastAsia="黑体"/>
          <w:highlight w:val="none"/>
        </w:rPr>
        <w:t>如</w:t>
      </w:r>
      <w:r>
        <w:rPr>
          <w:rFonts w:hint="eastAsia" w:ascii="黑体" w:hAnsi="黑体" w:eastAsia="黑体"/>
          <w:highlight w:val="none"/>
        </w:rPr>
        <w:t>供应商</w:t>
      </w:r>
      <w:r>
        <w:rPr>
          <w:rFonts w:ascii="黑体" w:hAnsi="黑体" w:eastAsia="黑体"/>
          <w:highlight w:val="none"/>
        </w:rPr>
        <w:t>发现相关资料被盗用或复制，</w:t>
      </w:r>
      <w:r>
        <w:rPr>
          <w:rFonts w:hint="eastAsia" w:ascii="黑体" w:hAnsi="黑体" w:eastAsia="黑体"/>
          <w:highlight w:val="none"/>
        </w:rPr>
        <w:t>应</w:t>
      </w:r>
      <w:r>
        <w:rPr>
          <w:rFonts w:ascii="黑体" w:hAnsi="黑体" w:eastAsia="黑体"/>
          <w:highlight w:val="none"/>
        </w:rPr>
        <w:t>遵循法律途径解决，追究侵权者责任。</w:t>
      </w:r>
    </w:p>
    <w:p>
      <w:pPr>
        <w:tabs>
          <w:tab w:val="left" w:pos="709"/>
        </w:tabs>
        <w:spacing w:line="600" w:lineRule="exact"/>
        <w:ind w:left="420"/>
        <w:rPr>
          <w:rFonts w:ascii="黑体" w:hAnsi="黑体" w:eastAsia="黑体"/>
          <w:b/>
          <w:sz w:val="32"/>
          <w:szCs w:val="32"/>
          <w:highlight w:val="none"/>
        </w:rPr>
      </w:pPr>
      <w:r>
        <w:rPr>
          <w:rFonts w:hint="eastAsia" w:ascii="黑体" w:hAnsi="黑体" w:eastAsia="黑体"/>
          <w:b/>
          <w:highlight w:val="none"/>
        </w:rPr>
        <w:t xml:space="preserve"> (本提示内容非采购文件的组成部分，仅为善意提醒。如有不一致，以采购文件为准。)</w:t>
      </w:r>
    </w:p>
    <w:sdt>
      <w:sdtPr>
        <w:rPr>
          <w:rFonts w:ascii="黑体" w:hAnsi="黑体" w:eastAsia="黑体" w:cstheme="minorBidi"/>
          <w:b w:val="0"/>
          <w:bCs w:val="0"/>
          <w:color w:val="auto"/>
          <w:kern w:val="2"/>
          <w:sz w:val="21"/>
          <w:szCs w:val="22"/>
          <w:highlight w:val="none"/>
          <w:lang w:val="zh-CN"/>
        </w:rPr>
        <w:id w:val="15309391"/>
        <w:docPartObj>
          <w:docPartGallery w:val="Table of Contents"/>
          <w:docPartUnique/>
        </w:docPartObj>
      </w:sdtPr>
      <w:sdtEndPr>
        <w:rPr>
          <w:rFonts w:ascii="黑体" w:hAnsi="黑体" w:eastAsia="黑体" w:cstheme="minorBidi"/>
          <w:b w:val="0"/>
          <w:bCs w:val="0"/>
          <w:color w:val="auto"/>
          <w:kern w:val="2"/>
          <w:sz w:val="21"/>
          <w:szCs w:val="21"/>
          <w:highlight w:val="none"/>
          <w:lang w:val="en-US"/>
        </w:rPr>
      </w:sdtEndPr>
      <w:sdtContent>
        <w:p>
          <w:pPr>
            <w:pStyle w:val="43"/>
            <w:keepNext w:val="0"/>
            <w:keepLines w:val="0"/>
            <w:pageBreakBefore/>
            <w:widowControl w:val="0"/>
            <w:spacing w:line="360" w:lineRule="auto"/>
            <w:jc w:val="center"/>
            <w:rPr>
              <w:rFonts w:ascii="黑体" w:hAnsi="黑体" w:eastAsia="黑体"/>
              <w:b w:val="0"/>
              <w:color w:val="auto"/>
              <w:highlight w:val="none"/>
            </w:rPr>
          </w:pPr>
          <w:r>
            <w:rPr>
              <w:rFonts w:ascii="黑体" w:hAnsi="黑体" w:eastAsia="黑体"/>
              <w:b w:val="0"/>
              <w:color w:val="auto"/>
              <w:highlight w:val="none"/>
              <w:lang w:val="zh-CN"/>
            </w:rPr>
            <w:t>目</w:t>
          </w:r>
          <w:r>
            <w:rPr>
              <w:rFonts w:hint="eastAsia" w:ascii="黑体" w:hAnsi="黑体" w:eastAsia="黑体"/>
              <w:b w:val="0"/>
              <w:color w:val="auto"/>
              <w:highlight w:val="none"/>
              <w:lang w:val="zh-CN"/>
            </w:rPr>
            <w:t xml:space="preserve">    </w:t>
          </w:r>
          <w:r>
            <w:rPr>
              <w:rFonts w:ascii="黑体" w:hAnsi="黑体" w:eastAsia="黑体"/>
              <w:b w:val="0"/>
              <w:color w:val="auto"/>
              <w:highlight w:val="none"/>
              <w:lang w:val="zh-CN"/>
            </w:rPr>
            <w:t>录</w:t>
          </w:r>
        </w:p>
        <w:p>
          <w:pPr>
            <w:pStyle w:val="14"/>
            <w:tabs>
              <w:tab w:val="right" w:leader="dot" w:pos="8405"/>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TOC \o "1-3" \h \z \u </w:instrText>
          </w:r>
          <w:r>
            <w:rPr>
              <w:rFonts w:ascii="黑体" w:hAnsi="黑体" w:eastAsia="黑体"/>
              <w:szCs w:val="21"/>
              <w:highlight w:val="none"/>
            </w:rPr>
            <w:fldChar w:fldCharType="separate"/>
          </w:r>
          <w:r>
            <w:rPr>
              <w:rFonts w:ascii="黑体" w:hAnsi="黑体" w:eastAsia="黑体"/>
              <w:szCs w:val="21"/>
              <w:highlight w:val="none"/>
            </w:rPr>
            <w:fldChar w:fldCharType="begin"/>
          </w:r>
          <w:r>
            <w:rPr>
              <w:rFonts w:ascii="黑体" w:hAnsi="黑体" w:eastAsia="黑体"/>
              <w:szCs w:val="21"/>
              <w:highlight w:val="none"/>
            </w:rPr>
            <w:instrText xml:space="preserve"> HYPERLINK \l _Toc5726 </w:instrText>
          </w:r>
          <w:r>
            <w:rPr>
              <w:rFonts w:ascii="黑体" w:hAnsi="黑体" w:eastAsia="黑体"/>
              <w:szCs w:val="21"/>
              <w:highlight w:val="none"/>
            </w:rPr>
            <w:fldChar w:fldCharType="separate"/>
          </w:r>
          <w:r>
            <w:rPr>
              <w:rFonts w:hint="eastAsia" w:ascii="黑体" w:hAnsi="黑体" w:eastAsia="黑体"/>
              <w:spacing w:val="20"/>
              <w:szCs w:val="32"/>
              <w:highlight w:val="none"/>
            </w:rPr>
            <w:t>第一部分 谈判邀请函</w:t>
          </w:r>
          <w:r>
            <w:tab/>
          </w:r>
          <w:r>
            <w:fldChar w:fldCharType="begin"/>
          </w:r>
          <w:r>
            <w:instrText xml:space="preserve"> PAGEREF _Toc5726 \h </w:instrText>
          </w:r>
          <w:r>
            <w:fldChar w:fldCharType="separate"/>
          </w:r>
          <w:r>
            <w:t>5</w:t>
          </w:r>
          <w:r>
            <w:fldChar w:fldCharType="end"/>
          </w:r>
          <w:r>
            <w:rPr>
              <w:rFonts w:ascii="黑体" w:hAnsi="黑体" w:eastAsia="黑体"/>
              <w:szCs w:val="21"/>
              <w:highlight w:val="none"/>
            </w:rPr>
            <w:fldChar w:fldCharType="end"/>
          </w:r>
        </w:p>
        <w:p>
          <w:pPr>
            <w:pStyle w:val="14"/>
            <w:tabs>
              <w:tab w:val="right" w:leader="dot" w:pos="8405"/>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_Toc29930 </w:instrText>
          </w:r>
          <w:r>
            <w:rPr>
              <w:rFonts w:ascii="黑体" w:hAnsi="黑体" w:eastAsia="黑体"/>
              <w:szCs w:val="21"/>
              <w:highlight w:val="none"/>
            </w:rPr>
            <w:fldChar w:fldCharType="separate"/>
          </w:r>
          <w:r>
            <w:rPr>
              <w:rFonts w:hint="eastAsia" w:ascii="黑体" w:hAnsi="黑体" w:eastAsia="黑体"/>
              <w:spacing w:val="20"/>
              <w:kern w:val="44"/>
              <w:szCs w:val="32"/>
              <w:highlight w:val="none"/>
            </w:rPr>
            <w:t>第二部分</w:t>
          </w:r>
          <w:r>
            <w:rPr>
              <w:rFonts w:ascii="黑体" w:hAnsi="黑体" w:eastAsia="黑体"/>
              <w:spacing w:val="20"/>
              <w:kern w:val="44"/>
              <w:szCs w:val="32"/>
              <w:highlight w:val="none"/>
            </w:rPr>
            <w:t xml:space="preserve"> </w:t>
          </w:r>
          <w:r>
            <w:rPr>
              <w:rFonts w:hint="eastAsia" w:ascii="黑体" w:hAnsi="黑体" w:eastAsia="黑体"/>
              <w:spacing w:val="20"/>
              <w:kern w:val="44"/>
              <w:szCs w:val="32"/>
              <w:highlight w:val="none"/>
            </w:rPr>
            <w:t>采购需求</w:t>
          </w:r>
          <w:r>
            <w:tab/>
          </w:r>
          <w:r>
            <w:fldChar w:fldCharType="begin"/>
          </w:r>
          <w:r>
            <w:instrText xml:space="preserve"> PAGEREF _Toc29930 \h </w:instrText>
          </w:r>
          <w:r>
            <w:fldChar w:fldCharType="separate"/>
          </w:r>
          <w:r>
            <w:t>9</w:t>
          </w:r>
          <w:r>
            <w:fldChar w:fldCharType="end"/>
          </w:r>
          <w:r>
            <w:rPr>
              <w:rFonts w:ascii="黑体" w:hAnsi="黑体" w:eastAsia="黑体"/>
              <w:szCs w:val="21"/>
              <w:highlight w:val="none"/>
            </w:rPr>
            <w:fldChar w:fldCharType="end"/>
          </w:r>
        </w:p>
        <w:p>
          <w:pPr>
            <w:pStyle w:val="14"/>
            <w:tabs>
              <w:tab w:val="right" w:leader="dot" w:pos="8405"/>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_Toc1543 </w:instrText>
          </w:r>
          <w:r>
            <w:rPr>
              <w:rFonts w:ascii="黑体" w:hAnsi="黑体" w:eastAsia="黑体"/>
              <w:szCs w:val="21"/>
              <w:highlight w:val="none"/>
            </w:rPr>
            <w:fldChar w:fldCharType="separate"/>
          </w:r>
          <w:r>
            <w:rPr>
              <w:rFonts w:hint="eastAsia" w:ascii="黑体" w:hAnsi="黑体" w:eastAsia="黑体"/>
              <w:spacing w:val="20"/>
              <w:szCs w:val="32"/>
              <w:highlight w:val="none"/>
            </w:rPr>
            <w:t>第三部分 谈判须知前附表</w:t>
          </w:r>
          <w:r>
            <w:tab/>
          </w:r>
          <w:r>
            <w:fldChar w:fldCharType="begin"/>
          </w:r>
          <w:r>
            <w:instrText xml:space="preserve"> PAGEREF _Toc1543 \h </w:instrText>
          </w:r>
          <w:r>
            <w:fldChar w:fldCharType="separate"/>
          </w:r>
          <w:r>
            <w:t>20</w:t>
          </w:r>
          <w:r>
            <w:fldChar w:fldCharType="end"/>
          </w:r>
          <w:r>
            <w:rPr>
              <w:rFonts w:ascii="黑体" w:hAnsi="黑体" w:eastAsia="黑体"/>
              <w:szCs w:val="21"/>
              <w:highlight w:val="none"/>
            </w:rPr>
            <w:fldChar w:fldCharType="end"/>
          </w:r>
        </w:p>
        <w:p>
          <w:pPr>
            <w:pStyle w:val="14"/>
            <w:tabs>
              <w:tab w:val="right" w:leader="dot" w:pos="8405"/>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_Toc16225 </w:instrText>
          </w:r>
          <w:r>
            <w:rPr>
              <w:rFonts w:ascii="黑体" w:hAnsi="黑体" w:eastAsia="黑体"/>
              <w:szCs w:val="21"/>
              <w:highlight w:val="none"/>
            </w:rPr>
            <w:fldChar w:fldCharType="separate"/>
          </w:r>
          <w:r>
            <w:rPr>
              <w:rFonts w:hint="eastAsia" w:ascii="黑体" w:hAnsi="黑体" w:eastAsia="黑体"/>
              <w:spacing w:val="20"/>
              <w:szCs w:val="32"/>
              <w:highlight w:val="none"/>
            </w:rPr>
            <w:t>第四部分 谈判须知</w:t>
          </w:r>
          <w:r>
            <w:tab/>
          </w:r>
          <w:r>
            <w:fldChar w:fldCharType="begin"/>
          </w:r>
          <w:r>
            <w:instrText xml:space="preserve"> PAGEREF _Toc16225 \h </w:instrText>
          </w:r>
          <w:r>
            <w:fldChar w:fldCharType="separate"/>
          </w:r>
          <w:r>
            <w:t>21</w:t>
          </w:r>
          <w:r>
            <w:fldChar w:fldCharType="end"/>
          </w:r>
          <w:r>
            <w:rPr>
              <w:rFonts w:ascii="黑体" w:hAnsi="黑体" w:eastAsia="黑体"/>
              <w:szCs w:val="21"/>
              <w:highlight w:val="none"/>
            </w:rPr>
            <w:fldChar w:fldCharType="end"/>
          </w:r>
        </w:p>
        <w:p>
          <w:pPr>
            <w:pStyle w:val="15"/>
            <w:tabs>
              <w:tab w:val="right" w:leader="dot" w:pos="8405"/>
              <w:tab w:val="clear" w:pos="426"/>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_Toc13425 </w:instrText>
          </w:r>
          <w:r>
            <w:rPr>
              <w:rFonts w:ascii="黑体" w:hAnsi="黑体" w:eastAsia="黑体"/>
              <w:szCs w:val="21"/>
              <w:highlight w:val="none"/>
            </w:rPr>
            <w:fldChar w:fldCharType="separate"/>
          </w:r>
          <w:r>
            <w:rPr>
              <w:rFonts w:hint="eastAsia" w:ascii="黑体" w:hAnsi="黑体" w:eastAsia="黑体"/>
              <w:i w:val="0"/>
              <w:szCs w:val="21"/>
            </w:rPr>
            <w:t xml:space="preserve">一 </w:t>
          </w:r>
          <w:r>
            <w:rPr>
              <w:rFonts w:hint="eastAsia" w:ascii="黑体" w:hAnsi="黑体" w:eastAsia="黑体"/>
              <w:szCs w:val="21"/>
              <w:highlight w:val="none"/>
            </w:rPr>
            <w:t>说明</w:t>
          </w:r>
          <w:r>
            <w:tab/>
          </w:r>
          <w:r>
            <w:fldChar w:fldCharType="begin"/>
          </w:r>
          <w:r>
            <w:instrText xml:space="preserve"> PAGEREF _Toc13425 \h </w:instrText>
          </w:r>
          <w:r>
            <w:fldChar w:fldCharType="separate"/>
          </w:r>
          <w:r>
            <w:t>21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_Toc31826 </w:instrText>
          </w:r>
          <w:r>
            <w:rPr>
              <w:rFonts w:ascii="黑体" w:hAnsi="黑体" w:eastAsia="黑体"/>
              <w:szCs w:val="21"/>
              <w:highlight w:val="none"/>
            </w:rPr>
            <w:fldChar w:fldCharType="separate"/>
          </w:r>
          <w:r>
            <w:rPr>
              <w:rFonts w:hint="eastAsia" w:ascii="黑体" w:hAnsi="黑体" w:eastAsia="黑体"/>
              <w:szCs w:val="21"/>
            </w:rPr>
            <w:t xml:space="preserve">1 </w:t>
          </w:r>
          <w:r>
            <w:rPr>
              <w:rFonts w:hint="eastAsia" w:ascii="黑体" w:hAnsi="黑体" w:eastAsia="黑体"/>
              <w:szCs w:val="21"/>
              <w:highlight w:val="none"/>
            </w:rPr>
            <w:t>适用范围及资金来源</w:t>
          </w:r>
          <w:r>
            <w:tab/>
          </w:r>
          <w:r>
            <w:fldChar w:fldCharType="begin"/>
          </w:r>
          <w:r>
            <w:instrText xml:space="preserve"> PAGEREF _Toc31826 \h </w:instrText>
          </w:r>
          <w:r>
            <w:fldChar w:fldCharType="separate"/>
          </w:r>
          <w:r>
            <w:t>21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_Toc20526 </w:instrText>
          </w:r>
          <w:r>
            <w:rPr>
              <w:rFonts w:ascii="黑体" w:hAnsi="黑体" w:eastAsia="黑体"/>
              <w:szCs w:val="21"/>
              <w:highlight w:val="none"/>
            </w:rPr>
            <w:fldChar w:fldCharType="separate"/>
          </w:r>
          <w:r>
            <w:rPr>
              <w:rFonts w:hint="eastAsia" w:ascii="黑体" w:hAnsi="黑体" w:eastAsia="黑体"/>
              <w:szCs w:val="21"/>
            </w:rPr>
            <w:t xml:space="preserve">2 </w:t>
          </w:r>
          <w:r>
            <w:rPr>
              <w:rFonts w:hint="eastAsia" w:ascii="黑体" w:hAnsi="黑体" w:eastAsia="黑体"/>
              <w:szCs w:val="21"/>
              <w:highlight w:val="none"/>
            </w:rPr>
            <w:t>定义</w:t>
          </w:r>
          <w:r>
            <w:tab/>
          </w:r>
          <w:r>
            <w:fldChar w:fldCharType="begin"/>
          </w:r>
          <w:r>
            <w:instrText xml:space="preserve"> PAGEREF _Toc20526 \h </w:instrText>
          </w:r>
          <w:r>
            <w:fldChar w:fldCharType="separate"/>
          </w:r>
          <w:r>
            <w:t>21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_Toc12302 </w:instrText>
          </w:r>
          <w:r>
            <w:rPr>
              <w:rFonts w:ascii="黑体" w:hAnsi="黑体" w:eastAsia="黑体"/>
              <w:szCs w:val="21"/>
              <w:highlight w:val="none"/>
            </w:rPr>
            <w:fldChar w:fldCharType="separate"/>
          </w:r>
          <w:r>
            <w:rPr>
              <w:rFonts w:hint="eastAsia" w:ascii="黑体" w:hAnsi="黑体" w:eastAsia="黑体"/>
              <w:szCs w:val="21"/>
            </w:rPr>
            <w:t xml:space="preserve">3 </w:t>
          </w:r>
          <w:r>
            <w:rPr>
              <w:rFonts w:hint="eastAsia" w:ascii="黑体" w:hAnsi="黑体" w:eastAsia="黑体"/>
              <w:szCs w:val="21"/>
              <w:highlight w:val="none"/>
            </w:rPr>
            <w:t>合格的货物和服务</w:t>
          </w:r>
          <w:r>
            <w:tab/>
          </w:r>
          <w:r>
            <w:fldChar w:fldCharType="begin"/>
          </w:r>
          <w:r>
            <w:instrText xml:space="preserve"> PAGEREF _Toc12302 \h </w:instrText>
          </w:r>
          <w:r>
            <w:fldChar w:fldCharType="separate"/>
          </w:r>
          <w:r>
            <w:t>21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_Toc9282 </w:instrText>
          </w:r>
          <w:r>
            <w:rPr>
              <w:rFonts w:ascii="黑体" w:hAnsi="黑体" w:eastAsia="黑体"/>
              <w:szCs w:val="21"/>
              <w:highlight w:val="none"/>
            </w:rPr>
            <w:fldChar w:fldCharType="separate"/>
          </w:r>
          <w:r>
            <w:rPr>
              <w:rFonts w:hint="eastAsia" w:ascii="黑体" w:hAnsi="黑体" w:eastAsia="黑体"/>
              <w:szCs w:val="21"/>
            </w:rPr>
            <w:t xml:space="preserve">4 </w:t>
          </w:r>
          <w:r>
            <w:rPr>
              <w:rFonts w:hint="eastAsia" w:ascii="黑体" w:hAnsi="黑体" w:eastAsia="黑体"/>
              <w:szCs w:val="21"/>
              <w:highlight w:val="none"/>
            </w:rPr>
            <w:t>谈判费用</w:t>
          </w:r>
          <w:r>
            <w:tab/>
          </w:r>
          <w:r>
            <w:fldChar w:fldCharType="begin"/>
          </w:r>
          <w:r>
            <w:instrText xml:space="preserve"> PAGEREF _Toc9282 \h </w:instrText>
          </w:r>
          <w:r>
            <w:fldChar w:fldCharType="separate"/>
          </w:r>
          <w:r>
            <w:t>22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_Toc22937 </w:instrText>
          </w:r>
          <w:r>
            <w:rPr>
              <w:rFonts w:ascii="黑体" w:hAnsi="黑体" w:eastAsia="黑体"/>
              <w:szCs w:val="21"/>
              <w:highlight w:val="none"/>
            </w:rPr>
            <w:fldChar w:fldCharType="separate"/>
          </w:r>
          <w:r>
            <w:rPr>
              <w:rFonts w:hint="eastAsia" w:ascii="黑体" w:hAnsi="黑体" w:eastAsia="黑体"/>
              <w:szCs w:val="21"/>
            </w:rPr>
            <w:t xml:space="preserve">5 </w:t>
          </w:r>
          <w:r>
            <w:rPr>
              <w:rFonts w:hint="eastAsia" w:ascii="黑体" w:hAnsi="黑体" w:eastAsia="黑体"/>
              <w:szCs w:val="21"/>
              <w:highlight w:val="none"/>
            </w:rPr>
            <w:t>联合体谈判（适用于联合体谈判项目）</w:t>
          </w:r>
          <w:r>
            <w:tab/>
          </w:r>
          <w:r>
            <w:fldChar w:fldCharType="begin"/>
          </w:r>
          <w:r>
            <w:instrText xml:space="preserve"> PAGEREF _Toc22937 \h </w:instrText>
          </w:r>
          <w:r>
            <w:fldChar w:fldCharType="separate"/>
          </w:r>
          <w:r>
            <w:t>22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_Toc23405 </w:instrText>
          </w:r>
          <w:r>
            <w:rPr>
              <w:rFonts w:ascii="黑体" w:hAnsi="黑体" w:eastAsia="黑体"/>
              <w:szCs w:val="21"/>
              <w:highlight w:val="none"/>
            </w:rPr>
            <w:fldChar w:fldCharType="separate"/>
          </w:r>
          <w:r>
            <w:rPr>
              <w:rFonts w:hint="eastAsia" w:ascii="黑体" w:hAnsi="黑体" w:eastAsia="黑体"/>
              <w:szCs w:val="21"/>
            </w:rPr>
            <w:t xml:space="preserve">6 </w:t>
          </w:r>
          <w:r>
            <w:rPr>
              <w:rFonts w:hint="eastAsia" w:ascii="黑体" w:hAnsi="黑体" w:eastAsia="黑体"/>
              <w:szCs w:val="21"/>
              <w:highlight w:val="none"/>
            </w:rPr>
            <w:t>政府采购信用担保</w:t>
          </w:r>
          <w:r>
            <w:tab/>
          </w:r>
          <w:r>
            <w:fldChar w:fldCharType="begin"/>
          </w:r>
          <w:r>
            <w:instrText xml:space="preserve"> PAGEREF _Toc23405 \h </w:instrText>
          </w:r>
          <w:r>
            <w:fldChar w:fldCharType="separate"/>
          </w:r>
          <w:r>
            <w:t>22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_Toc10582 </w:instrText>
          </w:r>
          <w:r>
            <w:rPr>
              <w:rFonts w:ascii="黑体" w:hAnsi="黑体" w:eastAsia="黑体"/>
              <w:szCs w:val="21"/>
              <w:highlight w:val="none"/>
            </w:rPr>
            <w:fldChar w:fldCharType="separate"/>
          </w:r>
          <w:r>
            <w:rPr>
              <w:rFonts w:hint="eastAsia" w:ascii="黑体" w:hAnsi="黑体" w:eastAsia="黑体"/>
              <w:bCs w:val="0"/>
              <w:i w:val="0"/>
              <w:szCs w:val="21"/>
            </w:rPr>
            <w:t xml:space="preserve">二 </w:t>
          </w:r>
          <w:r>
            <w:rPr>
              <w:rFonts w:hint="eastAsia" w:ascii="黑体" w:hAnsi="黑体" w:eastAsia="黑体"/>
              <w:bCs w:val="0"/>
              <w:szCs w:val="21"/>
              <w:highlight w:val="none"/>
            </w:rPr>
            <w:t>采购文件</w:t>
          </w:r>
          <w:r>
            <w:tab/>
          </w:r>
          <w:r>
            <w:fldChar w:fldCharType="begin"/>
          </w:r>
          <w:r>
            <w:instrText xml:space="preserve"> PAGEREF _Toc10582 \h </w:instrText>
          </w:r>
          <w:r>
            <w:fldChar w:fldCharType="separate"/>
          </w:r>
          <w:r>
            <w:t>23</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_Toc23200 </w:instrText>
          </w:r>
          <w:r>
            <w:rPr>
              <w:rFonts w:ascii="黑体" w:hAnsi="黑体" w:eastAsia="黑体"/>
              <w:szCs w:val="21"/>
              <w:highlight w:val="none"/>
            </w:rPr>
            <w:fldChar w:fldCharType="separate"/>
          </w:r>
          <w:r>
            <w:rPr>
              <w:rFonts w:hint="eastAsia" w:ascii="黑体" w:hAnsi="黑体" w:eastAsia="黑体"/>
              <w:szCs w:val="21"/>
            </w:rPr>
            <w:t xml:space="preserve">7 </w:t>
          </w:r>
          <w:r>
            <w:rPr>
              <w:rFonts w:hint="eastAsia" w:ascii="黑体" w:hAnsi="黑体" w:eastAsia="黑体"/>
              <w:szCs w:val="21"/>
              <w:highlight w:val="none"/>
            </w:rPr>
            <w:t>采购文件的组成</w:t>
          </w:r>
          <w:r>
            <w:tab/>
          </w:r>
          <w:r>
            <w:fldChar w:fldCharType="begin"/>
          </w:r>
          <w:r>
            <w:instrText xml:space="preserve"> PAGEREF _Toc23200 \h </w:instrText>
          </w:r>
          <w:r>
            <w:fldChar w:fldCharType="separate"/>
          </w:r>
          <w:r>
            <w:t>23</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_Toc30240 </w:instrText>
          </w:r>
          <w:r>
            <w:rPr>
              <w:rFonts w:ascii="黑体" w:hAnsi="黑体" w:eastAsia="黑体"/>
              <w:szCs w:val="21"/>
              <w:highlight w:val="none"/>
            </w:rPr>
            <w:fldChar w:fldCharType="separate"/>
          </w:r>
          <w:r>
            <w:rPr>
              <w:rFonts w:hint="eastAsia" w:ascii="黑体" w:hAnsi="黑体" w:eastAsia="黑体"/>
              <w:szCs w:val="21"/>
            </w:rPr>
            <w:t xml:space="preserve">8 </w:t>
          </w:r>
          <w:r>
            <w:rPr>
              <w:rFonts w:hint="eastAsia" w:ascii="黑体" w:hAnsi="黑体" w:eastAsia="黑体"/>
              <w:szCs w:val="21"/>
              <w:highlight w:val="none"/>
            </w:rPr>
            <w:t>采购文件的答疑、澄清或修改</w:t>
          </w:r>
          <w:r>
            <w:tab/>
          </w:r>
          <w:r>
            <w:fldChar w:fldCharType="begin"/>
          </w:r>
          <w:r>
            <w:instrText xml:space="preserve"> PAGEREF _Toc30240 \h </w:instrText>
          </w:r>
          <w:r>
            <w:fldChar w:fldCharType="separate"/>
          </w:r>
          <w:r>
            <w:t>23</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_Toc21553 </w:instrText>
          </w:r>
          <w:r>
            <w:rPr>
              <w:rFonts w:ascii="黑体" w:hAnsi="黑体" w:eastAsia="黑体"/>
              <w:szCs w:val="21"/>
              <w:highlight w:val="none"/>
            </w:rPr>
            <w:fldChar w:fldCharType="separate"/>
          </w:r>
          <w:r>
            <w:rPr>
              <w:rFonts w:hint="eastAsia" w:ascii="黑体" w:hAnsi="黑体" w:eastAsia="黑体"/>
              <w:bCs w:val="0"/>
              <w:i w:val="0"/>
              <w:szCs w:val="21"/>
            </w:rPr>
            <w:t xml:space="preserve">三 </w:t>
          </w:r>
          <w:r>
            <w:rPr>
              <w:rFonts w:hint="eastAsia" w:ascii="黑体" w:hAnsi="黑体" w:eastAsia="黑体"/>
              <w:bCs w:val="0"/>
              <w:szCs w:val="21"/>
              <w:highlight w:val="none"/>
            </w:rPr>
            <w:t>响应文件的编制</w:t>
          </w:r>
          <w:r>
            <w:tab/>
          </w:r>
          <w:r>
            <w:fldChar w:fldCharType="begin"/>
          </w:r>
          <w:r>
            <w:instrText xml:space="preserve"> PAGEREF _Toc21553 \h </w:instrText>
          </w:r>
          <w:r>
            <w:fldChar w:fldCharType="separate"/>
          </w:r>
          <w:r>
            <w:t>24</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_Toc11328 </w:instrText>
          </w:r>
          <w:r>
            <w:rPr>
              <w:rFonts w:ascii="黑体" w:hAnsi="黑体" w:eastAsia="黑体"/>
              <w:szCs w:val="21"/>
              <w:highlight w:val="none"/>
            </w:rPr>
            <w:fldChar w:fldCharType="separate"/>
          </w:r>
          <w:r>
            <w:rPr>
              <w:rFonts w:hint="eastAsia" w:ascii="黑体" w:hAnsi="黑体" w:eastAsia="黑体"/>
              <w:szCs w:val="21"/>
            </w:rPr>
            <w:t xml:space="preserve">9 </w:t>
          </w:r>
          <w:r>
            <w:rPr>
              <w:rFonts w:hint="eastAsia" w:ascii="黑体" w:hAnsi="黑体" w:eastAsia="黑体"/>
              <w:szCs w:val="21"/>
              <w:highlight w:val="none"/>
            </w:rPr>
            <w:t>响应文件的语言及度量衡单位</w:t>
          </w:r>
          <w:r>
            <w:tab/>
          </w:r>
          <w:r>
            <w:fldChar w:fldCharType="begin"/>
          </w:r>
          <w:r>
            <w:instrText xml:space="preserve"> PAGEREF _Toc11328 \h </w:instrText>
          </w:r>
          <w:r>
            <w:fldChar w:fldCharType="separate"/>
          </w:r>
          <w:r>
            <w:t>24</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_Toc388 </w:instrText>
          </w:r>
          <w:r>
            <w:rPr>
              <w:rFonts w:ascii="黑体" w:hAnsi="黑体" w:eastAsia="黑体"/>
              <w:szCs w:val="21"/>
              <w:highlight w:val="none"/>
            </w:rPr>
            <w:fldChar w:fldCharType="separate"/>
          </w:r>
          <w:r>
            <w:rPr>
              <w:rFonts w:hint="eastAsia" w:ascii="黑体" w:hAnsi="黑体" w:eastAsia="黑体"/>
              <w:szCs w:val="21"/>
            </w:rPr>
            <w:t xml:space="preserve">10 </w:t>
          </w:r>
          <w:r>
            <w:rPr>
              <w:rFonts w:ascii="黑体" w:hAnsi="黑体" w:eastAsia="黑体"/>
              <w:szCs w:val="21"/>
              <w:highlight w:val="none"/>
            </w:rPr>
            <w:t>响应文件的组成</w:t>
          </w:r>
          <w:r>
            <w:tab/>
          </w:r>
          <w:r>
            <w:fldChar w:fldCharType="begin"/>
          </w:r>
          <w:r>
            <w:instrText xml:space="preserve"> PAGEREF _Toc388 \h </w:instrText>
          </w:r>
          <w:r>
            <w:fldChar w:fldCharType="separate"/>
          </w:r>
          <w:r>
            <w:t>24</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_Toc3280 </w:instrText>
          </w:r>
          <w:r>
            <w:rPr>
              <w:rFonts w:ascii="黑体" w:hAnsi="黑体" w:eastAsia="黑体"/>
              <w:szCs w:val="21"/>
              <w:highlight w:val="none"/>
            </w:rPr>
            <w:fldChar w:fldCharType="separate"/>
          </w:r>
          <w:r>
            <w:rPr>
              <w:rFonts w:hint="eastAsia" w:ascii="黑体" w:hAnsi="黑体" w:eastAsia="黑体"/>
              <w:szCs w:val="21"/>
            </w:rPr>
            <w:t xml:space="preserve">11 </w:t>
          </w:r>
          <w:r>
            <w:rPr>
              <w:rFonts w:hint="eastAsia" w:ascii="黑体" w:hAnsi="黑体" w:eastAsia="黑体"/>
              <w:szCs w:val="21"/>
              <w:highlight w:val="none"/>
            </w:rPr>
            <w:t>响应文件格式</w:t>
          </w:r>
          <w:r>
            <w:tab/>
          </w:r>
          <w:r>
            <w:fldChar w:fldCharType="begin"/>
          </w:r>
          <w:r>
            <w:instrText xml:space="preserve"> PAGEREF _Toc3280 \h </w:instrText>
          </w:r>
          <w:r>
            <w:fldChar w:fldCharType="separate"/>
          </w:r>
          <w:r>
            <w:t>24</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_Toc8017 </w:instrText>
          </w:r>
          <w:r>
            <w:rPr>
              <w:rFonts w:ascii="黑体" w:hAnsi="黑体" w:eastAsia="黑体"/>
              <w:szCs w:val="21"/>
              <w:highlight w:val="none"/>
            </w:rPr>
            <w:fldChar w:fldCharType="separate"/>
          </w:r>
          <w:r>
            <w:rPr>
              <w:rFonts w:hint="eastAsia" w:ascii="黑体" w:hAnsi="黑体" w:eastAsia="黑体"/>
              <w:szCs w:val="21"/>
            </w:rPr>
            <w:t xml:space="preserve">12 </w:t>
          </w:r>
          <w:r>
            <w:rPr>
              <w:rFonts w:hint="eastAsia" w:ascii="黑体" w:hAnsi="黑体" w:eastAsia="黑体"/>
              <w:szCs w:val="21"/>
              <w:highlight w:val="none"/>
            </w:rPr>
            <w:t>响应</w:t>
          </w:r>
          <w:r>
            <w:rPr>
              <w:rFonts w:ascii="黑体" w:hAnsi="黑体" w:eastAsia="黑体"/>
              <w:szCs w:val="21"/>
              <w:highlight w:val="none"/>
            </w:rPr>
            <w:t>文件的</w:t>
          </w:r>
          <w:r>
            <w:rPr>
              <w:rFonts w:hint="eastAsia" w:ascii="黑体" w:hAnsi="黑体" w:eastAsia="黑体"/>
              <w:szCs w:val="21"/>
              <w:highlight w:val="none"/>
            </w:rPr>
            <w:t>编制、数量和签署</w:t>
          </w:r>
          <w:r>
            <w:tab/>
          </w:r>
          <w:r>
            <w:fldChar w:fldCharType="begin"/>
          </w:r>
          <w:r>
            <w:instrText xml:space="preserve"> PAGEREF _Toc8017 \h </w:instrText>
          </w:r>
          <w:r>
            <w:fldChar w:fldCharType="separate"/>
          </w:r>
          <w:r>
            <w:t>24</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_Toc2453 </w:instrText>
          </w:r>
          <w:r>
            <w:rPr>
              <w:rFonts w:ascii="黑体" w:hAnsi="黑体" w:eastAsia="黑体"/>
              <w:szCs w:val="21"/>
              <w:highlight w:val="none"/>
            </w:rPr>
            <w:fldChar w:fldCharType="separate"/>
          </w:r>
          <w:r>
            <w:rPr>
              <w:rFonts w:hint="eastAsia" w:ascii="黑体" w:hAnsi="黑体" w:eastAsia="黑体"/>
              <w:szCs w:val="21"/>
            </w:rPr>
            <w:t xml:space="preserve">13 </w:t>
          </w:r>
          <w:r>
            <w:rPr>
              <w:rFonts w:hint="eastAsia" w:ascii="黑体" w:hAnsi="黑体" w:eastAsia="黑体"/>
              <w:szCs w:val="21"/>
              <w:highlight w:val="none"/>
            </w:rPr>
            <w:t>报价说明</w:t>
          </w:r>
          <w:r>
            <w:tab/>
          </w:r>
          <w:r>
            <w:fldChar w:fldCharType="begin"/>
          </w:r>
          <w:r>
            <w:instrText xml:space="preserve"> PAGEREF _Toc2453 \h </w:instrText>
          </w:r>
          <w:r>
            <w:fldChar w:fldCharType="separate"/>
          </w:r>
          <w:r>
            <w:t>25</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_Toc26786 </w:instrText>
          </w:r>
          <w:r>
            <w:rPr>
              <w:rFonts w:ascii="黑体" w:hAnsi="黑体" w:eastAsia="黑体"/>
              <w:szCs w:val="21"/>
              <w:highlight w:val="none"/>
            </w:rPr>
            <w:fldChar w:fldCharType="separate"/>
          </w:r>
          <w:r>
            <w:rPr>
              <w:rFonts w:hint="eastAsia" w:ascii="黑体" w:hAnsi="黑体" w:eastAsia="黑体"/>
              <w:szCs w:val="21"/>
            </w:rPr>
            <w:t xml:space="preserve">14 </w:t>
          </w:r>
          <w:r>
            <w:rPr>
              <w:rFonts w:hint="eastAsia" w:ascii="黑体" w:hAnsi="黑体" w:eastAsia="黑体"/>
              <w:szCs w:val="21"/>
              <w:highlight w:val="none"/>
            </w:rPr>
            <w:t>谈判货币</w:t>
          </w:r>
          <w:r>
            <w:tab/>
          </w:r>
          <w:r>
            <w:fldChar w:fldCharType="begin"/>
          </w:r>
          <w:r>
            <w:instrText xml:space="preserve"> PAGEREF _Toc26786 \h </w:instrText>
          </w:r>
          <w:r>
            <w:fldChar w:fldCharType="separate"/>
          </w:r>
          <w:r>
            <w:t>25</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_Toc10331 </w:instrText>
          </w:r>
          <w:r>
            <w:rPr>
              <w:rFonts w:ascii="黑体" w:hAnsi="黑体" w:eastAsia="黑体"/>
              <w:szCs w:val="21"/>
              <w:highlight w:val="none"/>
            </w:rPr>
            <w:fldChar w:fldCharType="separate"/>
          </w:r>
          <w:r>
            <w:rPr>
              <w:rFonts w:hint="eastAsia" w:ascii="黑体" w:hAnsi="黑体" w:eastAsia="黑体"/>
              <w:szCs w:val="21"/>
            </w:rPr>
            <w:t xml:space="preserve">15 </w:t>
          </w:r>
          <w:r>
            <w:rPr>
              <w:rFonts w:hint="eastAsia" w:ascii="黑体" w:hAnsi="黑体" w:eastAsia="黑体"/>
              <w:szCs w:val="21"/>
              <w:highlight w:val="none"/>
            </w:rPr>
            <w:t>谈判有效期</w:t>
          </w:r>
          <w:r>
            <w:tab/>
          </w:r>
          <w:r>
            <w:fldChar w:fldCharType="begin"/>
          </w:r>
          <w:r>
            <w:instrText xml:space="preserve"> PAGEREF _Toc10331 \h </w:instrText>
          </w:r>
          <w:r>
            <w:fldChar w:fldCharType="separate"/>
          </w:r>
          <w:r>
            <w:t>25</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_Toc28483 </w:instrText>
          </w:r>
          <w:r>
            <w:rPr>
              <w:rFonts w:ascii="黑体" w:hAnsi="黑体" w:eastAsia="黑体"/>
              <w:szCs w:val="21"/>
              <w:highlight w:val="none"/>
            </w:rPr>
            <w:fldChar w:fldCharType="separate"/>
          </w:r>
          <w:r>
            <w:rPr>
              <w:rFonts w:hint="eastAsia" w:ascii="黑体" w:hAnsi="黑体" w:eastAsia="黑体"/>
              <w:szCs w:val="21"/>
            </w:rPr>
            <w:t xml:space="preserve">16 </w:t>
          </w:r>
          <w:r>
            <w:rPr>
              <w:rFonts w:hint="eastAsia" w:ascii="黑体" w:hAnsi="黑体" w:eastAsia="黑体"/>
              <w:szCs w:val="21"/>
              <w:highlight w:val="none"/>
            </w:rPr>
            <w:t>投标担保：本项目不收取投标保证金。</w:t>
          </w:r>
          <w:r>
            <w:tab/>
          </w:r>
          <w:r>
            <w:fldChar w:fldCharType="begin"/>
          </w:r>
          <w:r>
            <w:instrText xml:space="preserve"> PAGEREF _Toc28483 \h </w:instrText>
          </w:r>
          <w:r>
            <w:fldChar w:fldCharType="separate"/>
          </w:r>
          <w:r>
            <w:t>25</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_Toc29253 </w:instrText>
          </w:r>
          <w:r>
            <w:rPr>
              <w:rFonts w:ascii="黑体" w:hAnsi="黑体" w:eastAsia="黑体"/>
              <w:szCs w:val="21"/>
              <w:highlight w:val="none"/>
            </w:rPr>
            <w:fldChar w:fldCharType="separate"/>
          </w:r>
          <w:r>
            <w:rPr>
              <w:rFonts w:hint="eastAsia" w:ascii="黑体" w:hAnsi="黑体" w:eastAsia="黑体"/>
              <w:bCs w:val="0"/>
              <w:i w:val="0"/>
              <w:szCs w:val="21"/>
            </w:rPr>
            <w:t xml:space="preserve">四 </w:t>
          </w:r>
          <w:r>
            <w:rPr>
              <w:rFonts w:hint="eastAsia" w:ascii="黑体" w:hAnsi="黑体" w:eastAsia="黑体"/>
              <w:bCs w:val="0"/>
              <w:szCs w:val="21"/>
              <w:highlight w:val="none"/>
            </w:rPr>
            <w:t>响应文件的提交</w:t>
          </w:r>
          <w:r>
            <w:tab/>
          </w:r>
          <w:r>
            <w:fldChar w:fldCharType="begin"/>
          </w:r>
          <w:r>
            <w:instrText xml:space="preserve"> PAGEREF _Toc29253 \h </w:instrText>
          </w:r>
          <w:r>
            <w:fldChar w:fldCharType="separate"/>
          </w:r>
          <w:r>
            <w:t>25</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_Toc25662 </w:instrText>
          </w:r>
          <w:r>
            <w:rPr>
              <w:rFonts w:ascii="黑体" w:hAnsi="黑体" w:eastAsia="黑体"/>
              <w:szCs w:val="21"/>
              <w:highlight w:val="none"/>
            </w:rPr>
            <w:fldChar w:fldCharType="separate"/>
          </w:r>
          <w:r>
            <w:rPr>
              <w:rFonts w:hint="eastAsia" w:ascii="黑体" w:hAnsi="黑体" w:eastAsia="黑体"/>
              <w:szCs w:val="21"/>
            </w:rPr>
            <w:t xml:space="preserve">17 </w:t>
          </w:r>
          <w:r>
            <w:rPr>
              <w:rFonts w:hint="eastAsia" w:ascii="黑体" w:hAnsi="黑体" w:eastAsia="黑体"/>
              <w:szCs w:val="21"/>
              <w:highlight w:val="none"/>
            </w:rPr>
            <w:t>提交响应文件截止时间</w:t>
          </w:r>
          <w:r>
            <w:tab/>
          </w:r>
          <w:r>
            <w:fldChar w:fldCharType="begin"/>
          </w:r>
          <w:r>
            <w:instrText xml:space="preserve"> PAGEREF _Toc25662 \h </w:instrText>
          </w:r>
          <w:r>
            <w:fldChar w:fldCharType="separate"/>
          </w:r>
          <w:r>
            <w:t>25</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_Toc22212 </w:instrText>
          </w:r>
          <w:r>
            <w:rPr>
              <w:rFonts w:ascii="黑体" w:hAnsi="黑体" w:eastAsia="黑体"/>
              <w:szCs w:val="21"/>
              <w:highlight w:val="none"/>
            </w:rPr>
            <w:fldChar w:fldCharType="separate"/>
          </w:r>
          <w:r>
            <w:rPr>
              <w:rFonts w:hint="eastAsia" w:ascii="黑体" w:hAnsi="黑体" w:eastAsia="黑体"/>
              <w:szCs w:val="21"/>
            </w:rPr>
            <w:t xml:space="preserve">18 </w:t>
          </w:r>
          <w:r>
            <w:rPr>
              <w:rFonts w:hint="eastAsia" w:ascii="黑体" w:hAnsi="黑体" w:eastAsia="黑体"/>
              <w:szCs w:val="21"/>
              <w:highlight w:val="none"/>
            </w:rPr>
            <w:t>迟交的响应文件</w:t>
          </w:r>
          <w:r>
            <w:tab/>
          </w:r>
          <w:r>
            <w:fldChar w:fldCharType="begin"/>
          </w:r>
          <w:r>
            <w:instrText xml:space="preserve"> PAGEREF _Toc22212 \h </w:instrText>
          </w:r>
          <w:r>
            <w:fldChar w:fldCharType="separate"/>
          </w:r>
          <w:r>
            <w:t>26</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_Toc14736 </w:instrText>
          </w:r>
          <w:r>
            <w:rPr>
              <w:rFonts w:ascii="黑体" w:hAnsi="黑体" w:eastAsia="黑体"/>
              <w:szCs w:val="21"/>
              <w:highlight w:val="none"/>
            </w:rPr>
            <w:fldChar w:fldCharType="separate"/>
          </w:r>
          <w:r>
            <w:rPr>
              <w:rFonts w:hint="eastAsia" w:ascii="黑体" w:hAnsi="黑体" w:eastAsia="黑体"/>
              <w:szCs w:val="21"/>
            </w:rPr>
            <w:t xml:space="preserve">19 </w:t>
          </w:r>
          <w:r>
            <w:rPr>
              <w:rFonts w:hint="eastAsia" w:ascii="黑体" w:hAnsi="黑体" w:eastAsia="黑体"/>
              <w:szCs w:val="21"/>
              <w:highlight w:val="none"/>
            </w:rPr>
            <w:t>响应文件的装订、密封和标记</w:t>
          </w:r>
          <w:r>
            <w:tab/>
          </w:r>
          <w:r>
            <w:fldChar w:fldCharType="begin"/>
          </w:r>
          <w:r>
            <w:instrText xml:space="preserve"> PAGEREF _Toc14736 \h </w:instrText>
          </w:r>
          <w:r>
            <w:fldChar w:fldCharType="separate"/>
          </w:r>
          <w:r>
            <w:t>26</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_Toc26375 </w:instrText>
          </w:r>
          <w:r>
            <w:rPr>
              <w:rFonts w:ascii="黑体" w:hAnsi="黑体" w:eastAsia="黑体"/>
              <w:szCs w:val="21"/>
              <w:highlight w:val="none"/>
            </w:rPr>
            <w:fldChar w:fldCharType="separate"/>
          </w:r>
          <w:r>
            <w:rPr>
              <w:rFonts w:hint="eastAsia" w:ascii="黑体" w:hAnsi="黑体" w:eastAsia="黑体"/>
              <w:szCs w:val="21"/>
            </w:rPr>
            <w:t xml:space="preserve">20 </w:t>
          </w:r>
          <w:r>
            <w:rPr>
              <w:rFonts w:hint="eastAsia" w:ascii="黑体" w:hAnsi="黑体" w:eastAsia="黑体"/>
              <w:szCs w:val="21"/>
              <w:highlight w:val="none"/>
            </w:rPr>
            <w:t>响应文件的补充、修改与撤回</w:t>
          </w:r>
          <w:r>
            <w:tab/>
          </w:r>
          <w:r>
            <w:fldChar w:fldCharType="begin"/>
          </w:r>
          <w:r>
            <w:instrText xml:space="preserve"> PAGEREF _Toc26375 \h </w:instrText>
          </w:r>
          <w:r>
            <w:fldChar w:fldCharType="separate"/>
          </w:r>
          <w:r>
            <w:t>26</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_Toc3649 </w:instrText>
          </w:r>
          <w:r>
            <w:rPr>
              <w:rFonts w:ascii="黑体" w:hAnsi="黑体" w:eastAsia="黑体"/>
              <w:szCs w:val="21"/>
              <w:highlight w:val="none"/>
            </w:rPr>
            <w:fldChar w:fldCharType="separate"/>
          </w:r>
          <w:r>
            <w:rPr>
              <w:rFonts w:hint="eastAsia" w:ascii="黑体" w:hAnsi="黑体" w:eastAsia="黑体"/>
              <w:szCs w:val="21"/>
            </w:rPr>
            <w:t xml:space="preserve">21 </w:t>
          </w:r>
          <w:r>
            <w:rPr>
              <w:rFonts w:hint="eastAsia" w:ascii="黑体" w:hAnsi="黑体" w:eastAsia="黑体"/>
              <w:szCs w:val="21"/>
              <w:highlight w:val="none"/>
            </w:rPr>
            <w:t>谈判</w:t>
          </w:r>
          <w:r>
            <w:tab/>
          </w:r>
          <w:r>
            <w:fldChar w:fldCharType="begin"/>
          </w:r>
          <w:r>
            <w:instrText xml:space="preserve"> PAGEREF _Toc3649 \h </w:instrText>
          </w:r>
          <w:r>
            <w:fldChar w:fldCharType="separate"/>
          </w:r>
          <w:r>
            <w:t>27</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_Toc13857 </w:instrText>
          </w:r>
          <w:r>
            <w:rPr>
              <w:rFonts w:ascii="黑体" w:hAnsi="黑体" w:eastAsia="黑体"/>
              <w:szCs w:val="21"/>
              <w:highlight w:val="none"/>
            </w:rPr>
            <w:fldChar w:fldCharType="separate"/>
          </w:r>
          <w:r>
            <w:rPr>
              <w:rFonts w:hint="eastAsia" w:ascii="黑体" w:hAnsi="黑体" w:eastAsia="黑体"/>
              <w:bCs w:val="0"/>
              <w:i w:val="0"/>
              <w:szCs w:val="21"/>
            </w:rPr>
            <w:t xml:space="preserve">五 </w:t>
          </w:r>
          <w:r>
            <w:rPr>
              <w:rFonts w:hint="eastAsia" w:ascii="黑体" w:hAnsi="黑体" w:eastAsia="黑体"/>
              <w:bCs w:val="0"/>
              <w:szCs w:val="21"/>
              <w:highlight w:val="none"/>
            </w:rPr>
            <w:t>谈判与评审</w:t>
          </w:r>
          <w:r>
            <w:tab/>
          </w:r>
          <w:r>
            <w:fldChar w:fldCharType="begin"/>
          </w:r>
          <w:r>
            <w:instrText xml:space="preserve"> PAGEREF _Toc13857 \h </w:instrText>
          </w:r>
          <w:r>
            <w:fldChar w:fldCharType="separate"/>
          </w:r>
          <w:r>
            <w:t>27</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_Toc8325 </w:instrText>
          </w:r>
          <w:r>
            <w:rPr>
              <w:rFonts w:ascii="黑体" w:hAnsi="黑体" w:eastAsia="黑体"/>
              <w:szCs w:val="21"/>
              <w:highlight w:val="none"/>
            </w:rPr>
            <w:fldChar w:fldCharType="separate"/>
          </w:r>
          <w:r>
            <w:rPr>
              <w:rFonts w:hint="eastAsia" w:ascii="黑体" w:hAnsi="黑体" w:eastAsia="黑体"/>
              <w:szCs w:val="21"/>
            </w:rPr>
            <w:t xml:space="preserve">22 </w:t>
          </w:r>
          <w:r>
            <w:rPr>
              <w:rFonts w:hint="eastAsia" w:ascii="黑体" w:hAnsi="黑体" w:eastAsia="黑体"/>
              <w:szCs w:val="21"/>
              <w:highlight w:val="none"/>
            </w:rPr>
            <w:t>评审过程的保密</w:t>
          </w:r>
          <w:r>
            <w:tab/>
          </w:r>
          <w:r>
            <w:fldChar w:fldCharType="begin"/>
          </w:r>
          <w:r>
            <w:instrText xml:space="preserve"> PAGEREF _Toc8325 \h </w:instrText>
          </w:r>
          <w:r>
            <w:fldChar w:fldCharType="separate"/>
          </w:r>
          <w:r>
            <w:t>27</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_Toc19264 </w:instrText>
          </w:r>
          <w:r>
            <w:rPr>
              <w:rFonts w:ascii="黑体" w:hAnsi="黑体" w:eastAsia="黑体"/>
              <w:szCs w:val="21"/>
              <w:highlight w:val="none"/>
            </w:rPr>
            <w:fldChar w:fldCharType="separate"/>
          </w:r>
          <w:r>
            <w:rPr>
              <w:rFonts w:hint="eastAsia" w:ascii="黑体" w:hAnsi="黑体" w:eastAsia="黑体"/>
              <w:szCs w:val="21"/>
            </w:rPr>
            <w:t xml:space="preserve">23 </w:t>
          </w:r>
          <w:r>
            <w:rPr>
              <w:rFonts w:hint="eastAsia" w:ascii="黑体" w:hAnsi="黑体" w:eastAsia="黑体"/>
              <w:szCs w:val="21"/>
              <w:highlight w:val="none"/>
            </w:rPr>
            <w:t>谈判小组与评审方法</w:t>
          </w:r>
          <w:r>
            <w:tab/>
          </w:r>
          <w:r>
            <w:fldChar w:fldCharType="begin"/>
          </w:r>
          <w:r>
            <w:instrText xml:space="preserve"> PAGEREF _Toc19264 \h </w:instrText>
          </w:r>
          <w:r>
            <w:fldChar w:fldCharType="separate"/>
          </w:r>
          <w:r>
            <w:t>27</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_Toc7564 </w:instrText>
          </w:r>
          <w:r>
            <w:rPr>
              <w:rFonts w:ascii="黑体" w:hAnsi="黑体" w:eastAsia="黑体"/>
              <w:szCs w:val="21"/>
              <w:highlight w:val="none"/>
            </w:rPr>
            <w:fldChar w:fldCharType="separate"/>
          </w:r>
          <w:r>
            <w:rPr>
              <w:rFonts w:hint="eastAsia" w:ascii="黑体" w:hAnsi="黑体" w:eastAsia="黑体"/>
              <w:szCs w:val="21"/>
            </w:rPr>
            <w:t xml:space="preserve">24 </w:t>
          </w:r>
          <w:r>
            <w:rPr>
              <w:rFonts w:hint="eastAsia" w:ascii="黑体" w:hAnsi="黑体" w:eastAsia="黑体"/>
              <w:szCs w:val="21"/>
              <w:highlight w:val="none"/>
            </w:rPr>
            <w:t>评审与谈判</w:t>
          </w:r>
          <w:r>
            <w:tab/>
          </w:r>
          <w:r>
            <w:fldChar w:fldCharType="begin"/>
          </w:r>
          <w:r>
            <w:instrText xml:space="preserve"> PAGEREF _Toc7564 \h </w:instrText>
          </w:r>
          <w:r>
            <w:fldChar w:fldCharType="separate"/>
          </w:r>
          <w:r>
            <w:t>29</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_Toc16032 </w:instrText>
          </w:r>
          <w:r>
            <w:rPr>
              <w:rFonts w:ascii="黑体" w:hAnsi="黑体" w:eastAsia="黑体"/>
              <w:szCs w:val="21"/>
              <w:highlight w:val="none"/>
            </w:rPr>
            <w:fldChar w:fldCharType="separate"/>
          </w:r>
          <w:r>
            <w:rPr>
              <w:rFonts w:hint="eastAsia" w:ascii="黑体" w:hAnsi="黑体" w:eastAsia="黑体"/>
              <w:szCs w:val="21"/>
            </w:rPr>
            <w:t xml:space="preserve">25 </w:t>
          </w:r>
          <w:r>
            <w:rPr>
              <w:rFonts w:hint="eastAsia" w:ascii="黑体" w:hAnsi="黑体" w:eastAsia="黑体"/>
              <w:szCs w:val="21"/>
              <w:highlight w:val="none"/>
            </w:rPr>
            <w:t>实质性变动的权利</w:t>
          </w:r>
          <w:r>
            <w:tab/>
          </w:r>
          <w:r>
            <w:fldChar w:fldCharType="begin"/>
          </w:r>
          <w:r>
            <w:instrText xml:space="preserve"> PAGEREF _Toc16032 \h </w:instrText>
          </w:r>
          <w:r>
            <w:fldChar w:fldCharType="separate"/>
          </w:r>
          <w:r>
            <w:t>31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_Toc9515 </w:instrText>
          </w:r>
          <w:r>
            <w:rPr>
              <w:rFonts w:ascii="黑体" w:hAnsi="黑体" w:eastAsia="黑体"/>
              <w:szCs w:val="21"/>
              <w:highlight w:val="none"/>
            </w:rPr>
            <w:fldChar w:fldCharType="separate"/>
          </w:r>
          <w:r>
            <w:rPr>
              <w:rFonts w:hint="eastAsia" w:ascii="黑体" w:hAnsi="黑体" w:eastAsia="黑体"/>
              <w:bCs w:val="0"/>
              <w:i w:val="0"/>
              <w:szCs w:val="21"/>
            </w:rPr>
            <w:t xml:space="preserve">六 </w:t>
          </w:r>
          <w:r>
            <w:rPr>
              <w:rFonts w:hint="eastAsia" w:ascii="黑体" w:hAnsi="黑体" w:eastAsia="黑体"/>
              <w:bCs w:val="0"/>
              <w:szCs w:val="21"/>
              <w:highlight w:val="none"/>
            </w:rPr>
            <w:t>合同的授予</w:t>
          </w:r>
          <w:r>
            <w:tab/>
          </w:r>
          <w:r>
            <w:fldChar w:fldCharType="begin"/>
          </w:r>
          <w:r>
            <w:instrText xml:space="preserve"> PAGEREF _Toc9515 \h </w:instrText>
          </w:r>
          <w:r>
            <w:fldChar w:fldCharType="separate"/>
          </w:r>
          <w:r>
            <w:t>31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_Toc7974 </w:instrText>
          </w:r>
          <w:r>
            <w:rPr>
              <w:rFonts w:ascii="黑体" w:hAnsi="黑体" w:eastAsia="黑体"/>
              <w:szCs w:val="21"/>
              <w:highlight w:val="none"/>
            </w:rPr>
            <w:fldChar w:fldCharType="separate"/>
          </w:r>
          <w:r>
            <w:rPr>
              <w:rFonts w:hint="eastAsia" w:ascii="黑体" w:hAnsi="黑体" w:eastAsia="黑体"/>
              <w:szCs w:val="21"/>
            </w:rPr>
            <w:t xml:space="preserve">26 </w:t>
          </w:r>
          <w:r>
            <w:rPr>
              <w:rFonts w:hint="eastAsia" w:ascii="黑体" w:hAnsi="黑体" w:eastAsia="黑体"/>
              <w:szCs w:val="21"/>
              <w:highlight w:val="none"/>
            </w:rPr>
            <w:t>合同授予标准</w:t>
          </w:r>
          <w:r>
            <w:tab/>
          </w:r>
          <w:r>
            <w:fldChar w:fldCharType="begin"/>
          </w:r>
          <w:r>
            <w:instrText xml:space="preserve"> PAGEREF _Toc7974 \h </w:instrText>
          </w:r>
          <w:r>
            <w:fldChar w:fldCharType="separate"/>
          </w:r>
          <w:r>
            <w:t>31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_Toc18316 </w:instrText>
          </w:r>
          <w:r>
            <w:rPr>
              <w:rFonts w:ascii="黑体" w:hAnsi="黑体" w:eastAsia="黑体"/>
              <w:szCs w:val="21"/>
              <w:highlight w:val="none"/>
            </w:rPr>
            <w:fldChar w:fldCharType="separate"/>
          </w:r>
          <w:r>
            <w:rPr>
              <w:rFonts w:hint="eastAsia" w:ascii="黑体" w:hAnsi="黑体" w:eastAsia="黑体"/>
              <w:szCs w:val="21"/>
            </w:rPr>
            <w:t xml:space="preserve">27 </w:t>
          </w:r>
          <w:r>
            <w:rPr>
              <w:rFonts w:hint="eastAsia" w:ascii="黑体" w:hAnsi="黑体" w:eastAsia="黑体"/>
              <w:szCs w:val="21"/>
              <w:highlight w:val="none"/>
            </w:rPr>
            <w:t>发布成交结果公告</w:t>
          </w:r>
          <w:r>
            <w:tab/>
          </w:r>
          <w:r>
            <w:fldChar w:fldCharType="begin"/>
          </w:r>
          <w:r>
            <w:instrText xml:space="preserve"> PAGEREF _Toc18316 \h </w:instrText>
          </w:r>
          <w:r>
            <w:fldChar w:fldCharType="separate"/>
          </w:r>
          <w:r>
            <w:t>31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_Toc28104 </w:instrText>
          </w:r>
          <w:r>
            <w:rPr>
              <w:rFonts w:ascii="黑体" w:hAnsi="黑体" w:eastAsia="黑体"/>
              <w:szCs w:val="21"/>
              <w:highlight w:val="none"/>
            </w:rPr>
            <w:fldChar w:fldCharType="separate"/>
          </w:r>
          <w:r>
            <w:rPr>
              <w:rFonts w:hint="eastAsia" w:ascii="黑体" w:hAnsi="黑体" w:eastAsia="黑体"/>
              <w:bCs w:val="0"/>
              <w:i w:val="0"/>
              <w:szCs w:val="21"/>
            </w:rPr>
            <w:t xml:space="preserve">七 </w:t>
          </w:r>
          <w:r>
            <w:rPr>
              <w:rFonts w:hint="eastAsia" w:ascii="黑体" w:hAnsi="黑体" w:eastAsia="黑体"/>
              <w:bCs w:val="0"/>
              <w:szCs w:val="21"/>
              <w:highlight w:val="none"/>
            </w:rPr>
            <w:t>合同签订和履行</w:t>
          </w:r>
          <w:r>
            <w:tab/>
          </w:r>
          <w:r>
            <w:fldChar w:fldCharType="begin"/>
          </w:r>
          <w:r>
            <w:instrText xml:space="preserve"> PAGEREF _Toc28104 \h </w:instrText>
          </w:r>
          <w:r>
            <w:fldChar w:fldCharType="separate"/>
          </w:r>
          <w:r>
            <w:t>31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_Toc13690 </w:instrText>
          </w:r>
          <w:r>
            <w:rPr>
              <w:rFonts w:ascii="黑体" w:hAnsi="黑体" w:eastAsia="黑体"/>
              <w:szCs w:val="21"/>
              <w:highlight w:val="none"/>
            </w:rPr>
            <w:fldChar w:fldCharType="separate"/>
          </w:r>
          <w:r>
            <w:rPr>
              <w:rFonts w:hint="eastAsia" w:ascii="黑体" w:hAnsi="黑体" w:eastAsia="黑体"/>
              <w:szCs w:val="21"/>
            </w:rPr>
            <w:t xml:space="preserve">28 </w:t>
          </w:r>
          <w:r>
            <w:rPr>
              <w:rFonts w:ascii="黑体" w:hAnsi="黑体" w:eastAsia="黑体"/>
              <w:szCs w:val="21"/>
              <w:highlight w:val="none"/>
            </w:rPr>
            <w:t>合同的签订</w:t>
          </w:r>
          <w:r>
            <w:tab/>
          </w:r>
          <w:r>
            <w:fldChar w:fldCharType="begin"/>
          </w:r>
          <w:r>
            <w:instrText xml:space="preserve"> PAGEREF _Toc13690 \h </w:instrText>
          </w:r>
          <w:r>
            <w:fldChar w:fldCharType="separate"/>
          </w:r>
          <w:r>
            <w:t>31</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_Toc9509 </w:instrText>
          </w:r>
          <w:r>
            <w:rPr>
              <w:rFonts w:ascii="黑体" w:hAnsi="黑体" w:eastAsia="黑体"/>
              <w:szCs w:val="21"/>
              <w:highlight w:val="none"/>
            </w:rPr>
            <w:fldChar w:fldCharType="separate"/>
          </w:r>
          <w:r>
            <w:rPr>
              <w:rFonts w:hint="eastAsia" w:ascii="黑体" w:hAnsi="黑体" w:eastAsia="黑体"/>
              <w:szCs w:val="21"/>
            </w:rPr>
            <w:t xml:space="preserve">29 </w:t>
          </w:r>
          <w:r>
            <w:rPr>
              <w:rFonts w:ascii="黑体" w:hAnsi="黑体" w:eastAsia="黑体"/>
              <w:szCs w:val="21"/>
              <w:highlight w:val="none"/>
            </w:rPr>
            <w:t>履约</w:t>
          </w:r>
          <w:r>
            <w:rPr>
              <w:rFonts w:hint="eastAsia" w:ascii="黑体" w:hAnsi="黑体" w:eastAsia="黑体"/>
              <w:szCs w:val="21"/>
              <w:highlight w:val="none"/>
            </w:rPr>
            <w:t>担保：本项目不收取履约保证金。</w:t>
          </w:r>
          <w:r>
            <w:tab/>
          </w:r>
          <w:r>
            <w:fldChar w:fldCharType="begin"/>
          </w:r>
          <w:r>
            <w:instrText xml:space="preserve"> PAGEREF _Toc9509 \h </w:instrText>
          </w:r>
          <w:r>
            <w:fldChar w:fldCharType="separate"/>
          </w:r>
          <w:r>
            <w:t>32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_Toc24591 </w:instrText>
          </w:r>
          <w:r>
            <w:rPr>
              <w:rFonts w:ascii="黑体" w:hAnsi="黑体" w:eastAsia="黑体"/>
              <w:szCs w:val="21"/>
              <w:highlight w:val="none"/>
            </w:rPr>
            <w:fldChar w:fldCharType="separate"/>
          </w:r>
          <w:r>
            <w:rPr>
              <w:rFonts w:hint="eastAsia" w:ascii="黑体" w:hAnsi="黑体" w:eastAsia="黑体"/>
              <w:bCs w:val="0"/>
              <w:szCs w:val="21"/>
              <w:highlight w:val="none"/>
            </w:rPr>
            <w:t>八、询问、质疑、投诉</w:t>
          </w:r>
          <w:r>
            <w:tab/>
          </w:r>
          <w:r>
            <w:fldChar w:fldCharType="begin"/>
          </w:r>
          <w:r>
            <w:instrText xml:space="preserve"> PAGEREF _Toc24591 \h </w:instrText>
          </w:r>
          <w:r>
            <w:fldChar w:fldCharType="separate"/>
          </w:r>
          <w:r>
            <w:t>32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_Toc14081 </w:instrText>
          </w:r>
          <w:r>
            <w:rPr>
              <w:rFonts w:ascii="黑体" w:hAnsi="黑体" w:eastAsia="黑体"/>
              <w:szCs w:val="21"/>
              <w:highlight w:val="none"/>
            </w:rPr>
            <w:fldChar w:fldCharType="separate"/>
          </w:r>
          <w:r>
            <w:rPr>
              <w:rFonts w:hint="eastAsia" w:ascii="黑体" w:hAnsi="黑体" w:eastAsia="黑体"/>
              <w:bCs w:val="0"/>
              <w:szCs w:val="21"/>
            </w:rPr>
            <w:t xml:space="preserve">30 </w:t>
          </w:r>
          <w:r>
            <w:rPr>
              <w:rFonts w:hint="eastAsia" w:ascii="黑体" w:hAnsi="黑体" w:eastAsia="黑体"/>
              <w:bCs w:val="0"/>
              <w:szCs w:val="21"/>
              <w:highlight w:val="none"/>
            </w:rPr>
            <w:t>询问</w:t>
          </w:r>
          <w:r>
            <w:tab/>
          </w:r>
          <w:r>
            <w:fldChar w:fldCharType="begin"/>
          </w:r>
          <w:r>
            <w:instrText xml:space="preserve"> PAGEREF _Toc14081 \h </w:instrText>
          </w:r>
          <w:r>
            <w:fldChar w:fldCharType="separate"/>
          </w:r>
          <w:r>
            <w:t>32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_Toc27338 </w:instrText>
          </w:r>
          <w:r>
            <w:rPr>
              <w:rFonts w:ascii="黑体" w:hAnsi="黑体" w:eastAsia="黑体"/>
              <w:szCs w:val="21"/>
              <w:highlight w:val="none"/>
            </w:rPr>
            <w:fldChar w:fldCharType="separate"/>
          </w:r>
          <w:r>
            <w:rPr>
              <w:rFonts w:hint="eastAsia" w:ascii="黑体" w:hAnsi="黑体" w:eastAsia="黑体"/>
              <w:bCs w:val="0"/>
              <w:szCs w:val="21"/>
            </w:rPr>
            <w:t xml:space="preserve">31 </w:t>
          </w:r>
          <w:r>
            <w:rPr>
              <w:rFonts w:hint="eastAsia" w:ascii="黑体" w:hAnsi="黑体" w:eastAsia="黑体"/>
              <w:bCs w:val="0"/>
              <w:szCs w:val="21"/>
              <w:highlight w:val="none"/>
            </w:rPr>
            <w:t>质疑</w:t>
          </w:r>
          <w:r>
            <w:tab/>
          </w:r>
          <w:r>
            <w:fldChar w:fldCharType="begin"/>
          </w:r>
          <w:r>
            <w:instrText xml:space="preserve"> PAGEREF _Toc27338 \h </w:instrText>
          </w:r>
          <w:r>
            <w:fldChar w:fldCharType="separate"/>
          </w:r>
          <w:r>
            <w:t>32</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_Toc30338 </w:instrText>
          </w:r>
          <w:r>
            <w:rPr>
              <w:rFonts w:ascii="黑体" w:hAnsi="黑体" w:eastAsia="黑体"/>
              <w:szCs w:val="21"/>
              <w:highlight w:val="none"/>
            </w:rPr>
            <w:fldChar w:fldCharType="separate"/>
          </w:r>
          <w:r>
            <w:rPr>
              <w:rFonts w:hint="eastAsia" w:ascii="黑体" w:hAnsi="黑体" w:eastAsia="黑体"/>
              <w:bCs w:val="0"/>
              <w:szCs w:val="21"/>
            </w:rPr>
            <w:t xml:space="preserve">32 </w:t>
          </w:r>
          <w:r>
            <w:rPr>
              <w:rFonts w:hint="eastAsia" w:ascii="黑体" w:hAnsi="黑体" w:eastAsia="黑体"/>
              <w:bCs w:val="0"/>
              <w:szCs w:val="21"/>
              <w:highlight w:val="none"/>
            </w:rPr>
            <w:t>投诉</w:t>
          </w:r>
          <w:r>
            <w:tab/>
          </w:r>
          <w:r>
            <w:fldChar w:fldCharType="begin"/>
          </w:r>
          <w:r>
            <w:instrText xml:space="preserve"> PAGEREF _Toc30338 \h </w:instrText>
          </w:r>
          <w:r>
            <w:fldChar w:fldCharType="separate"/>
          </w:r>
          <w:r>
            <w:t>33</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_Toc11094 </w:instrText>
          </w:r>
          <w:r>
            <w:rPr>
              <w:rFonts w:ascii="黑体" w:hAnsi="黑体" w:eastAsia="黑体"/>
              <w:szCs w:val="21"/>
              <w:highlight w:val="none"/>
            </w:rPr>
            <w:fldChar w:fldCharType="separate"/>
          </w:r>
          <w:r>
            <w:rPr>
              <w:rFonts w:hint="eastAsia" w:ascii="黑体" w:hAnsi="黑体" w:eastAsia="黑体"/>
              <w:bCs w:val="0"/>
              <w:szCs w:val="21"/>
              <w:highlight w:val="none"/>
            </w:rPr>
            <w:t>九、其他</w:t>
          </w:r>
          <w:r>
            <w:tab/>
          </w:r>
          <w:r>
            <w:fldChar w:fldCharType="begin"/>
          </w:r>
          <w:r>
            <w:instrText xml:space="preserve"> PAGEREF _Toc11094 \h </w:instrText>
          </w:r>
          <w:r>
            <w:fldChar w:fldCharType="separate"/>
          </w:r>
          <w:r>
            <w:t>33</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_Toc23895 </w:instrText>
          </w:r>
          <w:r>
            <w:rPr>
              <w:rFonts w:ascii="黑体" w:hAnsi="黑体" w:eastAsia="黑体"/>
              <w:szCs w:val="21"/>
              <w:highlight w:val="none"/>
            </w:rPr>
            <w:fldChar w:fldCharType="separate"/>
          </w:r>
          <w:r>
            <w:rPr>
              <w:rFonts w:hint="eastAsia" w:ascii="黑体" w:hAnsi="黑体" w:eastAsia="黑体"/>
              <w:bCs w:val="0"/>
              <w:szCs w:val="21"/>
            </w:rPr>
            <w:t xml:space="preserve">33 </w:t>
          </w:r>
          <w:r>
            <w:rPr>
              <w:rFonts w:hint="eastAsia" w:ascii="黑体" w:hAnsi="黑体" w:eastAsia="黑体"/>
              <w:bCs w:val="0"/>
              <w:szCs w:val="21"/>
              <w:highlight w:val="none"/>
            </w:rPr>
            <w:t>采购代理服务费</w:t>
          </w:r>
          <w:r>
            <w:tab/>
          </w:r>
          <w:r>
            <w:fldChar w:fldCharType="begin"/>
          </w:r>
          <w:r>
            <w:instrText xml:space="preserve"> PAGEREF _Toc23895 \h </w:instrText>
          </w:r>
          <w:r>
            <w:fldChar w:fldCharType="separate"/>
          </w:r>
          <w:r>
            <w:t>33</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_Toc3210 </w:instrText>
          </w:r>
          <w:r>
            <w:rPr>
              <w:rFonts w:ascii="黑体" w:hAnsi="黑体" w:eastAsia="黑体"/>
              <w:szCs w:val="21"/>
              <w:highlight w:val="none"/>
            </w:rPr>
            <w:fldChar w:fldCharType="separate"/>
          </w:r>
          <w:r>
            <w:rPr>
              <w:rFonts w:hint="eastAsia" w:ascii="黑体" w:hAnsi="黑体" w:eastAsia="黑体"/>
              <w:bCs w:val="0"/>
              <w:szCs w:val="21"/>
            </w:rPr>
            <w:t xml:space="preserve">34 </w:t>
          </w:r>
          <w:r>
            <w:rPr>
              <w:rFonts w:hint="eastAsia" w:ascii="黑体" w:hAnsi="黑体" w:eastAsia="黑体"/>
              <w:bCs w:val="0"/>
              <w:szCs w:val="21"/>
              <w:highlight w:val="none"/>
            </w:rPr>
            <w:t>采购文件符号说明</w:t>
          </w:r>
          <w:r>
            <w:tab/>
          </w:r>
          <w:r>
            <w:fldChar w:fldCharType="begin"/>
          </w:r>
          <w:r>
            <w:instrText xml:space="preserve"> PAGEREF _Toc3210 \h </w:instrText>
          </w:r>
          <w:r>
            <w:fldChar w:fldCharType="separate"/>
          </w:r>
          <w:r>
            <w:t>34</w:t>
          </w:r>
          <w:r>
            <w:fldChar w:fldCharType="end"/>
          </w:r>
          <w:r>
            <w:rPr>
              <w:rFonts w:ascii="黑体" w:hAnsi="黑体" w:eastAsia="黑体"/>
              <w:szCs w:val="21"/>
              <w:highlight w:val="none"/>
            </w:rPr>
            <w:fldChar w:fldCharType="end"/>
          </w:r>
        </w:p>
        <w:p>
          <w:pPr>
            <w:pStyle w:val="8"/>
            <w:tabs>
              <w:tab w:val="right" w:leader="dot" w:pos="8405"/>
              <w:tab w:val="clear" w:pos="426"/>
              <w:tab w:val="clear" w:pos="567"/>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_Toc19262 </w:instrText>
          </w:r>
          <w:r>
            <w:rPr>
              <w:rFonts w:ascii="黑体" w:hAnsi="黑体" w:eastAsia="黑体"/>
              <w:szCs w:val="21"/>
              <w:highlight w:val="none"/>
            </w:rPr>
            <w:fldChar w:fldCharType="separate"/>
          </w:r>
          <w:r>
            <w:rPr>
              <w:rFonts w:hint="eastAsia" w:ascii="黑体" w:hAnsi="黑体" w:eastAsia="黑体"/>
              <w:szCs w:val="21"/>
            </w:rPr>
            <w:t xml:space="preserve">35 </w:t>
          </w:r>
          <w:r>
            <w:rPr>
              <w:rFonts w:hint="eastAsia" w:ascii="黑体" w:hAnsi="黑体" w:eastAsia="黑体"/>
              <w:szCs w:val="21"/>
              <w:highlight w:val="none"/>
            </w:rPr>
            <w:t>采购文件解释权</w:t>
          </w:r>
          <w:r>
            <w:tab/>
          </w:r>
          <w:r>
            <w:fldChar w:fldCharType="begin"/>
          </w:r>
          <w:r>
            <w:instrText xml:space="preserve"> PAGEREF _Toc19262 \h </w:instrText>
          </w:r>
          <w:r>
            <w:fldChar w:fldCharType="separate"/>
          </w:r>
          <w:r>
            <w:t>34</w:t>
          </w:r>
          <w:r>
            <w:fldChar w:fldCharType="end"/>
          </w:r>
          <w:r>
            <w:rPr>
              <w:rFonts w:ascii="黑体" w:hAnsi="黑体" w:eastAsia="黑体"/>
              <w:szCs w:val="21"/>
              <w:highlight w:val="none"/>
            </w:rPr>
            <w:fldChar w:fldCharType="end"/>
          </w:r>
        </w:p>
        <w:p>
          <w:pPr>
            <w:pStyle w:val="14"/>
            <w:tabs>
              <w:tab w:val="right" w:leader="dot" w:pos="8405"/>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_Toc5739 </w:instrText>
          </w:r>
          <w:r>
            <w:rPr>
              <w:rFonts w:ascii="黑体" w:hAnsi="黑体" w:eastAsia="黑体"/>
              <w:szCs w:val="21"/>
              <w:highlight w:val="none"/>
            </w:rPr>
            <w:fldChar w:fldCharType="separate"/>
          </w:r>
          <w:r>
            <w:rPr>
              <w:rFonts w:hint="eastAsia" w:ascii="黑体" w:hAnsi="黑体" w:eastAsia="黑体"/>
              <w:spacing w:val="20"/>
              <w:szCs w:val="32"/>
              <w:highlight w:val="none"/>
            </w:rPr>
            <w:t>第五部分 合同书格式</w:t>
          </w:r>
          <w:r>
            <w:tab/>
          </w:r>
          <w:r>
            <w:fldChar w:fldCharType="begin"/>
          </w:r>
          <w:r>
            <w:instrText xml:space="preserve"> PAGEREF _Toc5739 \h </w:instrText>
          </w:r>
          <w:r>
            <w:fldChar w:fldCharType="separate"/>
          </w:r>
          <w:r>
            <w:t>39</w:t>
          </w:r>
          <w:r>
            <w:fldChar w:fldCharType="end"/>
          </w:r>
          <w:r>
            <w:rPr>
              <w:rFonts w:ascii="黑体" w:hAnsi="黑体" w:eastAsia="黑体"/>
              <w:szCs w:val="21"/>
              <w:highlight w:val="none"/>
            </w:rPr>
            <w:fldChar w:fldCharType="end"/>
          </w:r>
        </w:p>
        <w:p>
          <w:pPr>
            <w:pStyle w:val="14"/>
            <w:tabs>
              <w:tab w:val="right" w:leader="dot" w:pos="8405"/>
              <w:tab w:val="clear" w:pos="8296"/>
            </w:tabs>
          </w:pPr>
          <w:r>
            <w:rPr>
              <w:rFonts w:ascii="黑体" w:hAnsi="黑体" w:eastAsia="黑体"/>
              <w:szCs w:val="21"/>
              <w:highlight w:val="none"/>
            </w:rPr>
            <w:fldChar w:fldCharType="begin"/>
          </w:r>
          <w:r>
            <w:rPr>
              <w:rFonts w:ascii="黑体" w:hAnsi="黑体" w:eastAsia="黑体"/>
              <w:szCs w:val="21"/>
              <w:highlight w:val="none"/>
            </w:rPr>
            <w:instrText xml:space="preserve"> HYPERLINK \l _Toc6779 </w:instrText>
          </w:r>
          <w:r>
            <w:rPr>
              <w:rFonts w:ascii="黑体" w:hAnsi="黑体" w:eastAsia="黑体"/>
              <w:szCs w:val="21"/>
              <w:highlight w:val="none"/>
            </w:rPr>
            <w:fldChar w:fldCharType="separate"/>
          </w:r>
          <w:r>
            <w:rPr>
              <w:rFonts w:hint="eastAsia" w:ascii="黑体" w:hAnsi="黑体" w:eastAsia="黑体"/>
              <w:spacing w:val="20"/>
              <w:szCs w:val="32"/>
              <w:highlight w:val="none"/>
            </w:rPr>
            <w:t>第六部分 响应文件格式</w:t>
          </w:r>
          <w:r>
            <w:tab/>
          </w:r>
          <w:r>
            <w:fldChar w:fldCharType="begin"/>
          </w:r>
          <w:r>
            <w:instrText xml:space="preserve"> PAGEREF _Toc6779 \h </w:instrText>
          </w:r>
          <w:r>
            <w:fldChar w:fldCharType="separate"/>
          </w:r>
          <w:r>
            <w:t>45</w:t>
          </w:r>
          <w:r>
            <w:fldChar w:fldCharType="end"/>
          </w:r>
          <w:r>
            <w:rPr>
              <w:rFonts w:ascii="黑体" w:hAnsi="黑体" w:eastAsia="黑体"/>
              <w:szCs w:val="21"/>
              <w:highlight w:val="none"/>
            </w:rPr>
            <w:fldChar w:fldCharType="end"/>
          </w:r>
        </w:p>
        <w:p>
          <w:pPr>
            <w:spacing w:line="360" w:lineRule="auto"/>
            <w:rPr>
              <w:rFonts w:ascii="黑体" w:hAnsi="黑体" w:eastAsia="黑体"/>
              <w:szCs w:val="21"/>
              <w:highlight w:val="none"/>
            </w:rPr>
          </w:pPr>
          <w:r>
            <w:rPr>
              <w:rFonts w:ascii="黑体" w:hAnsi="黑体" w:eastAsia="黑体"/>
              <w:szCs w:val="21"/>
              <w:highlight w:val="none"/>
            </w:rPr>
            <w:fldChar w:fldCharType="end"/>
          </w:r>
        </w:p>
      </w:sdtContent>
    </w:sdt>
    <w:p>
      <w:pPr>
        <w:pStyle w:val="2"/>
        <w:keepNext w:val="0"/>
        <w:keepLines w:val="0"/>
        <w:pageBreakBefore/>
        <w:spacing w:line="360" w:lineRule="auto"/>
        <w:jc w:val="center"/>
        <w:rPr>
          <w:rFonts w:ascii="黑体" w:hAnsi="黑体" w:eastAsia="黑体"/>
          <w:spacing w:val="20"/>
          <w:sz w:val="32"/>
          <w:szCs w:val="32"/>
          <w:highlight w:val="none"/>
        </w:rPr>
      </w:pPr>
      <w:bookmarkStart w:id="0" w:name="_Toc391627747"/>
      <w:bookmarkStart w:id="1" w:name="_Toc13732721"/>
      <w:bookmarkStart w:id="2" w:name="_Toc405313951"/>
      <w:bookmarkStart w:id="3" w:name="_Toc391367873"/>
      <w:bookmarkStart w:id="4" w:name="_Toc5726"/>
      <w:r>
        <w:rPr>
          <w:rFonts w:hint="eastAsia" w:ascii="黑体" w:hAnsi="黑体" w:eastAsia="黑体"/>
          <w:spacing w:val="20"/>
          <w:sz w:val="32"/>
          <w:szCs w:val="32"/>
          <w:highlight w:val="none"/>
        </w:rPr>
        <w:t>第一部分 谈判邀请函</w:t>
      </w:r>
      <w:bookmarkEnd w:id="0"/>
      <w:bookmarkEnd w:id="1"/>
      <w:bookmarkEnd w:id="2"/>
      <w:bookmarkEnd w:id="3"/>
      <w:bookmarkEnd w:id="4"/>
    </w:p>
    <w:p>
      <w:pPr>
        <w:widowControl/>
        <w:spacing w:before="156" w:beforeLines="50" w:after="156" w:afterLines="50" w:line="360" w:lineRule="atLeast"/>
        <w:jc w:val="left"/>
        <w:rPr>
          <w:rFonts w:ascii="黑体" w:hAnsi="黑体" w:eastAsia="黑体" w:cs="宋体"/>
          <w:b/>
          <w:kern w:val="0"/>
          <w:sz w:val="24"/>
          <w:szCs w:val="24"/>
          <w:highlight w:val="none"/>
        </w:rPr>
      </w:pPr>
      <w:r>
        <w:rPr>
          <w:rFonts w:hint="eastAsia" w:ascii="黑体" w:hAnsi="黑体" w:eastAsia="黑体" w:cs="宋体"/>
          <w:b/>
          <w:kern w:val="0"/>
          <w:sz w:val="24"/>
          <w:szCs w:val="24"/>
          <w:highlight w:val="none"/>
        </w:rPr>
        <w:t>项目概况</w:t>
      </w:r>
    </w:p>
    <w:p>
      <w:pPr>
        <w:spacing w:line="360" w:lineRule="auto"/>
        <w:ind w:firstLine="420" w:firstLineChars="200"/>
        <w:rPr>
          <w:rFonts w:ascii="黑体" w:hAnsi="黑体" w:eastAsia="黑体"/>
          <w:szCs w:val="21"/>
          <w:highlight w:val="none"/>
        </w:rPr>
      </w:pPr>
      <w:r>
        <w:rPr>
          <w:rFonts w:hint="eastAsia" w:ascii="黑体" w:hAnsi="黑体" w:eastAsia="黑体"/>
          <w:szCs w:val="21"/>
          <w:highlight w:val="none"/>
          <w:u w:val="single"/>
          <w:lang w:eastAsia="zh-CN"/>
        </w:rPr>
        <w:t>2023年省级事故现场应急通讯能力提升采购专项</w:t>
      </w:r>
      <w:r>
        <w:rPr>
          <w:rFonts w:hint="eastAsia" w:ascii="黑体" w:hAnsi="黑体" w:eastAsia="黑体"/>
          <w:szCs w:val="21"/>
          <w:highlight w:val="none"/>
        </w:rPr>
        <w:t>采购项目的潜在供应商应在</w:t>
      </w:r>
      <w:r>
        <w:rPr>
          <w:rFonts w:hint="eastAsia" w:ascii="黑体" w:hAnsi="黑体" w:eastAsia="黑体" w:cs="宋体"/>
          <w:kern w:val="0"/>
          <w:szCs w:val="21"/>
          <w:highlight w:val="none"/>
          <w:u w:val="single"/>
        </w:rPr>
        <w:t>汕头市龙湖区黄山路65号诚融大厦8楼809号房</w:t>
      </w:r>
      <w:r>
        <w:rPr>
          <w:rFonts w:hint="eastAsia" w:ascii="黑体" w:hAnsi="黑体" w:eastAsia="黑体"/>
          <w:szCs w:val="21"/>
          <w:highlight w:val="none"/>
        </w:rPr>
        <w:t>获取采购文件，并于</w:t>
      </w:r>
      <w:r>
        <w:rPr>
          <w:rFonts w:hint="eastAsia" w:ascii="黑体" w:hAnsi="黑体" w:eastAsia="黑体"/>
          <w:szCs w:val="21"/>
          <w:highlight w:val="none"/>
          <w:u w:val="single"/>
          <w:lang w:val="en-US" w:eastAsia="zh-CN"/>
        </w:rPr>
        <w:t>2023</w:t>
      </w:r>
      <w:r>
        <w:rPr>
          <w:rFonts w:hint="eastAsia" w:ascii="黑体" w:hAnsi="黑体" w:eastAsia="黑体"/>
          <w:szCs w:val="21"/>
          <w:highlight w:val="none"/>
        </w:rPr>
        <w:t>年</w:t>
      </w:r>
      <w:r>
        <w:rPr>
          <w:rFonts w:hint="eastAsia" w:ascii="黑体" w:hAnsi="黑体" w:eastAsia="黑体"/>
          <w:szCs w:val="21"/>
          <w:highlight w:val="none"/>
          <w:u w:val="single"/>
          <w:lang w:val="en-US" w:eastAsia="zh-CN"/>
        </w:rPr>
        <w:t>02</w:t>
      </w:r>
      <w:r>
        <w:rPr>
          <w:rFonts w:hint="eastAsia" w:ascii="黑体" w:hAnsi="黑体" w:eastAsia="黑体"/>
          <w:szCs w:val="21"/>
          <w:highlight w:val="none"/>
        </w:rPr>
        <w:t>月</w:t>
      </w:r>
      <w:r>
        <w:rPr>
          <w:rFonts w:hint="eastAsia" w:ascii="黑体" w:hAnsi="黑体" w:eastAsia="黑体"/>
          <w:szCs w:val="21"/>
          <w:highlight w:val="none"/>
          <w:u w:val="single"/>
          <w:lang w:val="en-US" w:eastAsia="zh-CN"/>
        </w:rPr>
        <w:t>17</w:t>
      </w:r>
      <w:r>
        <w:rPr>
          <w:rFonts w:hint="eastAsia" w:ascii="黑体" w:hAnsi="黑体" w:eastAsia="黑体"/>
          <w:szCs w:val="21"/>
          <w:highlight w:val="none"/>
        </w:rPr>
        <w:t>日</w:t>
      </w:r>
      <w:r>
        <w:rPr>
          <w:rFonts w:hint="eastAsia" w:ascii="黑体" w:hAnsi="黑体" w:eastAsia="黑体"/>
          <w:szCs w:val="21"/>
          <w:highlight w:val="none"/>
          <w:u w:val="single"/>
          <w:lang w:val="en-US" w:eastAsia="zh-CN"/>
        </w:rPr>
        <w:t>15</w:t>
      </w:r>
      <w:r>
        <w:rPr>
          <w:rFonts w:hint="eastAsia" w:ascii="黑体" w:hAnsi="黑体" w:eastAsia="黑体"/>
          <w:szCs w:val="21"/>
          <w:highlight w:val="none"/>
        </w:rPr>
        <w:t>点</w:t>
      </w:r>
      <w:r>
        <w:rPr>
          <w:rFonts w:hint="eastAsia" w:ascii="黑体" w:hAnsi="黑体" w:eastAsia="黑体"/>
          <w:szCs w:val="21"/>
          <w:highlight w:val="none"/>
          <w:u w:val="single"/>
          <w:lang w:val="en-US" w:eastAsia="zh-CN"/>
        </w:rPr>
        <w:t>00</w:t>
      </w:r>
      <w:r>
        <w:rPr>
          <w:rFonts w:hint="eastAsia" w:ascii="黑体" w:hAnsi="黑体" w:eastAsia="黑体"/>
          <w:szCs w:val="21"/>
          <w:highlight w:val="none"/>
        </w:rPr>
        <w:t>分（北京时间）前提交响应文件。</w:t>
      </w:r>
    </w:p>
    <w:p>
      <w:pPr>
        <w:pStyle w:val="30"/>
        <w:numPr>
          <w:ilvl w:val="0"/>
          <w:numId w:val="2"/>
        </w:numPr>
        <w:tabs>
          <w:tab w:val="left" w:pos="426"/>
        </w:tabs>
        <w:spacing w:before="312" w:beforeLines="100" w:line="360" w:lineRule="auto"/>
        <w:ind w:left="5675" w:hanging="5675" w:firstLineChars="0"/>
        <w:rPr>
          <w:rFonts w:ascii="黑体" w:hAnsi="黑体" w:eastAsia="黑体"/>
          <w:szCs w:val="21"/>
          <w:highlight w:val="none"/>
        </w:rPr>
      </w:pPr>
      <w:r>
        <w:rPr>
          <w:rFonts w:hint="eastAsia" w:ascii="黑体" w:hAnsi="黑体" w:eastAsia="黑体"/>
          <w:b/>
          <w:szCs w:val="21"/>
          <w:highlight w:val="none"/>
        </w:rPr>
        <w:t>项目基本情况：</w:t>
      </w:r>
    </w:p>
    <w:p>
      <w:pPr>
        <w:tabs>
          <w:tab w:val="left" w:pos="426"/>
        </w:tabs>
        <w:spacing w:line="360" w:lineRule="auto"/>
        <w:ind w:left="420" w:hanging="420" w:hangingChars="200"/>
        <w:rPr>
          <w:rFonts w:ascii="黑体" w:hAnsi="黑体" w:eastAsia="黑体"/>
          <w:szCs w:val="21"/>
          <w:highlight w:val="none"/>
          <w:u w:val="single"/>
        </w:rPr>
      </w:pPr>
      <w:r>
        <w:rPr>
          <w:rFonts w:hint="eastAsia" w:ascii="黑体" w:hAnsi="黑体" w:eastAsia="黑体"/>
          <w:szCs w:val="21"/>
          <w:highlight w:val="none"/>
        </w:rPr>
        <w:t>项目编号：</w:t>
      </w:r>
      <w:r>
        <w:rPr>
          <w:rFonts w:ascii="黑体" w:hAnsi="黑体" w:eastAsia="黑体"/>
          <w:szCs w:val="21"/>
          <w:highlight w:val="none"/>
        </w:rPr>
        <w:t>ZHSTZC2023003</w:t>
      </w:r>
    </w:p>
    <w:p>
      <w:pPr>
        <w:tabs>
          <w:tab w:val="left" w:pos="426"/>
        </w:tabs>
        <w:spacing w:line="360" w:lineRule="auto"/>
        <w:ind w:left="420" w:hanging="420" w:hangingChars="200"/>
        <w:rPr>
          <w:rFonts w:hint="eastAsia" w:ascii="黑体" w:hAnsi="黑体" w:eastAsia="黑体"/>
          <w:szCs w:val="21"/>
          <w:highlight w:val="none"/>
          <w:lang w:eastAsia="zh-CN"/>
        </w:rPr>
      </w:pPr>
      <w:r>
        <w:rPr>
          <w:rFonts w:hint="eastAsia" w:ascii="黑体" w:hAnsi="黑体" w:eastAsia="黑体"/>
          <w:szCs w:val="21"/>
          <w:highlight w:val="none"/>
        </w:rPr>
        <w:t>项目名称：</w:t>
      </w:r>
      <w:r>
        <w:rPr>
          <w:rFonts w:hint="eastAsia" w:ascii="黑体" w:hAnsi="黑体" w:eastAsia="黑体"/>
          <w:szCs w:val="21"/>
          <w:highlight w:val="none"/>
          <w:lang w:eastAsia="zh-CN"/>
        </w:rPr>
        <w:t>2023年省级事故现场应急通讯能力提升采购专项</w:t>
      </w:r>
    </w:p>
    <w:p>
      <w:pPr>
        <w:tabs>
          <w:tab w:val="left" w:pos="426"/>
        </w:tabs>
        <w:spacing w:line="360" w:lineRule="auto"/>
        <w:ind w:left="420" w:hanging="420" w:hangingChars="200"/>
        <w:rPr>
          <w:rFonts w:ascii="黑体" w:hAnsi="黑体" w:eastAsia="黑体"/>
          <w:szCs w:val="21"/>
          <w:highlight w:val="none"/>
        </w:rPr>
      </w:pPr>
      <w:r>
        <w:rPr>
          <w:rFonts w:hint="eastAsia" w:ascii="黑体" w:hAnsi="黑体" w:eastAsia="黑体"/>
          <w:szCs w:val="21"/>
          <w:highlight w:val="none"/>
        </w:rPr>
        <w:t>采购方式：竞争性谈判</w:t>
      </w:r>
    </w:p>
    <w:p>
      <w:pPr>
        <w:tabs>
          <w:tab w:val="left" w:pos="426"/>
        </w:tabs>
        <w:spacing w:line="360" w:lineRule="auto"/>
        <w:ind w:left="420" w:hanging="420" w:hangingChars="200"/>
        <w:rPr>
          <w:rFonts w:ascii="黑体" w:hAnsi="黑体" w:eastAsia="黑体"/>
          <w:szCs w:val="21"/>
          <w:highlight w:val="none"/>
        </w:rPr>
      </w:pPr>
      <w:r>
        <w:rPr>
          <w:rFonts w:hint="eastAsia" w:ascii="黑体" w:hAnsi="黑体" w:eastAsia="黑体"/>
          <w:szCs w:val="21"/>
          <w:highlight w:val="none"/>
        </w:rPr>
        <w:t>预算金额：￥997,000.00元</w:t>
      </w:r>
    </w:p>
    <w:p>
      <w:pPr>
        <w:tabs>
          <w:tab w:val="left" w:pos="426"/>
        </w:tabs>
        <w:spacing w:line="360" w:lineRule="auto"/>
        <w:ind w:left="420" w:hanging="420" w:hangingChars="200"/>
        <w:rPr>
          <w:rFonts w:ascii="黑体" w:hAnsi="黑体" w:eastAsia="黑体"/>
          <w:szCs w:val="21"/>
          <w:highlight w:val="none"/>
        </w:rPr>
      </w:pPr>
      <w:r>
        <w:rPr>
          <w:rFonts w:hint="eastAsia" w:ascii="黑体" w:hAnsi="黑体" w:eastAsia="黑体"/>
          <w:szCs w:val="21"/>
          <w:highlight w:val="none"/>
        </w:rPr>
        <w:t>最高限价：</w:t>
      </w:r>
      <w:bookmarkStart w:id="296" w:name="_GoBack"/>
      <w:bookmarkEnd w:id="296"/>
      <w:r>
        <w:rPr>
          <w:rFonts w:hint="eastAsia" w:ascii="黑体" w:hAnsi="黑体" w:eastAsia="黑体"/>
          <w:szCs w:val="21"/>
          <w:highlight w:val="none"/>
        </w:rPr>
        <w:t>￥997,000.00元</w:t>
      </w:r>
    </w:p>
    <w:p>
      <w:pPr>
        <w:tabs>
          <w:tab w:val="left" w:pos="426"/>
        </w:tabs>
        <w:spacing w:line="360" w:lineRule="auto"/>
        <w:ind w:left="420" w:hanging="420" w:hangingChars="200"/>
        <w:rPr>
          <w:rFonts w:ascii="黑体" w:hAnsi="黑体" w:eastAsia="黑体"/>
          <w:szCs w:val="21"/>
          <w:highlight w:val="none"/>
        </w:rPr>
      </w:pPr>
      <w:r>
        <w:rPr>
          <w:rFonts w:hint="eastAsia" w:ascii="黑体" w:hAnsi="黑体" w:eastAsia="黑体"/>
          <w:szCs w:val="21"/>
          <w:highlight w:val="none"/>
        </w:rPr>
        <w:t>采购需求：</w:t>
      </w:r>
    </w:p>
    <w:tbl>
      <w:tblPr>
        <w:tblStyle w:val="18"/>
        <w:tblW w:w="4972"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2106"/>
        <w:gridCol w:w="2476"/>
        <w:gridCol w:w="729"/>
        <w:gridCol w:w="2608"/>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2" w:type="pct"/>
            <w:vAlign w:val="center"/>
          </w:tcPr>
          <w:p>
            <w:pPr>
              <w:jc w:val="center"/>
              <w:rPr>
                <w:rFonts w:ascii="黑体" w:hAnsi="黑体" w:eastAsia="黑体"/>
                <w:bCs/>
                <w:szCs w:val="21"/>
                <w:highlight w:val="none"/>
              </w:rPr>
            </w:pPr>
            <w:r>
              <w:rPr>
                <w:rFonts w:ascii="黑体" w:hAnsi="黑体" w:eastAsia="黑体"/>
                <w:bCs/>
                <w:szCs w:val="21"/>
                <w:highlight w:val="none"/>
              </w:rPr>
              <w:t>包号</w:t>
            </w:r>
          </w:p>
        </w:tc>
        <w:tc>
          <w:tcPr>
            <w:tcW w:w="1228" w:type="pct"/>
            <w:vAlign w:val="center"/>
          </w:tcPr>
          <w:p>
            <w:pPr>
              <w:jc w:val="center"/>
              <w:rPr>
                <w:rFonts w:ascii="黑体" w:hAnsi="黑体" w:eastAsia="黑体"/>
                <w:bCs/>
                <w:szCs w:val="21"/>
                <w:highlight w:val="none"/>
              </w:rPr>
            </w:pPr>
            <w:r>
              <w:rPr>
                <w:rFonts w:ascii="黑体" w:hAnsi="黑体" w:eastAsia="黑体"/>
                <w:bCs/>
                <w:szCs w:val="21"/>
                <w:highlight w:val="none"/>
              </w:rPr>
              <w:t>标的名称</w:t>
            </w:r>
          </w:p>
        </w:tc>
        <w:tc>
          <w:tcPr>
            <w:tcW w:w="1444" w:type="pct"/>
            <w:vAlign w:val="center"/>
          </w:tcPr>
          <w:p>
            <w:pPr>
              <w:jc w:val="center"/>
              <w:rPr>
                <w:rFonts w:ascii="黑体" w:hAnsi="黑体" w:eastAsia="黑体"/>
                <w:bCs/>
                <w:szCs w:val="21"/>
                <w:highlight w:val="none"/>
              </w:rPr>
            </w:pPr>
            <w:r>
              <w:rPr>
                <w:rFonts w:ascii="黑体" w:hAnsi="黑体" w:eastAsia="黑体"/>
                <w:bCs/>
                <w:szCs w:val="21"/>
                <w:highlight w:val="none"/>
              </w:rPr>
              <w:t>采购包预算金额（元）</w:t>
            </w:r>
          </w:p>
        </w:tc>
        <w:tc>
          <w:tcPr>
            <w:tcW w:w="425" w:type="pct"/>
            <w:vAlign w:val="center"/>
          </w:tcPr>
          <w:p>
            <w:pPr>
              <w:jc w:val="center"/>
              <w:rPr>
                <w:rFonts w:ascii="黑体" w:hAnsi="黑体" w:eastAsia="黑体"/>
                <w:bCs/>
                <w:szCs w:val="21"/>
                <w:highlight w:val="none"/>
              </w:rPr>
            </w:pPr>
            <w:r>
              <w:rPr>
                <w:rFonts w:ascii="黑体" w:hAnsi="黑体" w:eastAsia="黑体"/>
                <w:bCs/>
                <w:szCs w:val="21"/>
                <w:highlight w:val="none"/>
              </w:rPr>
              <w:t>数量</w:t>
            </w:r>
          </w:p>
        </w:tc>
        <w:tc>
          <w:tcPr>
            <w:tcW w:w="1521" w:type="pct"/>
            <w:vAlign w:val="center"/>
          </w:tcPr>
          <w:p>
            <w:pPr>
              <w:jc w:val="center"/>
              <w:rPr>
                <w:rFonts w:ascii="黑体" w:hAnsi="黑体" w:eastAsia="黑体"/>
                <w:szCs w:val="21"/>
                <w:highlight w:val="none"/>
              </w:rPr>
            </w:pPr>
            <w:r>
              <w:rPr>
                <w:rFonts w:ascii="黑体" w:hAnsi="黑体" w:eastAsia="黑体"/>
                <w:szCs w:val="21"/>
                <w:highlight w:val="none"/>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2" w:type="pct"/>
            <w:vAlign w:val="center"/>
          </w:tcPr>
          <w:p>
            <w:pPr>
              <w:jc w:val="center"/>
              <w:rPr>
                <w:rFonts w:ascii="黑体" w:hAnsi="黑体" w:eastAsia="黑体"/>
                <w:bCs/>
                <w:szCs w:val="21"/>
                <w:highlight w:val="none"/>
              </w:rPr>
            </w:pPr>
            <w:r>
              <w:rPr>
                <w:rFonts w:ascii="黑体" w:hAnsi="黑体" w:eastAsia="黑体"/>
                <w:bCs/>
                <w:szCs w:val="21"/>
                <w:highlight w:val="none"/>
              </w:rPr>
              <w:t>1</w:t>
            </w:r>
          </w:p>
        </w:tc>
        <w:tc>
          <w:tcPr>
            <w:tcW w:w="1228" w:type="pct"/>
            <w:vAlign w:val="center"/>
          </w:tcPr>
          <w:p>
            <w:pPr>
              <w:jc w:val="center"/>
              <w:rPr>
                <w:rFonts w:ascii="黑体" w:hAnsi="黑体" w:eastAsia="黑体"/>
                <w:bCs/>
                <w:szCs w:val="21"/>
                <w:highlight w:val="none"/>
              </w:rPr>
            </w:pPr>
            <w:r>
              <w:rPr>
                <w:rFonts w:hint="eastAsia" w:ascii="黑体" w:hAnsi="黑体" w:eastAsia="黑体"/>
                <w:szCs w:val="21"/>
                <w:highlight w:val="none"/>
              </w:rPr>
              <w:t>2023年省级事故现场应急通讯能力提升采购</w:t>
            </w:r>
          </w:p>
        </w:tc>
        <w:tc>
          <w:tcPr>
            <w:tcW w:w="1444" w:type="pct"/>
            <w:vAlign w:val="center"/>
          </w:tcPr>
          <w:p>
            <w:pPr>
              <w:jc w:val="center"/>
              <w:rPr>
                <w:rFonts w:ascii="黑体" w:hAnsi="黑体" w:eastAsia="黑体"/>
                <w:bCs/>
                <w:szCs w:val="21"/>
                <w:highlight w:val="none"/>
              </w:rPr>
            </w:pPr>
            <w:r>
              <w:rPr>
                <w:rFonts w:ascii="黑体" w:hAnsi="黑体" w:eastAsia="黑体"/>
                <w:bCs/>
                <w:szCs w:val="21"/>
                <w:highlight w:val="none"/>
              </w:rPr>
              <w:t>997,000.00</w:t>
            </w:r>
          </w:p>
        </w:tc>
        <w:tc>
          <w:tcPr>
            <w:tcW w:w="425" w:type="pct"/>
            <w:vAlign w:val="center"/>
          </w:tcPr>
          <w:p>
            <w:pPr>
              <w:jc w:val="center"/>
              <w:rPr>
                <w:rFonts w:ascii="黑体" w:hAnsi="黑体" w:eastAsia="黑体"/>
                <w:bCs/>
                <w:szCs w:val="21"/>
                <w:highlight w:val="none"/>
              </w:rPr>
            </w:pPr>
            <w:r>
              <w:rPr>
                <w:rFonts w:hint="eastAsia" w:ascii="黑体" w:hAnsi="黑体" w:eastAsia="黑体"/>
                <w:bCs/>
                <w:szCs w:val="21"/>
                <w:highlight w:val="none"/>
              </w:rPr>
              <w:t>1项</w:t>
            </w:r>
          </w:p>
        </w:tc>
        <w:tc>
          <w:tcPr>
            <w:tcW w:w="1521" w:type="pct"/>
            <w:vAlign w:val="center"/>
          </w:tcPr>
          <w:p>
            <w:pPr>
              <w:jc w:val="center"/>
              <w:rPr>
                <w:rFonts w:ascii="黑体" w:hAnsi="黑体" w:eastAsia="黑体"/>
                <w:kern w:val="0"/>
                <w:szCs w:val="21"/>
                <w:highlight w:val="none"/>
              </w:rPr>
            </w:pPr>
            <w:r>
              <w:rPr>
                <w:rFonts w:hint="eastAsia" w:ascii="黑体" w:hAnsi="黑体" w:eastAsia="黑体"/>
                <w:kern w:val="0"/>
                <w:szCs w:val="21"/>
                <w:highlight w:val="none"/>
              </w:rPr>
              <w:t>详见采购文件采购需求</w:t>
            </w:r>
          </w:p>
        </w:tc>
      </w:tr>
    </w:tbl>
    <w:p>
      <w:pPr>
        <w:tabs>
          <w:tab w:val="left" w:pos="284"/>
        </w:tabs>
        <w:spacing w:line="360" w:lineRule="auto"/>
        <w:rPr>
          <w:rFonts w:ascii="黑体" w:hAnsi="黑体" w:eastAsia="黑体"/>
          <w:szCs w:val="21"/>
          <w:highlight w:val="none"/>
        </w:rPr>
      </w:pPr>
      <w:r>
        <w:rPr>
          <w:rFonts w:hint="eastAsia" w:ascii="黑体" w:hAnsi="黑体" w:eastAsia="黑体"/>
          <w:szCs w:val="21"/>
          <w:highlight w:val="none"/>
        </w:rPr>
        <w:t>合同履行期限：合同签订之日起</w:t>
      </w:r>
      <w:r>
        <w:rPr>
          <w:rFonts w:ascii="黑体" w:hAnsi="黑体" w:eastAsia="黑体"/>
          <w:szCs w:val="21"/>
          <w:highlight w:val="none"/>
        </w:rPr>
        <w:t>30</w:t>
      </w:r>
      <w:r>
        <w:rPr>
          <w:rFonts w:hint="eastAsia" w:ascii="黑体" w:hAnsi="黑体" w:eastAsia="黑体"/>
          <w:szCs w:val="21"/>
          <w:highlight w:val="none"/>
        </w:rPr>
        <w:t>天内完成供货、安装、验收并交付采购人使用。</w:t>
      </w:r>
    </w:p>
    <w:p>
      <w:pPr>
        <w:tabs>
          <w:tab w:val="left" w:pos="284"/>
        </w:tabs>
        <w:spacing w:line="360" w:lineRule="auto"/>
        <w:rPr>
          <w:rFonts w:ascii="黑体" w:hAnsi="黑体" w:eastAsia="黑体"/>
          <w:szCs w:val="21"/>
          <w:highlight w:val="none"/>
        </w:rPr>
      </w:pPr>
      <w:r>
        <w:rPr>
          <w:rFonts w:hint="eastAsia" w:ascii="黑体" w:hAnsi="黑体" w:eastAsia="黑体"/>
          <w:szCs w:val="21"/>
          <w:highlight w:val="none"/>
        </w:rPr>
        <w:t>本项目不接受联合体投标。</w:t>
      </w:r>
    </w:p>
    <w:p>
      <w:pPr>
        <w:pStyle w:val="30"/>
        <w:numPr>
          <w:ilvl w:val="0"/>
          <w:numId w:val="2"/>
        </w:numPr>
        <w:tabs>
          <w:tab w:val="left" w:pos="426"/>
        </w:tabs>
        <w:spacing w:line="360" w:lineRule="auto"/>
        <w:ind w:left="5675" w:hanging="5675" w:firstLineChars="0"/>
        <w:jc w:val="left"/>
        <w:rPr>
          <w:rFonts w:ascii="黑体" w:hAnsi="黑体" w:eastAsia="黑体"/>
          <w:b/>
          <w:szCs w:val="21"/>
          <w:highlight w:val="none"/>
        </w:rPr>
      </w:pPr>
      <w:r>
        <w:rPr>
          <w:rFonts w:hint="eastAsia" w:ascii="黑体" w:hAnsi="黑体" w:eastAsia="黑体"/>
          <w:b/>
          <w:szCs w:val="21"/>
          <w:highlight w:val="none"/>
        </w:rPr>
        <w:t>申请人的资格要求</w:t>
      </w:r>
    </w:p>
    <w:p>
      <w:pPr>
        <w:pStyle w:val="30"/>
        <w:numPr>
          <w:ilvl w:val="0"/>
          <w:numId w:val="3"/>
        </w:numPr>
        <w:spacing w:line="360" w:lineRule="auto"/>
        <w:ind w:left="426" w:hanging="426" w:firstLineChars="0"/>
        <w:rPr>
          <w:rFonts w:ascii="黑体" w:hAnsi="黑体" w:eastAsia="黑体"/>
          <w:szCs w:val="21"/>
          <w:highlight w:val="none"/>
        </w:rPr>
      </w:pPr>
      <w:bookmarkStart w:id="5" w:name="_Hlk58185024"/>
      <w:r>
        <w:rPr>
          <w:rFonts w:hint="eastAsia" w:ascii="黑体" w:hAnsi="黑体" w:eastAsia="黑体"/>
          <w:szCs w:val="21"/>
          <w:highlight w:val="none"/>
        </w:rPr>
        <w:t>供应商应具备《中华人民共和国政府采购法》第二十二条规定的条件，提供下列材料：</w:t>
      </w:r>
    </w:p>
    <w:p>
      <w:pPr>
        <w:pStyle w:val="30"/>
        <w:widowControl/>
        <w:numPr>
          <w:ilvl w:val="0"/>
          <w:numId w:val="4"/>
        </w:numPr>
        <w:shd w:val="clear" w:color="auto" w:fill="FFFFFF"/>
        <w:spacing w:line="360" w:lineRule="auto"/>
        <w:ind w:left="426" w:hanging="426" w:firstLineChars="0"/>
        <w:textAlignment w:val="baseline"/>
        <w:rPr>
          <w:rFonts w:ascii="黑体" w:hAnsi="黑体" w:eastAsia="黑体" w:cs="宋体"/>
          <w:kern w:val="0"/>
          <w:szCs w:val="21"/>
          <w:highlight w:val="none"/>
        </w:rPr>
      </w:pPr>
      <w:r>
        <w:rPr>
          <w:rFonts w:hint="eastAsia" w:ascii="黑体" w:hAnsi="黑体" w:eastAsia="黑体" w:cs="宋体"/>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pStyle w:val="30"/>
        <w:widowControl/>
        <w:numPr>
          <w:ilvl w:val="0"/>
          <w:numId w:val="4"/>
        </w:numPr>
        <w:shd w:val="clear" w:color="auto" w:fill="FFFFFF"/>
        <w:spacing w:line="360" w:lineRule="auto"/>
        <w:ind w:left="426" w:hanging="426" w:firstLineChars="0"/>
        <w:textAlignment w:val="baseline"/>
        <w:rPr>
          <w:rFonts w:ascii="黑体" w:hAnsi="黑体" w:eastAsia="黑体" w:cs="宋体"/>
          <w:kern w:val="0"/>
          <w:szCs w:val="21"/>
          <w:highlight w:val="none"/>
        </w:rPr>
      </w:pPr>
      <w:r>
        <w:rPr>
          <w:rFonts w:hint="eastAsia" w:ascii="黑体" w:hAnsi="黑体" w:eastAsia="黑体" w:cs="宋体"/>
          <w:kern w:val="0"/>
          <w:szCs w:val="21"/>
          <w:highlight w:val="none"/>
        </w:rPr>
        <w:t>有依法缴纳税收和社会保障资金的良好记录，提供资格声明函，详见响应文件格式。</w:t>
      </w:r>
    </w:p>
    <w:p>
      <w:pPr>
        <w:pStyle w:val="30"/>
        <w:widowControl/>
        <w:numPr>
          <w:ilvl w:val="0"/>
          <w:numId w:val="4"/>
        </w:numPr>
        <w:shd w:val="clear" w:color="auto" w:fill="FFFFFF"/>
        <w:spacing w:line="360" w:lineRule="auto"/>
        <w:ind w:left="426" w:hanging="426" w:firstLineChars="0"/>
        <w:textAlignment w:val="baseline"/>
        <w:rPr>
          <w:rFonts w:ascii="黑体" w:hAnsi="黑体" w:eastAsia="黑体" w:cs="宋体"/>
          <w:kern w:val="0"/>
          <w:szCs w:val="21"/>
          <w:highlight w:val="none"/>
        </w:rPr>
      </w:pPr>
      <w:bookmarkStart w:id="6" w:name="_Hlk90659088"/>
      <w:r>
        <w:rPr>
          <w:rFonts w:hint="eastAsia" w:ascii="黑体" w:hAnsi="黑体" w:eastAsia="黑体" w:cs="宋体"/>
          <w:kern w:val="0"/>
          <w:szCs w:val="21"/>
          <w:highlight w:val="none"/>
        </w:rPr>
        <w:t>具有良好的商业信誉和健全的财务会计制度</w:t>
      </w:r>
      <w:bookmarkEnd w:id="6"/>
      <w:r>
        <w:rPr>
          <w:rFonts w:hint="eastAsia" w:ascii="黑体" w:hAnsi="黑体" w:eastAsia="黑体" w:cs="宋体"/>
          <w:kern w:val="0"/>
          <w:szCs w:val="21"/>
          <w:highlight w:val="none"/>
        </w:rPr>
        <w:t>，提供资格声明函，详见响应文件格式。</w:t>
      </w:r>
    </w:p>
    <w:p>
      <w:pPr>
        <w:pStyle w:val="30"/>
        <w:widowControl/>
        <w:numPr>
          <w:ilvl w:val="0"/>
          <w:numId w:val="4"/>
        </w:numPr>
        <w:shd w:val="clear" w:color="auto" w:fill="FFFFFF"/>
        <w:spacing w:line="360" w:lineRule="auto"/>
        <w:ind w:left="426" w:hanging="426" w:firstLineChars="0"/>
        <w:textAlignment w:val="baseline"/>
        <w:rPr>
          <w:rFonts w:ascii="黑体" w:hAnsi="黑体" w:eastAsia="黑体" w:cs="宋体"/>
          <w:kern w:val="0"/>
          <w:szCs w:val="21"/>
          <w:highlight w:val="none"/>
        </w:rPr>
      </w:pPr>
      <w:r>
        <w:rPr>
          <w:rFonts w:hint="eastAsia" w:ascii="黑体" w:hAnsi="黑体" w:eastAsia="黑体" w:cs="宋体"/>
          <w:kern w:val="0"/>
          <w:szCs w:val="21"/>
          <w:highlight w:val="none"/>
        </w:rPr>
        <w:t>履行合同所必需的设备和专业技术能力：</w:t>
      </w:r>
      <w:bookmarkStart w:id="7" w:name="_Hlk90659431"/>
      <w:r>
        <w:rPr>
          <w:rFonts w:hint="eastAsia" w:ascii="黑体" w:hAnsi="黑体" w:eastAsia="黑体" w:cs="宋体"/>
          <w:kern w:val="0"/>
          <w:szCs w:val="21"/>
          <w:highlight w:val="none"/>
        </w:rPr>
        <w:t>提供资格声明函，详见响应文件格式。</w:t>
      </w:r>
      <w:bookmarkEnd w:id="7"/>
    </w:p>
    <w:p>
      <w:pPr>
        <w:pStyle w:val="30"/>
        <w:widowControl/>
        <w:numPr>
          <w:ilvl w:val="0"/>
          <w:numId w:val="4"/>
        </w:numPr>
        <w:shd w:val="clear" w:color="auto" w:fill="FFFFFF"/>
        <w:spacing w:line="360" w:lineRule="auto"/>
        <w:ind w:left="426" w:hanging="426" w:firstLineChars="0"/>
        <w:textAlignment w:val="baseline"/>
        <w:rPr>
          <w:rFonts w:ascii="黑体" w:hAnsi="黑体" w:eastAsia="黑体" w:cs="宋体"/>
          <w:kern w:val="0"/>
          <w:szCs w:val="21"/>
          <w:highlight w:val="none"/>
        </w:rPr>
      </w:pPr>
      <w:bookmarkStart w:id="8" w:name="_Hlk81177175"/>
      <w:r>
        <w:rPr>
          <w:rFonts w:hint="eastAsia" w:ascii="黑体" w:hAnsi="黑体" w:eastAsia="黑体" w:cs="宋体"/>
          <w:kern w:val="0"/>
          <w:szCs w:val="21"/>
          <w:highlight w:val="none"/>
        </w:rPr>
        <w:t>参加采购活动前3年内，在经营活动中没有重大违法记录：重大违法记录，是指供应商因违法经营受到刑事处罚或者责令停产停业、吊销许可证或者执照、较大数额罚款等行政处罚。</w:t>
      </w:r>
      <w:bookmarkEnd w:id="8"/>
      <w:r>
        <w:rPr>
          <w:rFonts w:hint="eastAsia" w:ascii="黑体" w:hAnsi="黑体" w:eastAsia="黑体" w:cs="宋体"/>
          <w:kern w:val="0"/>
          <w:szCs w:val="21"/>
          <w:highlight w:val="none"/>
        </w:rPr>
        <w:t>（根据财库〔2022〕3号文，“较大数额罚款”认定为200万元以上的罚款，法律、行政法规以及国务院有关部门明确规定相关领域“较大数额罚款”标准高于200万元的，从其规定。）提供资格声明函，详见响应文件格式。</w:t>
      </w:r>
    </w:p>
    <w:p>
      <w:pPr>
        <w:pStyle w:val="30"/>
        <w:widowControl/>
        <w:numPr>
          <w:ilvl w:val="0"/>
          <w:numId w:val="4"/>
        </w:numPr>
        <w:shd w:val="clear" w:color="auto" w:fill="FFFFFF"/>
        <w:spacing w:line="360" w:lineRule="auto"/>
        <w:ind w:left="426" w:hanging="426" w:firstLineChars="0"/>
        <w:textAlignment w:val="baseline"/>
        <w:rPr>
          <w:rFonts w:ascii="黑体" w:hAnsi="黑体" w:eastAsia="黑体" w:cs="宋体"/>
          <w:kern w:val="0"/>
          <w:szCs w:val="21"/>
          <w:highlight w:val="none"/>
        </w:rPr>
      </w:pPr>
      <w:r>
        <w:rPr>
          <w:rFonts w:hint="eastAsia" w:ascii="黑体" w:hAnsi="黑体" w:eastAsia="黑体" w:cs="宋体"/>
          <w:kern w:val="0"/>
          <w:szCs w:val="21"/>
          <w:highlight w:val="none"/>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pPr>
        <w:pStyle w:val="30"/>
        <w:numPr>
          <w:ilvl w:val="0"/>
          <w:numId w:val="3"/>
        </w:numPr>
        <w:spacing w:line="360" w:lineRule="auto"/>
        <w:ind w:left="426" w:hanging="426" w:firstLineChars="0"/>
        <w:rPr>
          <w:rFonts w:ascii="黑体" w:hAnsi="黑体" w:eastAsia="黑体" w:cs="宋体"/>
          <w:kern w:val="0"/>
          <w:szCs w:val="21"/>
          <w:highlight w:val="none"/>
        </w:rPr>
      </w:pPr>
      <w:r>
        <w:rPr>
          <w:rFonts w:hint="eastAsia" w:ascii="黑体" w:hAnsi="黑体" w:eastAsia="黑体" w:cs="宋体"/>
          <w:kern w:val="0"/>
          <w:szCs w:val="21"/>
          <w:highlight w:val="none"/>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9" w:name="_Hlk81178057"/>
      <w:r>
        <w:rPr>
          <w:rFonts w:hint="eastAsia" w:ascii="黑体" w:hAnsi="黑体" w:eastAsia="黑体" w:cs="宋体"/>
          <w:kern w:val="0"/>
          <w:szCs w:val="21"/>
          <w:highlight w:val="none"/>
        </w:rPr>
        <w:t>提供资格声明函，详见响应文件格式。</w:t>
      </w:r>
      <w:bookmarkEnd w:id="9"/>
    </w:p>
    <w:p>
      <w:pPr>
        <w:pStyle w:val="30"/>
        <w:numPr>
          <w:ilvl w:val="0"/>
          <w:numId w:val="3"/>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落实政府采购政策需满足的资格要求：无</w:t>
      </w:r>
    </w:p>
    <w:p>
      <w:pPr>
        <w:pStyle w:val="30"/>
        <w:numPr>
          <w:ilvl w:val="0"/>
          <w:numId w:val="3"/>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本项目的特定资格要求：无</w:t>
      </w:r>
    </w:p>
    <w:p>
      <w:pPr>
        <w:pStyle w:val="30"/>
        <w:numPr>
          <w:ilvl w:val="0"/>
          <w:numId w:val="2"/>
        </w:numPr>
        <w:tabs>
          <w:tab w:val="left" w:pos="426"/>
        </w:tabs>
        <w:spacing w:line="360" w:lineRule="auto"/>
        <w:ind w:firstLineChars="0"/>
        <w:rPr>
          <w:rFonts w:ascii="黑体" w:hAnsi="黑体" w:eastAsia="黑体"/>
          <w:b/>
          <w:szCs w:val="21"/>
          <w:highlight w:val="none"/>
        </w:rPr>
      </w:pPr>
      <w:r>
        <w:rPr>
          <w:rFonts w:hint="eastAsia" w:ascii="黑体" w:hAnsi="黑体" w:eastAsia="黑体"/>
          <w:b/>
          <w:szCs w:val="21"/>
          <w:highlight w:val="none"/>
        </w:rPr>
        <w:t>获取采购文件</w:t>
      </w:r>
    </w:p>
    <w:bookmarkEnd w:id="5"/>
    <w:p>
      <w:pPr>
        <w:pStyle w:val="30"/>
        <w:spacing w:line="360" w:lineRule="auto"/>
        <w:ind w:left="420" w:firstLine="0" w:firstLineChars="0"/>
        <w:rPr>
          <w:rFonts w:ascii="黑体" w:hAnsi="黑体" w:eastAsia="黑体" w:cs="宋体"/>
          <w:szCs w:val="21"/>
          <w:highlight w:val="none"/>
        </w:rPr>
      </w:pPr>
      <w:r>
        <w:rPr>
          <w:rFonts w:hint="eastAsia" w:ascii="黑体" w:hAnsi="黑体" w:eastAsia="黑体" w:cs="宋体"/>
          <w:szCs w:val="21"/>
          <w:highlight w:val="none"/>
        </w:rPr>
        <w:t>时间：</w:t>
      </w:r>
      <w:r>
        <w:rPr>
          <w:rFonts w:hint="eastAsia" w:ascii="黑体" w:hAnsi="黑体" w:eastAsia="黑体" w:cs="宋体"/>
          <w:szCs w:val="21"/>
          <w:highlight w:val="none"/>
          <w:u w:val="single"/>
          <w:lang w:val="en-US" w:eastAsia="zh-CN"/>
        </w:rPr>
        <w:t>2023</w:t>
      </w:r>
      <w:r>
        <w:rPr>
          <w:rFonts w:hint="eastAsia" w:ascii="黑体" w:hAnsi="黑体" w:eastAsia="黑体" w:cs="宋体"/>
          <w:szCs w:val="21"/>
          <w:highlight w:val="none"/>
          <w:u w:val="single"/>
        </w:rPr>
        <w:t>年</w:t>
      </w:r>
      <w:r>
        <w:rPr>
          <w:rFonts w:hint="eastAsia" w:ascii="黑体" w:hAnsi="黑体" w:eastAsia="黑体" w:cs="宋体"/>
          <w:szCs w:val="21"/>
          <w:highlight w:val="none"/>
          <w:u w:val="single"/>
          <w:lang w:val="en-US" w:eastAsia="zh-CN"/>
        </w:rPr>
        <w:t>02</w:t>
      </w:r>
      <w:r>
        <w:rPr>
          <w:rFonts w:hint="eastAsia" w:ascii="黑体" w:hAnsi="黑体" w:eastAsia="黑体" w:cs="宋体"/>
          <w:szCs w:val="21"/>
          <w:highlight w:val="none"/>
          <w:u w:val="single"/>
        </w:rPr>
        <w:t>月</w:t>
      </w:r>
      <w:r>
        <w:rPr>
          <w:rFonts w:hint="eastAsia" w:ascii="黑体" w:hAnsi="黑体" w:eastAsia="黑体" w:cs="宋体"/>
          <w:szCs w:val="21"/>
          <w:highlight w:val="none"/>
          <w:u w:val="single"/>
          <w:lang w:val="en-US" w:eastAsia="zh-CN"/>
        </w:rPr>
        <w:t>13</w:t>
      </w:r>
      <w:r>
        <w:rPr>
          <w:rFonts w:hint="eastAsia" w:ascii="黑体" w:hAnsi="黑体" w:eastAsia="黑体" w:cs="宋体"/>
          <w:szCs w:val="21"/>
          <w:highlight w:val="none"/>
          <w:u w:val="single"/>
        </w:rPr>
        <w:t>日</w:t>
      </w:r>
      <w:r>
        <w:rPr>
          <w:rFonts w:hint="eastAsia" w:ascii="黑体" w:hAnsi="黑体" w:eastAsia="黑体" w:cs="宋体"/>
          <w:szCs w:val="21"/>
          <w:highlight w:val="none"/>
        </w:rPr>
        <w:t>至</w:t>
      </w:r>
      <w:r>
        <w:rPr>
          <w:rFonts w:hint="eastAsia" w:ascii="黑体" w:hAnsi="黑体" w:eastAsia="黑体" w:cs="宋体"/>
          <w:szCs w:val="21"/>
          <w:highlight w:val="none"/>
          <w:u w:val="single"/>
          <w:lang w:val="en-US" w:eastAsia="zh-CN"/>
        </w:rPr>
        <w:t>2023</w:t>
      </w:r>
      <w:r>
        <w:rPr>
          <w:rFonts w:hint="eastAsia" w:ascii="黑体" w:hAnsi="黑体" w:eastAsia="黑体" w:cs="宋体"/>
          <w:szCs w:val="21"/>
          <w:highlight w:val="none"/>
          <w:u w:val="single"/>
        </w:rPr>
        <w:t>年</w:t>
      </w:r>
      <w:r>
        <w:rPr>
          <w:rFonts w:hint="eastAsia" w:ascii="黑体" w:hAnsi="黑体" w:eastAsia="黑体" w:cs="宋体"/>
          <w:szCs w:val="21"/>
          <w:highlight w:val="none"/>
          <w:u w:val="single"/>
          <w:lang w:val="en-US" w:eastAsia="zh-CN"/>
        </w:rPr>
        <w:t>02</w:t>
      </w:r>
      <w:r>
        <w:rPr>
          <w:rFonts w:hint="eastAsia" w:ascii="黑体" w:hAnsi="黑体" w:eastAsia="黑体" w:cs="宋体"/>
          <w:szCs w:val="21"/>
          <w:highlight w:val="none"/>
          <w:u w:val="single"/>
        </w:rPr>
        <w:t>月</w:t>
      </w:r>
      <w:r>
        <w:rPr>
          <w:rFonts w:hint="eastAsia" w:ascii="黑体" w:hAnsi="黑体" w:eastAsia="黑体" w:cs="宋体"/>
          <w:szCs w:val="21"/>
          <w:highlight w:val="none"/>
          <w:u w:val="single"/>
          <w:lang w:val="en-US" w:eastAsia="zh-CN"/>
        </w:rPr>
        <w:t>16</w:t>
      </w:r>
      <w:r>
        <w:rPr>
          <w:rFonts w:hint="eastAsia" w:ascii="黑体" w:hAnsi="黑体" w:eastAsia="黑体" w:cs="宋体"/>
          <w:szCs w:val="21"/>
          <w:highlight w:val="none"/>
          <w:u w:val="single"/>
        </w:rPr>
        <w:t>日</w:t>
      </w:r>
      <w:r>
        <w:rPr>
          <w:rFonts w:hint="eastAsia" w:ascii="黑体" w:hAnsi="黑体" w:eastAsia="黑体" w:cs="宋体"/>
          <w:szCs w:val="21"/>
          <w:highlight w:val="none"/>
        </w:rPr>
        <w:t>，每天上午9：00至12：00，下午</w:t>
      </w:r>
      <w:r>
        <w:rPr>
          <w:rFonts w:ascii="黑体" w:hAnsi="黑体" w:eastAsia="黑体" w:cs="宋体"/>
          <w:szCs w:val="21"/>
          <w:highlight w:val="none"/>
        </w:rPr>
        <w:t>14</w:t>
      </w:r>
      <w:r>
        <w:rPr>
          <w:rFonts w:hint="eastAsia" w:ascii="黑体" w:hAnsi="黑体" w:eastAsia="黑体" w:cs="宋体"/>
          <w:szCs w:val="21"/>
          <w:highlight w:val="none"/>
        </w:rPr>
        <w:t>：30至</w:t>
      </w:r>
      <w:r>
        <w:rPr>
          <w:rFonts w:ascii="黑体" w:hAnsi="黑体" w:eastAsia="黑体" w:cs="宋体"/>
          <w:szCs w:val="21"/>
          <w:highlight w:val="none"/>
        </w:rPr>
        <w:t>17</w:t>
      </w:r>
      <w:r>
        <w:rPr>
          <w:rFonts w:hint="eastAsia" w:ascii="黑体" w:hAnsi="黑体" w:eastAsia="黑体" w:cs="宋体"/>
          <w:szCs w:val="21"/>
          <w:highlight w:val="none"/>
        </w:rPr>
        <w:t>：30（北京时间，</w:t>
      </w:r>
      <w:r>
        <w:rPr>
          <w:rFonts w:ascii="黑体" w:hAnsi="黑体" w:eastAsia="黑体" w:cs="宋体"/>
          <w:szCs w:val="21"/>
          <w:highlight w:val="none"/>
        </w:rPr>
        <w:t>法定节假日</w:t>
      </w:r>
      <w:r>
        <w:rPr>
          <w:rFonts w:hint="eastAsia" w:ascii="黑体" w:hAnsi="黑体" w:eastAsia="黑体" w:cs="宋体"/>
          <w:szCs w:val="21"/>
          <w:highlight w:val="none"/>
        </w:rPr>
        <w:t>除外）</w:t>
      </w:r>
    </w:p>
    <w:p>
      <w:pPr>
        <w:pStyle w:val="30"/>
        <w:spacing w:line="360" w:lineRule="auto"/>
        <w:ind w:left="420" w:firstLine="4" w:firstLineChars="2"/>
        <w:rPr>
          <w:rFonts w:ascii="黑体" w:hAnsi="黑体" w:eastAsia="黑体" w:cs="宋体"/>
          <w:szCs w:val="21"/>
          <w:highlight w:val="none"/>
        </w:rPr>
      </w:pPr>
      <w:r>
        <w:rPr>
          <w:rFonts w:hint="eastAsia" w:ascii="黑体" w:hAnsi="黑体" w:eastAsia="黑体" w:cs="宋体"/>
          <w:szCs w:val="21"/>
          <w:highlight w:val="none"/>
        </w:rPr>
        <w:t>地点：到汕头市龙湖区黄山路65号诚融大厦8楼809号房进行获取。</w:t>
      </w:r>
    </w:p>
    <w:p>
      <w:pPr>
        <w:pStyle w:val="30"/>
        <w:spacing w:line="360" w:lineRule="auto"/>
        <w:ind w:left="420" w:firstLine="0" w:firstLineChars="0"/>
        <w:rPr>
          <w:rFonts w:ascii="黑体" w:hAnsi="黑体" w:eastAsia="黑体" w:cs="宋体"/>
          <w:szCs w:val="21"/>
          <w:highlight w:val="none"/>
          <w:u w:val="single"/>
        </w:rPr>
      </w:pPr>
      <w:r>
        <w:rPr>
          <w:rFonts w:hint="eastAsia" w:ascii="黑体" w:hAnsi="黑体" w:eastAsia="黑体" w:cs="宋体"/>
          <w:szCs w:val="21"/>
          <w:highlight w:val="none"/>
        </w:rPr>
        <w:t>方式：现场获取</w:t>
      </w:r>
    </w:p>
    <w:p>
      <w:pPr>
        <w:pStyle w:val="30"/>
        <w:spacing w:line="360" w:lineRule="auto"/>
        <w:ind w:left="420" w:firstLine="0" w:firstLineChars="0"/>
        <w:rPr>
          <w:rFonts w:ascii="黑体" w:hAnsi="黑体" w:eastAsia="黑体" w:cs="宋体"/>
          <w:szCs w:val="21"/>
          <w:highlight w:val="none"/>
        </w:rPr>
      </w:pPr>
      <w:r>
        <w:rPr>
          <w:rFonts w:hint="eastAsia" w:ascii="黑体" w:hAnsi="黑体" w:eastAsia="黑体" w:cs="宋体"/>
          <w:szCs w:val="21"/>
          <w:highlight w:val="none"/>
        </w:rPr>
        <w:t>售价：￥</w:t>
      </w:r>
      <w:r>
        <w:rPr>
          <w:rFonts w:ascii="黑体" w:hAnsi="黑体" w:eastAsia="黑体" w:cs="宋体"/>
          <w:szCs w:val="21"/>
          <w:highlight w:val="none"/>
        </w:rPr>
        <w:t>30</w:t>
      </w:r>
      <w:r>
        <w:rPr>
          <w:rFonts w:hint="eastAsia" w:ascii="黑体" w:hAnsi="黑体" w:eastAsia="黑体" w:cs="宋体"/>
          <w:szCs w:val="21"/>
          <w:highlight w:val="none"/>
        </w:rPr>
        <w:t>0元</w:t>
      </w:r>
    </w:p>
    <w:p>
      <w:pPr>
        <w:pStyle w:val="30"/>
        <w:numPr>
          <w:ilvl w:val="0"/>
          <w:numId w:val="2"/>
        </w:numPr>
        <w:tabs>
          <w:tab w:val="left" w:pos="426"/>
        </w:tabs>
        <w:spacing w:line="360" w:lineRule="auto"/>
        <w:ind w:left="0" w:firstLine="0" w:firstLineChars="0"/>
        <w:rPr>
          <w:rFonts w:ascii="黑体" w:hAnsi="黑体" w:eastAsia="黑体"/>
          <w:b/>
          <w:szCs w:val="21"/>
          <w:highlight w:val="none"/>
        </w:rPr>
      </w:pPr>
      <w:r>
        <w:rPr>
          <w:rFonts w:hint="eastAsia" w:ascii="黑体" w:hAnsi="黑体" w:eastAsia="黑体"/>
          <w:b/>
          <w:szCs w:val="21"/>
          <w:highlight w:val="none"/>
        </w:rPr>
        <w:t>响应文件提交</w:t>
      </w:r>
    </w:p>
    <w:p>
      <w:pPr>
        <w:tabs>
          <w:tab w:val="left" w:pos="284"/>
          <w:tab w:val="left" w:pos="426"/>
        </w:tabs>
        <w:spacing w:line="360" w:lineRule="auto"/>
        <w:ind w:left="420" w:hanging="420" w:hangingChars="200"/>
        <w:rPr>
          <w:rFonts w:ascii="黑体" w:hAnsi="黑体" w:eastAsia="黑体"/>
          <w:szCs w:val="21"/>
          <w:highlight w:val="none"/>
        </w:rPr>
      </w:pPr>
      <w:r>
        <w:rPr>
          <w:rFonts w:hint="eastAsia" w:ascii="黑体" w:hAnsi="黑体" w:eastAsia="黑体"/>
          <w:szCs w:val="21"/>
          <w:highlight w:val="none"/>
        </w:rPr>
        <w:t xml:space="preserve">    截止时间</w:t>
      </w:r>
      <w:r>
        <w:rPr>
          <w:rFonts w:hint="eastAsia" w:ascii="黑体" w:hAnsi="黑体" w:eastAsia="黑体"/>
          <w:szCs w:val="21"/>
          <w:highlight w:val="none"/>
          <w:u w:val="single"/>
          <w:lang w:val="en-US" w:eastAsia="zh-CN"/>
        </w:rPr>
        <w:t>2023</w:t>
      </w:r>
      <w:r>
        <w:rPr>
          <w:rFonts w:hint="eastAsia" w:ascii="黑体" w:hAnsi="黑体" w:eastAsia="黑体"/>
          <w:szCs w:val="21"/>
          <w:highlight w:val="none"/>
          <w:u w:val="single"/>
        </w:rPr>
        <w:t>年</w:t>
      </w:r>
      <w:r>
        <w:rPr>
          <w:rFonts w:hint="eastAsia" w:ascii="黑体" w:hAnsi="黑体" w:eastAsia="黑体"/>
          <w:szCs w:val="21"/>
          <w:highlight w:val="none"/>
          <w:u w:val="single"/>
          <w:lang w:val="en-US" w:eastAsia="zh-CN"/>
        </w:rPr>
        <w:t>02</w:t>
      </w:r>
      <w:r>
        <w:rPr>
          <w:rFonts w:hint="eastAsia" w:ascii="黑体" w:hAnsi="黑体" w:eastAsia="黑体"/>
          <w:szCs w:val="21"/>
          <w:highlight w:val="none"/>
          <w:u w:val="single"/>
        </w:rPr>
        <w:t>月</w:t>
      </w:r>
      <w:r>
        <w:rPr>
          <w:rFonts w:hint="eastAsia" w:ascii="黑体" w:hAnsi="黑体" w:eastAsia="黑体"/>
          <w:szCs w:val="21"/>
          <w:highlight w:val="none"/>
          <w:u w:val="single"/>
          <w:lang w:val="en-US" w:eastAsia="zh-CN"/>
        </w:rPr>
        <w:t>17</w:t>
      </w:r>
      <w:r>
        <w:rPr>
          <w:rFonts w:hint="eastAsia" w:ascii="黑体" w:hAnsi="黑体" w:eastAsia="黑体"/>
          <w:szCs w:val="21"/>
          <w:highlight w:val="none"/>
          <w:u w:val="single"/>
        </w:rPr>
        <w:t>日</w:t>
      </w:r>
      <w:r>
        <w:rPr>
          <w:rFonts w:hint="eastAsia" w:ascii="黑体" w:hAnsi="黑体" w:eastAsia="黑体"/>
          <w:szCs w:val="21"/>
          <w:highlight w:val="none"/>
          <w:u w:val="single"/>
          <w:lang w:val="en-US" w:eastAsia="zh-CN"/>
        </w:rPr>
        <w:t>15</w:t>
      </w:r>
      <w:r>
        <w:rPr>
          <w:rFonts w:hint="eastAsia" w:ascii="黑体" w:hAnsi="黑体" w:eastAsia="黑体"/>
          <w:szCs w:val="21"/>
          <w:highlight w:val="none"/>
          <w:u w:val="single"/>
        </w:rPr>
        <w:t>点</w:t>
      </w:r>
      <w:r>
        <w:rPr>
          <w:rFonts w:hint="eastAsia" w:ascii="黑体" w:hAnsi="黑体" w:eastAsia="黑体"/>
          <w:szCs w:val="21"/>
          <w:highlight w:val="none"/>
          <w:u w:val="single"/>
          <w:lang w:val="en-US" w:eastAsia="zh-CN"/>
        </w:rPr>
        <w:t>00</w:t>
      </w:r>
      <w:r>
        <w:rPr>
          <w:rFonts w:hint="eastAsia" w:ascii="黑体" w:hAnsi="黑体" w:eastAsia="黑体"/>
          <w:szCs w:val="21"/>
          <w:highlight w:val="none"/>
          <w:u w:val="single"/>
        </w:rPr>
        <w:t>分</w:t>
      </w:r>
      <w:r>
        <w:rPr>
          <w:rFonts w:hint="eastAsia" w:ascii="黑体" w:hAnsi="黑体" w:eastAsia="黑体"/>
          <w:szCs w:val="21"/>
          <w:highlight w:val="none"/>
        </w:rPr>
        <w:t>（北京时间）（从采购文件开始发出之日起至供应商提交首次响应文件截止之日止不得少于3个工作日）</w:t>
      </w:r>
    </w:p>
    <w:p>
      <w:pPr>
        <w:pStyle w:val="30"/>
        <w:tabs>
          <w:tab w:val="left" w:pos="426"/>
        </w:tabs>
        <w:spacing w:line="360" w:lineRule="auto"/>
        <w:ind w:left="420" w:firstLine="0" w:firstLineChars="0"/>
        <w:rPr>
          <w:rFonts w:ascii="黑体" w:hAnsi="黑体" w:eastAsia="黑体"/>
          <w:szCs w:val="21"/>
          <w:highlight w:val="none"/>
        </w:rPr>
      </w:pPr>
      <w:r>
        <w:rPr>
          <w:rFonts w:hint="eastAsia" w:ascii="黑体" w:hAnsi="黑体" w:eastAsia="黑体"/>
          <w:szCs w:val="21"/>
          <w:highlight w:val="none"/>
        </w:rPr>
        <w:t>地点：汕头市龙湖区黄山路65号诚融大厦8楼808号房</w:t>
      </w:r>
    </w:p>
    <w:p>
      <w:pPr>
        <w:pStyle w:val="30"/>
        <w:numPr>
          <w:ilvl w:val="0"/>
          <w:numId w:val="2"/>
        </w:numPr>
        <w:tabs>
          <w:tab w:val="left" w:pos="426"/>
        </w:tabs>
        <w:spacing w:line="360" w:lineRule="auto"/>
        <w:ind w:left="-2" w:leftChars="-1" w:firstLine="1" w:firstLineChars="0"/>
        <w:rPr>
          <w:rFonts w:ascii="黑体" w:hAnsi="黑体" w:eastAsia="黑体"/>
          <w:b/>
          <w:szCs w:val="21"/>
          <w:highlight w:val="none"/>
        </w:rPr>
      </w:pPr>
      <w:r>
        <w:rPr>
          <w:rFonts w:hint="eastAsia" w:ascii="黑体" w:hAnsi="黑体" w:eastAsia="黑体"/>
          <w:b/>
          <w:szCs w:val="21"/>
          <w:highlight w:val="none"/>
        </w:rPr>
        <w:t>开启</w:t>
      </w:r>
    </w:p>
    <w:p>
      <w:pPr>
        <w:pStyle w:val="30"/>
        <w:tabs>
          <w:tab w:val="left" w:pos="426"/>
        </w:tabs>
        <w:spacing w:line="360" w:lineRule="auto"/>
        <w:ind w:left="-1"/>
        <w:rPr>
          <w:rFonts w:ascii="黑体" w:hAnsi="黑体" w:eastAsia="黑体"/>
          <w:szCs w:val="21"/>
          <w:highlight w:val="none"/>
        </w:rPr>
      </w:pPr>
      <w:r>
        <w:rPr>
          <w:rFonts w:hint="eastAsia" w:ascii="黑体" w:hAnsi="黑体" w:eastAsia="黑体"/>
          <w:szCs w:val="21"/>
          <w:highlight w:val="none"/>
        </w:rPr>
        <w:t>时间：2023年02月17日15点00分（北京时间）</w:t>
      </w:r>
    </w:p>
    <w:p>
      <w:pPr>
        <w:pStyle w:val="30"/>
        <w:tabs>
          <w:tab w:val="left" w:pos="426"/>
        </w:tabs>
        <w:spacing w:line="360" w:lineRule="auto"/>
        <w:ind w:left="-1"/>
        <w:rPr>
          <w:rFonts w:ascii="黑体" w:hAnsi="黑体" w:eastAsia="黑体"/>
          <w:szCs w:val="21"/>
          <w:highlight w:val="none"/>
        </w:rPr>
      </w:pPr>
      <w:r>
        <w:rPr>
          <w:rFonts w:hint="eastAsia" w:ascii="黑体" w:hAnsi="黑体" w:eastAsia="黑体"/>
          <w:szCs w:val="21"/>
          <w:highlight w:val="none"/>
        </w:rPr>
        <w:t>地点：汕头市龙湖区黄山路65号诚融大厦8楼808号房</w:t>
      </w:r>
    </w:p>
    <w:p>
      <w:pPr>
        <w:pStyle w:val="30"/>
        <w:numPr>
          <w:ilvl w:val="0"/>
          <w:numId w:val="2"/>
        </w:numPr>
        <w:tabs>
          <w:tab w:val="left" w:pos="426"/>
        </w:tabs>
        <w:spacing w:line="360" w:lineRule="auto"/>
        <w:ind w:left="-2" w:leftChars="-1" w:firstLine="1" w:firstLineChars="0"/>
        <w:rPr>
          <w:rFonts w:ascii="黑体" w:hAnsi="黑体" w:eastAsia="黑体"/>
          <w:b/>
          <w:szCs w:val="21"/>
          <w:highlight w:val="none"/>
        </w:rPr>
      </w:pPr>
      <w:r>
        <w:rPr>
          <w:rFonts w:hint="eastAsia" w:ascii="黑体" w:hAnsi="黑体" w:eastAsia="黑体"/>
          <w:b/>
          <w:szCs w:val="21"/>
          <w:highlight w:val="none"/>
        </w:rPr>
        <w:t>公告期限</w:t>
      </w:r>
    </w:p>
    <w:p>
      <w:pPr>
        <w:pStyle w:val="30"/>
        <w:tabs>
          <w:tab w:val="left" w:pos="426"/>
        </w:tabs>
        <w:spacing w:line="360" w:lineRule="auto"/>
        <w:ind w:left="420" w:firstLine="0" w:firstLineChars="0"/>
        <w:rPr>
          <w:rFonts w:ascii="黑体" w:hAnsi="黑体" w:eastAsia="黑体"/>
          <w:szCs w:val="21"/>
          <w:highlight w:val="none"/>
        </w:rPr>
      </w:pPr>
      <w:r>
        <w:rPr>
          <w:rFonts w:hint="eastAsia" w:ascii="黑体" w:hAnsi="黑体" w:eastAsia="黑体"/>
          <w:szCs w:val="21"/>
          <w:highlight w:val="none"/>
        </w:rPr>
        <w:t>自本公告发布之日起3个工作日。</w:t>
      </w:r>
    </w:p>
    <w:p>
      <w:pPr>
        <w:pStyle w:val="30"/>
        <w:numPr>
          <w:ilvl w:val="0"/>
          <w:numId w:val="2"/>
        </w:numPr>
        <w:tabs>
          <w:tab w:val="left" w:pos="426"/>
        </w:tabs>
        <w:spacing w:line="360" w:lineRule="auto"/>
        <w:ind w:firstLineChars="0"/>
        <w:rPr>
          <w:rFonts w:ascii="黑体" w:hAnsi="黑体" w:eastAsia="黑体"/>
          <w:b/>
          <w:szCs w:val="21"/>
          <w:highlight w:val="none"/>
        </w:rPr>
      </w:pPr>
      <w:r>
        <w:rPr>
          <w:rFonts w:hint="eastAsia" w:ascii="黑体" w:hAnsi="黑体" w:eastAsia="黑体"/>
          <w:b/>
          <w:szCs w:val="21"/>
          <w:highlight w:val="none"/>
        </w:rPr>
        <w:t>其他补充事宜</w:t>
      </w:r>
    </w:p>
    <w:p>
      <w:pPr>
        <w:pStyle w:val="30"/>
        <w:numPr>
          <w:ilvl w:val="0"/>
          <w:numId w:val="5"/>
        </w:numPr>
        <w:tabs>
          <w:tab w:val="left" w:pos="426"/>
        </w:tabs>
        <w:spacing w:line="360" w:lineRule="auto"/>
        <w:ind w:left="426" w:hanging="426" w:firstLineChars="0"/>
        <w:rPr>
          <w:rFonts w:ascii="黑体" w:hAnsi="黑体" w:eastAsia="黑体"/>
          <w:bCs/>
          <w:szCs w:val="21"/>
          <w:highlight w:val="none"/>
        </w:rPr>
      </w:pPr>
      <w:r>
        <w:rPr>
          <w:rFonts w:hint="eastAsia" w:ascii="黑体" w:hAnsi="黑体" w:eastAsia="黑体"/>
          <w:bCs/>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pPr>
        <w:pStyle w:val="30"/>
        <w:numPr>
          <w:ilvl w:val="0"/>
          <w:numId w:val="5"/>
        </w:numPr>
        <w:tabs>
          <w:tab w:val="left" w:pos="709"/>
        </w:tabs>
        <w:spacing w:line="360" w:lineRule="auto"/>
        <w:ind w:firstLineChars="0"/>
        <w:rPr>
          <w:rFonts w:ascii="黑体" w:hAnsi="黑体" w:eastAsia="黑体"/>
          <w:bCs/>
          <w:szCs w:val="21"/>
          <w:highlight w:val="none"/>
        </w:rPr>
      </w:pPr>
      <w:r>
        <w:rPr>
          <w:rFonts w:hint="eastAsia" w:ascii="黑体" w:hAnsi="黑体" w:eastAsia="黑体"/>
          <w:bCs/>
          <w:szCs w:val="21"/>
          <w:highlight w:val="none"/>
        </w:rPr>
        <w:t>采购文件公示/下载媒体</w:t>
      </w:r>
    </w:p>
    <w:p>
      <w:pPr>
        <w:pStyle w:val="30"/>
        <w:tabs>
          <w:tab w:val="left" w:pos="709"/>
        </w:tabs>
        <w:spacing w:line="360" w:lineRule="auto"/>
        <w:ind w:left="420" w:firstLine="0" w:firstLineChars="0"/>
        <w:rPr>
          <w:rFonts w:ascii="黑体" w:hAnsi="黑体" w:eastAsia="黑体"/>
          <w:bCs/>
          <w:szCs w:val="21"/>
          <w:highlight w:val="none"/>
        </w:rPr>
      </w:pPr>
      <w:r>
        <w:rPr>
          <w:rFonts w:hint="eastAsia" w:ascii="黑体" w:hAnsi="黑体" w:eastAsia="黑体"/>
          <w:bCs/>
          <w:szCs w:val="21"/>
          <w:highlight w:val="none"/>
        </w:rPr>
        <w:t>中国政府采购网</w:t>
      </w:r>
      <w:r>
        <w:rPr>
          <w:rFonts w:ascii="黑体" w:hAnsi="黑体" w:eastAsia="黑体"/>
          <w:bCs/>
          <w:szCs w:val="21"/>
          <w:highlight w:val="none"/>
        </w:rPr>
        <w:t>(</w:t>
      </w:r>
      <w:r>
        <w:rPr>
          <w:highlight w:val="none"/>
        </w:rPr>
        <w:fldChar w:fldCharType="begin"/>
      </w:r>
      <w:r>
        <w:rPr>
          <w:highlight w:val="none"/>
        </w:rPr>
        <w:instrText xml:space="preserve"> HYPERLINK "http://www.ccgp.gov.cn/" </w:instrText>
      </w:r>
      <w:r>
        <w:rPr>
          <w:highlight w:val="none"/>
        </w:rPr>
        <w:fldChar w:fldCharType="separate"/>
      </w:r>
      <w:r>
        <w:rPr>
          <w:rFonts w:ascii="黑体" w:hAnsi="黑体" w:eastAsia="黑体"/>
          <w:bCs/>
          <w:szCs w:val="21"/>
          <w:highlight w:val="none"/>
          <w:u w:val="single"/>
        </w:rPr>
        <w:t>http://www.ccgp.gov.cn/</w:t>
      </w:r>
      <w:r>
        <w:rPr>
          <w:rFonts w:ascii="黑体" w:hAnsi="黑体" w:eastAsia="黑体"/>
          <w:bCs/>
          <w:szCs w:val="21"/>
          <w:highlight w:val="none"/>
          <w:u w:val="single"/>
        </w:rPr>
        <w:fldChar w:fldCharType="end"/>
      </w:r>
      <w:r>
        <w:rPr>
          <w:rFonts w:ascii="黑体" w:hAnsi="黑体" w:eastAsia="黑体"/>
          <w:bCs/>
          <w:szCs w:val="21"/>
          <w:highlight w:val="none"/>
        </w:rPr>
        <w:t>)</w:t>
      </w:r>
      <w:r>
        <w:rPr>
          <w:rFonts w:hint="eastAsia" w:ascii="黑体" w:hAnsi="黑体" w:eastAsia="黑体"/>
          <w:bCs/>
          <w:szCs w:val="21"/>
          <w:highlight w:val="none"/>
        </w:rPr>
        <w:t>、中国采购与招标网(</w:t>
      </w:r>
      <w:r>
        <w:rPr>
          <w:rFonts w:hint="eastAsia" w:ascii="黑体" w:hAnsi="黑体" w:eastAsia="黑体"/>
          <w:bCs/>
          <w:szCs w:val="21"/>
          <w:highlight w:val="none"/>
          <w:u w:val="single"/>
        </w:rPr>
        <w:t>https://www.chinabidding.cn/</w:t>
      </w:r>
      <w:r>
        <w:rPr>
          <w:rFonts w:hint="eastAsia" w:ascii="黑体" w:hAnsi="黑体" w:eastAsia="黑体"/>
          <w:bCs/>
          <w:szCs w:val="21"/>
          <w:highlight w:val="none"/>
        </w:rPr>
        <w:t>)、广东智汇城市招标采购有限公司网站</w:t>
      </w:r>
      <w:r>
        <w:rPr>
          <w:rFonts w:ascii="黑体" w:hAnsi="黑体" w:eastAsia="黑体"/>
          <w:bCs/>
          <w:szCs w:val="21"/>
          <w:highlight w:val="none"/>
        </w:rPr>
        <w:t>(</w:t>
      </w:r>
      <w:r>
        <w:rPr>
          <w:rFonts w:ascii="黑体" w:hAnsi="黑体" w:eastAsia="黑体"/>
          <w:bCs/>
          <w:szCs w:val="21"/>
          <w:highlight w:val="none"/>
          <w:u w:val="single"/>
        </w:rPr>
        <w:t>http://www.gdzhcity.com/</w:t>
      </w:r>
      <w:r>
        <w:rPr>
          <w:rFonts w:ascii="黑体" w:hAnsi="黑体" w:eastAsia="黑体"/>
          <w:bCs/>
          <w:szCs w:val="21"/>
          <w:highlight w:val="none"/>
        </w:rPr>
        <w:t>)</w:t>
      </w:r>
    </w:p>
    <w:p>
      <w:pPr>
        <w:pStyle w:val="30"/>
        <w:numPr>
          <w:ilvl w:val="0"/>
          <w:numId w:val="5"/>
        </w:numPr>
        <w:tabs>
          <w:tab w:val="left" w:pos="426"/>
        </w:tabs>
        <w:spacing w:line="360" w:lineRule="auto"/>
        <w:ind w:left="426" w:hanging="426" w:firstLineChars="0"/>
        <w:rPr>
          <w:rFonts w:ascii="黑体" w:hAnsi="黑体" w:eastAsia="黑体"/>
          <w:bCs/>
          <w:szCs w:val="21"/>
          <w:highlight w:val="none"/>
        </w:rPr>
      </w:pPr>
      <w:r>
        <w:rPr>
          <w:rFonts w:hint="eastAsia" w:ascii="黑体" w:hAnsi="黑体" w:eastAsia="黑体"/>
          <w:bCs/>
          <w:szCs w:val="21"/>
          <w:highlight w:val="none"/>
        </w:rPr>
        <w:t>本项目采购标的所属行业为</w:t>
      </w:r>
      <w:r>
        <w:rPr>
          <w:rFonts w:hint="eastAsia" w:ascii="黑体" w:hAnsi="黑体" w:eastAsia="黑体"/>
          <w:bCs/>
          <w:szCs w:val="21"/>
          <w:highlight w:val="none"/>
          <w:u w:val="single"/>
        </w:rPr>
        <w:t>工业</w:t>
      </w:r>
      <w:r>
        <w:rPr>
          <w:rFonts w:hint="eastAsia" w:ascii="黑体" w:hAnsi="黑体" w:eastAsia="黑体"/>
          <w:bCs/>
          <w:szCs w:val="21"/>
          <w:highlight w:val="none"/>
        </w:rPr>
        <w:t>。</w:t>
      </w:r>
    </w:p>
    <w:p>
      <w:pPr>
        <w:pStyle w:val="30"/>
        <w:numPr>
          <w:ilvl w:val="0"/>
          <w:numId w:val="5"/>
        </w:numPr>
        <w:tabs>
          <w:tab w:val="left" w:pos="709"/>
        </w:tabs>
        <w:spacing w:line="360" w:lineRule="auto"/>
        <w:ind w:firstLineChars="0"/>
        <w:rPr>
          <w:rFonts w:ascii="黑体" w:hAnsi="黑体" w:eastAsia="黑体"/>
          <w:bCs/>
          <w:szCs w:val="21"/>
          <w:highlight w:val="none"/>
        </w:rPr>
      </w:pPr>
      <w:r>
        <w:rPr>
          <w:rFonts w:hint="eastAsia" w:ascii="黑体" w:hAnsi="黑体" w:eastAsia="黑体"/>
          <w:bCs/>
          <w:szCs w:val="21"/>
          <w:highlight w:val="none"/>
        </w:rPr>
        <w:t>拟参加本项目的潜在供应商须在规定时间内按要求获取采购文件后方可参与本项目的投标。获取采购文件后而不参加谈判的潜在供应商，请在开标日期三日前以书面形式通知采购代理机构。</w:t>
      </w:r>
    </w:p>
    <w:p>
      <w:pPr>
        <w:pStyle w:val="30"/>
        <w:numPr>
          <w:ilvl w:val="0"/>
          <w:numId w:val="5"/>
        </w:numPr>
        <w:spacing w:line="360" w:lineRule="auto"/>
        <w:ind w:firstLineChars="0"/>
        <w:rPr>
          <w:rFonts w:ascii="黑体" w:hAnsi="黑体" w:eastAsia="黑体"/>
          <w:bCs/>
          <w:szCs w:val="21"/>
          <w:highlight w:val="none"/>
        </w:rPr>
      </w:pPr>
      <w:r>
        <w:rPr>
          <w:rFonts w:hint="eastAsia" w:ascii="黑体" w:hAnsi="黑体" w:eastAsia="黑体"/>
          <w:bCs/>
          <w:szCs w:val="21"/>
          <w:highlight w:val="none"/>
        </w:rPr>
        <w:t>获取采购文件联系人及联系方式：袁小姐 0754-82770125</w:t>
      </w:r>
      <w:r>
        <w:rPr>
          <w:rFonts w:ascii="黑体" w:hAnsi="黑体" w:eastAsia="黑体"/>
          <w:bCs/>
          <w:szCs w:val="21"/>
          <w:highlight w:val="none"/>
        </w:rPr>
        <w:t xml:space="preserve"> </w:t>
      </w:r>
      <w:r>
        <w:rPr>
          <w:rFonts w:hint="eastAsia" w:ascii="黑体" w:hAnsi="黑体" w:eastAsia="黑体"/>
          <w:bCs/>
          <w:szCs w:val="21"/>
          <w:highlight w:val="none"/>
        </w:rPr>
        <w:t>邮箱：</w:t>
      </w:r>
      <w:r>
        <w:rPr>
          <w:highlight w:val="none"/>
        </w:rPr>
        <w:t>zhcs_st@163.com</w:t>
      </w:r>
      <w:r>
        <w:rPr>
          <w:rFonts w:hint="eastAsia" w:ascii="黑体" w:hAnsi="黑体" w:eastAsia="黑体"/>
          <w:bCs/>
          <w:szCs w:val="21"/>
          <w:highlight w:val="none"/>
        </w:rPr>
        <w:t>。</w:t>
      </w:r>
    </w:p>
    <w:p>
      <w:pPr>
        <w:pStyle w:val="30"/>
        <w:numPr>
          <w:ilvl w:val="0"/>
          <w:numId w:val="2"/>
        </w:numPr>
        <w:tabs>
          <w:tab w:val="left" w:pos="567"/>
        </w:tabs>
        <w:spacing w:before="156" w:beforeLines="50" w:line="360" w:lineRule="auto"/>
        <w:ind w:firstLineChars="0"/>
        <w:rPr>
          <w:rFonts w:ascii="黑体" w:hAnsi="黑体" w:eastAsia="黑体"/>
          <w:b/>
          <w:szCs w:val="21"/>
          <w:highlight w:val="none"/>
        </w:rPr>
      </w:pPr>
      <w:r>
        <w:rPr>
          <w:rFonts w:hint="eastAsia" w:ascii="黑体" w:hAnsi="黑体" w:eastAsia="黑体"/>
          <w:b/>
          <w:szCs w:val="21"/>
          <w:highlight w:val="none"/>
        </w:rPr>
        <w:t>对本次采购提出询问，请按以下方式联系。</w:t>
      </w:r>
    </w:p>
    <w:p>
      <w:pPr>
        <w:pStyle w:val="30"/>
        <w:numPr>
          <w:ilvl w:val="0"/>
          <w:numId w:val="6"/>
        </w:numPr>
        <w:tabs>
          <w:tab w:val="left" w:pos="567"/>
        </w:tabs>
        <w:spacing w:line="360" w:lineRule="auto"/>
        <w:ind w:firstLineChars="0"/>
        <w:rPr>
          <w:rFonts w:ascii="黑体" w:hAnsi="黑体" w:eastAsia="黑体"/>
          <w:b/>
          <w:szCs w:val="21"/>
          <w:highlight w:val="none"/>
        </w:rPr>
      </w:pPr>
      <w:r>
        <w:rPr>
          <w:rFonts w:hint="eastAsia" w:ascii="黑体" w:hAnsi="黑体" w:eastAsia="黑体"/>
          <w:b/>
          <w:szCs w:val="21"/>
          <w:highlight w:val="none"/>
        </w:rPr>
        <w:t>采购人信息</w:t>
      </w:r>
    </w:p>
    <w:p>
      <w:pPr>
        <w:tabs>
          <w:tab w:val="left" w:pos="567"/>
        </w:tabs>
        <w:spacing w:line="360" w:lineRule="auto"/>
        <w:ind w:left="424" w:leftChars="202"/>
        <w:rPr>
          <w:rFonts w:ascii="黑体" w:hAnsi="黑体" w:eastAsia="黑体"/>
          <w:bCs/>
          <w:szCs w:val="21"/>
          <w:highlight w:val="none"/>
        </w:rPr>
      </w:pPr>
      <w:r>
        <w:rPr>
          <w:rFonts w:hint="eastAsia" w:ascii="黑体" w:hAnsi="黑体" w:eastAsia="黑体"/>
          <w:bCs/>
          <w:szCs w:val="21"/>
          <w:highlight w:val="none"/>
        </w:rPr>
        <w:t>名 称：汕头市应急管理局</w:t>
      </w:r>
    </w:p>
    <w:p>
      <w:pPr>
        <w:tabs>
          <w:tab w:val="left" w:pos="567"/>
        </w:tabs>
        <w:spacing w:line="360" w:lineRule="auto"/>
        <w:ind w:left="424" w:leftChars="202"/>
        <w:rPr>
          <w:rFonts w:ascii="黑体" w:hAnsi="黑体" w:eastAsia="黑体"/>
          <w:bCs/>
          <w:szCs w:val="21"/>
          <w:highlight w:val="none"/>
        </w:rPr>
      </w:pPr>
      <w:r>
        <w:rPr>
          <w:rFonts w:hint="eastAsia" w:ascii="黑体" w:hAnsi="黑体" w:eastAsia="黑体"/>
          <w:bCs/>
          <w:szCs w:val="21"/>
          <w:highlight w:val="none"/>
        </w:rPr>
        <w:t>地址：汕头市龙湖区金砂东路151号5楼</w:t>
      </w:r>
    </w:p>
    <w:p>
      <w:pPr>
        <w:tabs>
          <w:tab w:val="left" w:pos="567"/>
        </w:tabs>
        <w:spacing w:line="360" w:lineRule="auto"/>
        <w:ind w:left="424" w:leftChars="202"/>
        <w:rPr>
          <w:rFonts w:ascii="黑体" w:hAnsi="黑体" w:eastAsia="黑体"/>
          <w:b/>
          <w:szCs w:val="21"/>
          <w:highlight w:val="none"/>
        </w:rPr>
      </w:pPr>
      <w:r>
        <w:rPr>
          <w:rFonts w:hint="eastAsia" w:ascii="黑体" w:hAnsi="黑体" w:eastAsia="黑体"/>
          <w:bCs/>
          <w:szCs w:val="21"/>
          <w:highlight w:val="none"/>
        </w:rPr>
        <w:t>联系方式：0754-87272363</w:t>
      </w:r>
    </w:p>
    <w:p>
      <w:pPr>
        <w:pStyle w:val="30"/>
        <w:numPr>
          <w:ilvl w:val="0"/>
          <w:numId w:val="6"/>
        </w:numPr>
        <w:tabs>
          <w:tab w:val="left" w:pos="567"/>
        </w:tabs>
        <w:spacing w:line="360" w:lineRule="auto"/>
        <w:ind w:firstLineChars="0"/>
        <w:rPr>
          <w:rFonts w:ascii="黑体" w:hAnsi="黑体" w:eastAsia="黑体"/>
          <w:b/>
          <w:szCs w:val="21"/>
          <w:highlight w:val="none"/>
        </w:rPr>
      </w:pPr>
      <w:r>
        <w:rPr>
          <w:rFonts w:hint="eastAsia" w:ascii="黑体" w:hAnsi="黑体" w:eastAsia="黑体"/>
          <w:b/>
          <w:szCs w:val="21"/>
          <w:highlight w:val="none"/>
        </w:rPr>
        <w:t>采购代理机构信息</w:t>
      </w:r>
    </w:p>
    <w:p>
      <w:pPr>
        <w:tabs>
          <w:tab w:val="left" w:pos="567"/>
        </w:tabs>
        <w:spacing w:line="360" w:lineRule="auto"/>
        <w:ind w:left="424" w:leftChars="202"/>
        <w:rPr>
          <w:rFonts w:ascii="黑体" w:hAnsi="黑体" w:eastAsia="黑体"/>
          <w:bCs/>
          <w:szCs w:val="21"/>
          <w:highlight w:val="none"/>
        </w:rPr>
      </w:pPr>
      <w:r>
        <w:rPr>
          <w:rFonts w:hint="eastAsia" w:ascii="黑体" w:hAnsi="黑体" w:eastAsia="黑体"/>
          <w:bCs/>
          <w:szCs w:val="21"/>
          <w:highlight w:val="none"/>
        </w:rPr>
        <w:t xml:space="preserve">名 </w:t>
      </w:r>
      <w:r>
        <w:rPr>
          <w:rFonts w:ascii="黑体" w:hAnsi="黑体" w:eastAsia="黑体"/>
          <w:bCs/>
          <w:szCs w:val="21"/>
          <w:highlight w:val="none"/>
        </w:rPr>
        <w:t xml:space="preserve"> </w:t>
      </w:r>
      <w:r>
        <w:rPr>
          <w:rFonts w:hint="eastAsia" w:ascii="黑体" w:hAnsi="黑体" w:eastAsia="黑体"/>
          <w:bCs/>
          <w:szCs w:val="21"/>
          <w:highlight w:val="none"/>
        </w:rPr>
        <w:t>称：广东智汇城市招标采购有限公司</w:t>
      </w:r>
    </w:p>
    <w:p>
      <w:pPr>
        <w:tabs>
          <w:tab w:val="left" w:pos="567"/>
        </w:tabs>
        <w:spacing w:line="360" w:lineRule="auto"/>
        <w:ind w:left="424" w:leftChars="202"/>
        <w:rPr>
          <w:rFonts w:ascii="黑体" w:hAnsi="黑体" w:eastAsia="黑体"/>
          <w:bCs/>
          <w:szCs w:val="21"/>
          <w:highlight w:val="none"/>
        </w:rPr>
      </w:pPr>
      <w:r>
        <w:rPr>
          <w:rFonts w:hint="eastAsia" w:ascii="黑体" w:hAnsi="黑体" w:eastAsia="黑体"/>
          <w:bCs/>
          <w:szCs w:val="21"/>
          <w:highlight w:val="none"/>
        </w:rPr>
        <w:t>地　址：汕头市龙湖区黄山路65号诚融大厦8楼808、809号房</w:t>
      </w:r>
    </w:p>
    <w:p>
      <w:pPr>
        <w:tabs>
          <w:tab w:val="left" w:pos="567"/>
        </w:tabs>
        <w:spacing w:line="360" w:lineRule="auto"/>
        <w:ind w:left="424" w:leftChars="202"/>
        <w:rPr>
          <w:rFonts w:ascii="黑体" w:hAnsi="黑体" w:eastAsia="黑体"/>
          <w:b/>
          <w:szCs w:val="21"/>
          <w:highlight w:val="none"/>
        </w:rPr>
      </w:pPr>
      <w:r>
        <w:rPr>
          <w:rFonts w:hint="eastAsia" w:ascii="黑体" w:hAnsi="黑体" w:eastAsia="黑体"/>
          <w:bCs/>
          <w:szCs w:val="21"/>
          <w:highlight w:val="none"/>
        </w:rPr>
        <w:t>联系方式：0754-82770125</w:t>
      </w:r>
    </w:p>
    <w:p>
      <w:pPr>
        <w:pStyle w:val="30"/>
        <w:numPr>
          <w:ilvl w:val="0"/>
          <w:numId w:val="6"/>
        </w:numPr>
        <w:tabs>
          <w:tab w:val="left" w:pos="567"/>
        </w:tabs>
        <w:spacing w:line="360" w:lineRule="auto"/>
        <w:ind w:firstLineChars="0"/>
        <w:rPr>
          <w:rFonts w:ascii="黑体" w:hAnsi="黑体" w:eastAsia="黑体"/>
          <w:b/>
          <w:szCs w:val="21"/>
          <w:highlight w:val="none"/>
        </w:rPr>
      </w:pPr>
      <w:r>
        <w:rPr>
          <w:rFonts w:hint="eastAsia" w:ascii="黑体" w:hAnsi="黑体" w:eastAsia="黑体"/>
          <w:b/>
          <w:szCs w:val="21"/>
          <w:highlight w:val="none"/>
        </w:rPr>
        <w:t>项目联系方式</w:t>
      </w:r>
    </w:p>
    <w:p>
      <w:pPr>
        <w:tabs>
          <w:tab w:val="left" w:pos="567"/>
        </w:tabs>
        <w:spacing w:line="360" w:lineRule="auto"/>
        <w:ind w:left="283" w:leftChars="135" w:firstLine="142" w:firstLineChars="68"/>
        <w:rPr>
          <w:rFonts w:ascii="黑体" w:hAnsi="黑体" w:eastAsia="黑体"/>
          <w:bCs/>
          <w:szCs w:val="21"/>
          <w:highlight w:val="none"/>
        </w:rPr>
      </w:pPr>
      <w:r>
        <w:rPr>
          <w:rFonts w:hint="eastAsia" w:ascii="黑体" w:hAnsi="黑体" w:eastAsia="黑体"/>
          <w:bCs/>
          <w:szCs w:val="21"/>
          <w:highlight w:val="none"/>
        </w:rPr>
        <w:t>项目联系人：袁小姐</w:t>
      </w:r>
    </w:p>
    <w:p>
      <w:pPr>
        <w:tabs>
          <w:tab w:val="left" w:pos="567"/>
        </w:tabs>
        <w:spacing w:line="360" w:lineRule="auto"/>
        <w:ind w:left="283" w:leftChars="135" w:firstLine="142" w:firstLineChars="68"/>
        <w:rPr>
          <w:rFonts w:ascii="黑体" w:hAnsi="黑体" w:eastAsia="黑体"/>
          <w:b/>
          <w:szCs w:val="21"/>
          <w:highlight w:val="none"/>
        </w:rPr>
      </w:pPr>
      <w:r>
        <w:rPr>
          <w:rFonts w:hint="eastAsia" w:ascii="黑体" w:hAnsi="黑体" w:eastAsia="黑体"/>
          <w:bCs/>
          <w:szCs w:val="21"/>
          <w:highlight w:val="none"/>
        </w:rPr>
        <w:t>电　话：0754-82770125</w:t>
      </w:r>
    </w:p>
    <w:p>
      <w:pPr>
        <w:tabs>
          <w:tab w:val="left" w:pos="567"/>
        </w:tabs>
        <w:spacing w:before="840" w:line="360" w:lineRule="auto"/>
        <w:jc w:val="right"/>
        <w:rPr>
          <w:rFonts w:ascii="黑体" w:hAnsi="黑体" w:eastAsia="黑体"/>
          <w:b/>
          <w:szCs w:val="21"/>
          <w:highlight w:val="none"/>
        </w:rPr>
      </w:pPr>
      <w:r>
        <w:rPr>
          <w:rFonts w:hint="eastAsia" w:ascii="黑体" w:hAnsi="黑体" w:eastAsia="黑体"/>
          <w:b/>
          <w:szCs w:val="21"/>
          <w:highlight w:val="none"/>
        </w:rPr>
        <w:t>发布人：广东智汇城市招标采购有限公司</w:t>
      </w:r>
    </w:p>
    <w:p>
      <w:pPr>
        <w:tabs>
          <w:tab w:val="left" w:pos="567"/>
        </w:tabs>
        <w:spacing w:before="156" w:line="360" w:lineRule="auto"/>
        <w:jc w:val="right"/>
        <w:rPr>
          <w:rFonts w:ascii="黑体" w:hAnsi="黑体" w:eastAsia="黑体"/>
          <w:b/>
          <w:szCs w:val="21"/>
          <w:highlight w:val="none"/>
        </w:rPr>
      </w:pPr>
      <w:r>
        <w:rPr>
          <w:rFonts w:hint="eastAsia" w:ascii="黑体" w:hAnsi="黑体" w:eastAsia="黑体"/>
          <w:b/>
          <w:szCs w:val="21"/>
          <w:highlight w:val="none"/>
        </w:rPr>
        <w:t>发布时间：</w:t>
      </w:r>
      <w:r>
        <w:rPr>
          <w:rFonts w:hint="eastAsia" w:ascii="黑体" w:hAnsi="黑体" w:eastAsia="黑体"/>
          <w:b/>
          <w:szCs w:val="21"/>
          <w:highlight w:val="none"/>
          <w:lang w:val="en-US" w:eastAsia="zh-CN"/>
        </w:rPr>
        <w:t>2023</w:t>
      </w:r>
      <w:r>
        <w:rPr>
          <w:rFonts w:hint="eastAsia" w:ascii="黑体" w:hAnsi="黑体" w:eastAsia="黑体"/>
          <w:b/>
          <w:szCs w:val="21"/>
          <w:highlight w:val="none"/>
        </w:rPr>
        <w:t>年</w:t>
      </w:r>
      <w:r>
        <w:rPr>
          <w:rFonts w:hint="eastAsia" w:ascii="黑体" w:hAnsi="黑体" w:eastAsia="黑体"/>
          <w:b/>
          <w:szCs w:val="21"/>
          <w:highlight w:val="none"/>
          <w:lang w:val="en-US" w:eastAsia="zh-CN"/>
        </w:rPr>
        <w:t>02</w:t>
      </w:r>
      <w:r>
        <w:rPr>
          <w:rFonts w:hint="eastAsia" w:ascii="黑体" w:hAnsi="黑体" w:eastAsia="黑体"/>
          <w:b/>
          <w:szCs w:val="21"/>
          <w:highlight w:val="none"/>
        </w:rPr>
        <w:t>月</w:t>
      </w:r>
      <w:r>
        <w:rPr>
          <w:rFonts w:hint="eastAsia" w:ascii="黑体" w:hAnsi="黑体" w:eastAsia="黑体"/>
          <w:b/>
          <w:szCs w:val="21"/>
          <w:highlight w:val="none"/>
          <w:lang w:val="en-US" w:eastAsia="zh-CN"/>
        </w:rPr>
        <w:t>13</w:t>
      </w:r>
      <w:r>
        <w:rPr>
          <w:rFonts w:hint="eastAsia" w:ascii="黑体" w:hAnsi="黑体" w:eastAsia="黑体"/>
          <w:b/>
          <w:szCs w:val="21"/>
          <w:highlight w:val="none"/>
        </w:rPr>
        <w:t>日</w:t>
      </w:r>
    </w:p>
    <w:p>
      <w:pPr>
        <w:pageBreakBefore/>
        <w:spacing w:before="340" w:after="330" w:line="360" w:lineRule="auto"/>
        <w:jc w:val="center"/>
        <w:outlineLvl w:val="0"/>
        <w:rPr>
          <w:rFonts w:ascii="黑体" w:hAnsi="黑体" w:eastAsia="黑体"/>
          <w:b/>
          <w:spacing w:val="20"/>
          <w:kern w:val="44"/>
          <w:sz w:val="32"/>
          <w:szCs w:val="32"/>
          <w:highlight w:val="none"/>
        </w:rPr>
      </w:pPr>
      <w:bookmarkStart w:id="10" w:name="_Toc90976500"/>
      <w:bookmarkStart w:id="11" w:name="_Toc91018639"/>
      <w:bookmarkStart w:id="12" w:name="_Toc29930"/>
      <w:bookmarkStart w:id="13" w:name="_Toc391627749"/>
      <w:bookmarkStart w:id="14" w:name="_Toc405313953"/>
      <w:bookmarkStart w:id="15" w:name="_Toc13732723"/>
      <w:r>
        <w:rPr>
          <w:rFonts w:hint="eastAsia" w:ascii="黑体" w:hAnsi="黑体" w:eastAsia="黑体"/>
          <w:b/>
          <w:spacing w:val="20"/>
          <w:kern w:val="44"/>
          <w:sz w:val="32"/>
          <w:szCs w:val="32"/>
          <w:highlight w:val="none"/>
        </w:rPr>
        <w:t>第二部分</w:t>
      </w:r>
      <w:r>
        <w:rPr>
          <w:rFonts w:ascii="黑体" w:hAnsi="黑体" w:eastAsia="黑体"/>
          <w:b/>
          <w:spacing w:val="20"/>
          <w:kern w:val="44"/>
          <w:sz w:val="32"/>
          <w:szCs w:val="32"/>
          <w:highlight w:val="none"/>
        </w:rPr>
        <w:t xml:space="preserve"> </w:t>
      </w:r>
      <w:r>
        <w:rPr>
          <w:rFonts w:hint="eastAsia" w:ascii="黑体" w:hAnsi="黑体" w:eastAsia="黑体"/>
          <w:b/>
          <w:spacing w:val="20"/>
          <w:kern w:val="44"/>
          <w:sz w:val="32"/>
          <w:szCs w:val="32"/>
          <w:highlight w:val="none"/>
        </w:rPr>
        <w:t>采购需求</w:t>
      </w:r>
      <w:bookmarkEnd w:id="10"/>
      <w:bookmarkEnd w:id="11"/>
      <w:bookmarkEnd w:id="12"/>
      <w:bookmarkStart w:id="16" w:name="_Hlk90919605"/>
    </w:p>
    <w:p>
      <w:pPr>
        <w:spacing w:line="360" w:lineRule="auto"/>
        <w:contextualSpacing/>
        <w:rPr>
          <w:rFonts w:ascii="黑体" w:hAnsi="黑体" w:eastAsia="黑体"/>
          <w:b/>
          <w:szCs w:val="21"/>
          <w:highlight w:val="none"/>
        </w:rPr>
      </w:pPr>
      <w:r>
        <w:rPr>
          <w:rFonts w:hint="eastAsia" w:ascii="黑体" w:hAnsi="黑体" w:eastAsia="黑体"/>
          <w:b/>
          <w:szCs w:val="21"/>
          <w:highlight w:val="none"/>
        </w:rPr>
        <w:t>说明：</w:t>
      </w:r>
    </w:p>
    <w:p>
      <w:pPr>
        <w:numPr>
          <w:ilvl w:val="0"/>
          <w:numId w:val="7"/>
        </w:numPr>
        <w:spacing w:line="360" w:lineRule="auto"/>
        <w:rPr>
          <w:rFonts w:ascii="黑体" w:hAnsi="黑体" w:eastAsia="黑体"/>
          <w:szCs w:val="21"/>
          <w:highlight w:val="none"/>
        </w:rPr>
      </w:pPr>
      <w:r>
        <w:rPr>
          <w:rFonts w:hint="eastAsia" w:ascii="黑体" w:hAnsi="黑体" w:eastAsia="黑体"/>
          <w:szCs w:val="21"/>
          <w:highlight w:val="none"/>
        </w:rPr>
        <w:t>采购需求中所有列出的相关货物技术要求均不是唯一指定，即供应商可就货物提出替代标准，只要相当于（或优于）规定的货物品质和性能等技术参数要求，并提供满足采购需求要求的证明材料，则视为合格。但凡标有“★”的地方均被视为重要的技术指标要求或性能要求，供应商要特别加以注意，必须对此回答并完全满足这些要求，否则若有一项带“★”的指标未响应或不满足，将按无效响应文件处理。</w:t>
      </w:r>
    </w:p>
    <w:p>
      <w:pPr>
        <w:pStyle w:val="30"/>
        <w:numPr>
          <w:ilvl w:val="0"/>
          <w:numId w:val="7"/>
        </w:numPr>
        <w:spacing w:line="360" w:lineRule="auto"/>
        <w:ind w:firstLineChars="0"/>
        <w:rPr>
          <w:rFonts w:ascii="黑体" w:hAnsi="黑体" w:eastAsia="黑体"/>
          <w:szCs w:val="21"/>
          <w:highlight w:val="none"/>
        </w:rPr>
      </w:pPr>
      <w:r>
        <w:rPr>
          <w:rFonts w:hint="eastAsia" w:ascii="黑体" w:hAnsi="黑体" w:eastAsia="黑体"/>
          <w:szCs w:val="21"/>
          <w:highlight w:val="none"/>
        </w:rPr>
        <w:t>响应报价中不得包含采购文件要求以外的内容，否则，在评审时不予核减。若响应报价有缺漏项的，缺漏项部分的价格视为已包含在响应报价中，成交后不作任何调整。</w:t>
      </w:r>
    </w:p>
    <w:p>
      <w:pPr>
        <w:pStyle w:val="30"/>
        <w:numPr>
          <w:ilvl w:val="0"/>
          <w:numId w:val="8"/>
        </w:numPr>
        <w:spacing w:line="360" w:lineRule="auto"/>
        <w:ind w:firstLineChars="0"/>
        <w:contextualSpacing/>
        <w:rPr>
          <w:rFonts w:ascii="黑体" w:hAnsi="黑体" w:eastAsia="黑体"/>
          <w:b/>
          <w:szCs w:val="21"/>
          <w:highlight w:val="none"/>
        </w:rPr>
      </w:pPr>
      <w:r>
        <w:rPr>
          <w:rFonts w:ascii="黑体" w:hAnsi="黑体" w:eastAsia="黑体"/>
          <w:b/>
          <w:szCs w:val="21"/>
          <w:highlight w:val="none"/>
        </w:rPr>
        <w:t>项目概述</w:t>
      </w:r>
    </w:p>
    <w:p>
      <w:pPr>
        <w:spacing w:line="360" w:lineRule="auto"/>
        <w:ind w:firstLine="420" w:firstLineChars="200"/>
        <w:contextualSpacing/>
        <w:rPr>
          <w:rFonts w:ascii="黑体" w:hAnsi="黑体" w:eastAsia="黑体"/>
          <w:bCs/>
          <w:szCs w:val="21"/>
          <w:highlight w:val="none"/>
        </w:rPr>
      </w:pPr>
      <w:r>
        <w:rPr>
          <w:rFonts w:hint="eastAsia" w:ascii="黑体" w:hAnsi="黑体" w:eastAsia="黑体"/>
          <w:bCs/>
          <w:szCs w:val="21"/>
          <w:highlight w:val="none"/>
        </w:rPr>
        <w:t>按照省厅《广东省应急管理厅关于下达2023年灾害防治及应急管理专项资金任务清单和绩效目标的通知》（粤应急函〔2022〕502号）、《关于印发广东省应急管理厅强化地市灾害事故现场指挥部通信保障能力建设指引的通知》（粤应急办〔2022〕82号）有关要求，为更好地履行汕头市应急管理局应急指挥调度、应急救援职能，通过配置部署Ka卫星便携站、CPE、视频会议终端、75寸显示终端、MESH室外型单兵背负终端、移动电源、天通卫星电话（全向天线）、应急照明灯、HDMI矩阵、数字调音系统（带10路麦克风、音频处理器、会议讨论主机、反馈抑制器等）、音响等系统设备对应急管理现场指挥部进行搭建，满足灾害事故现场指挥部基本通信需求，实现通信即时连通、场景即时传播、指令即时下达，从而提升灾害事故现场的应急通信保障能力，提高灾害事故现场应急救援效率。</w:t>
      </w:r>
    </w:p>
    <w:p>
      <w:pPr>
        <w:pStyle w:val="30"/>
        <w:numPr>
          <w:ilvl w:val="0"/>
          <w:numId w:val="8"/>
        </w:numPr>
        <w:spacing w:before="312" w:beforeLines="100" w:line="360" w:lineRule="auto"/>
        <w:ind w:left="499" w:hanging="499" w:firstLineChars="0"/>
        <w:contextualSpacing/>
        <w:rPr>
          <w:rFonts w:ascii="黑体" w:hAnsi="黑体" w:eastAsia="黑体"/>
          <w:b/>
          <w:szCs w:val="21"/>
          <w:highlight w:val="none"/>
        </w:rPr>
      </w:pPr>
      <w:r>
        <w:rPr>
          <w:rFonts w:ascii="黑体" w:hAnsi="黑体" w:eastAsia="黑体"/>
          <w:b/>
          <w:szCs w:val="21"/>
          <w:highlight w:val="none"/>
        </w:rPr>
        <w:t>商务要求</w:t>
      </w:r>
    </w:p>
    <w:p>
      <w:pPr>
        <w:pStyle w:val="30"/>
        <w:numPr>
          <w:ilvl w:val="0"/>
          <w:numId w:val="9"/>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w:t>
      </w:r>
      <w:r>
        <w:rPr>
          <w:rFonts w:hint="eastAsia" w:ascii="黑体" w:hAnsi="黑体" w:eastAsia="黑体"/>
          <w:b/>
          <w:iCs/>
          <w:szCs w:val="21"/>
          <w:highlight w:val="none"/>
        </w:rPr>
        <w:t>交货期：合同签订之日起</w:t>
      </w:r>
      <w:r>
        <w:rPr>
          <w:rFonts w:ascii="黑体" w:hAnsi="黑体" w:eastAsia="黑体"/>
          <w:b/>
          <w:iCs/>
          <w:szCs w:val="21"/>
          <w:highlight w:val="none"/>
        </w:rPr>
        <w:t>30</w:t>
      </w:r>
      <w:r>
        <w:rPr>
          <w:rFonts w:hint="eastAsia" w:ascii="黑体" w:hAnsi="黑体" w:eastAsia="黑体"/>
          <w:b/>
          <w:iCs/>
          <w:szCs w:val="21"/>
          <w:highlight w:val="none"/>
        </w:rPr>
        <w:t>天内完成供货、安装、验收并交付采购人使用。</w:t>
      </w:r>
    </w:p>
    <w:p>
      <w:pPr>
        <w:pStyle w:val="30"/>
        <w:numPr>
          <w:ilvl w:val="0"/>
          <w:numId w:val="9"/>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交付地点：采购人指定地点。</w:t>
      </w:r>
    </w:p>
    <w:p>
      <w:pPr>
        <w:pStyle w:val="30"/>
        <w:numPr>
          <w:ilvl w:val="0"/>
          <w:numId w:val="9"/>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付款方式</w:t>
      </w:r>
    </w:p>
    <w:p>
      <w:pPr>
        <w:pStyle w:val="30"/>
        <w:numPr>
          <w:ilvl w:val="0"/>
          <w:numId w:val="10"/>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合同签订之日起7个工作日内采购人向成交供应商支付合同总价</w:t>
      </w:r>
      <w:r>
        <w:rPr>
          <w:rFonts w:hint="eastAsia" w:ascii="黑体" w:hAnsi="黑体" w:eastAsia="黑体"/>
          <w:iCs/>
          <w:szCs w:val="21"/>
          <w:highlight w:val="none"/>
          <w:lang w:val="en-US" w:eastAsia="zh-CN"/>
        </w:rPr>
        <w:t>5</w:t>
      </w:r>
      <w:r>
        <w:rPr>
          <w:rFonts w:hint="eastAsia" w:ascii="黑体" w:hAnsi="黑体" w:eastAsia="黑体"/>
          <w:iCs/>
          <w:szCs w:val="21"/>
          <w:highlight w:val="none"/>
        </w:rPr>
        <w:t>0%。</w:t>
      </w:r>
    </w:p>
    <w:p>
      <w:pPr>
        <w:pStyle w:val="30"/>
        <w:numPr>
          <w:ilvl w:val="0"/>
          <w:numId w:val="10"/>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项目验收通过后7个工作日内采购人向成交供应商支付剩余合同总价</w:t>
      </w:r>
      <w:r>
        <w:rPr>
          <w:rFonts w:hint="eastAsia" w:ascii="黑体" w:hAnsi="黑体" w:eastAsia="黑体"/>
          <w:iCs/>
          <w:szCs w:val="21"/>
          <w:highlight w:val="none"/>
          <w:lang w:val="en-US" w:eastAsia="zh-CN"/>
        </w:rPr>
        <w:t>5</w:t>
      </w:r>
      <w:r>
        <w:rPr>
          <w:rFonts w:hint="eastAsia" w:ascii="黑体" w:hAnsi="黑体" w:eastAsia="黑体"/>
          <w:iCs/>
          <w:szCs w:val="21"/>
          <w:highlight w:val="none"/>
        </w:rPr>
        <w:t>0%。</w:t>
      </w:r>
    </w:p>
    <w:p>
      <w:pPr>
        <w:pStyle w:val="30"/>
        <w:numPr>
          <w:ilvl w:val="0"/>
          <w:numId w:val="10"/>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支付方式：成交供应商申请款项同时，需向采购人提供等值合法有效发票。</w:t>
      </w:r>
    </w:p>
    <w:p>
      <w:pPr>
        <w:pStyle w:val="30"/>
        <w:numPr>
          <w:ilvl w:val="0"/>
          <w:numId w:val="9"/>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包装和运输</w:t>
      </w:r>
    </w:p>
    <w:p>
      <w:pPr>
        <w:pStyle w:val="30"/>
        <w:numPr>
          <w:ilvl w:val="0"/>
          <w:numId w:val="11"/>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设备的包装必须是制造商原厂包装、全新、未使用过的。</w:t>
      </w:r>
    </w:p>
    <w:p>
      <w:pPr>
        <w:pStyle w:val="30"/>
        <w:numPr>
          <w:ilvl w:val="0"/>
          <w:numId w:val="11"/>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包装均应有良好的防湿、防锈、防潮、防雨、防腐及防碰撞的措施。凡由于包装不良造成的损失和由此产生的费用均由成交供应商承担。</w:t>
      </w:r>
    </w:p>
    <w:p>
      <w:pPr>
        <w:pStyle w:val="30"/>
        <w:numPr>
          <w:ilvl w:val="0"/>
          <w:numId w:val="11"/>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设备至采购人指定地点的包装、保险及运输等环节和费用均由成交供应商负责。</w:t>
      </w:r>
    </w:p>
    <w:p>
      <w:pPr>
        <w:pStyle w:val="30"/>
        <w:numPr>
          <w:ilvl w:val="0"/>
          <w:numId w:val="9"/>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售后服务</w:t>
      </w:r>
    </w:p>
    <w:p>
      <w:pPr>
        <w:pStyle w:val="30"/>
        <w:numPr>
          <w:ilvl w:val="0"/>
          <w:numId w:val="12"/>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w:t>
      </w:r>
      <w:r>
        <w:rPr>
          <w:rFonts w:hint="eastAsia" w:ascii="黑体" w:hAnsi="黑体" w:eastAsia="黑体"/>
          <w:b/>
          <w:iCs/>
          <w:szCs w:val="21"/>
          <w:highlight w:val="none"/>
        </w:rPr>
        <w:t>质保期：自项目验收合格之日起1年（若制造商提供质保期超过一年的，则以制造商提供的质保期为准）。</w:t>
      </w:r>
    </w:p>
    <w:p>
      <w:pPr>
        <w:pStyle w:val="30"/>
        <w:numPr>
          <w:ilvl w:val="0"/>
          <w:numId w:val="12"/>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本项目所有硬件设备，履行原厂提供的质保服务；</w:t>
      </w:r>
    </w:p>
    <w:p>
      <w:pPr>
        <w:pStyle w:val="30"/>
        <w:numPr>
          <w:ilvl w:val="0"/>
          <w:numId w:val="12"/>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成交供应商需设立报障电话，设备出现故障后，应及时维修。一般设备发生故障后，维护人员应在2小时内到达现场，并在8小时的期限内修复。特殊情况不能修复的，要查出故障原因，并提出解决方案。网络故障响应处理时间应少于30分钟，到达现场时间应少于60分钟。按照故障程度，一般故障2小时修复，重大故障4小时内修复，特殊情况，最长不得超过8小时。线路故障时，维护单位应采取有力措施及时修复。</w:t>
      </w:r>
    </w:p>
    <w:p>
      <w:pPr>
        <w:pStyle w:val="30"/>
        <w:numPr>
          <w:ilvl w:val="0"/>
          <w:numId w:val="12"/>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提供完备的记录。巡检、维护、软件升级、维修等记录应提交采购人存档。</w:t>
      </w:r>
    </w:p>
    <w:p>
      <w:pPr>
        <w:pStyle w:val="30"/>
        <w:numPr>
          <w:ilvl w:val="0"/>
          <w:numId w:val="12"/>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系统设备维护的安全要求：必须做好维护、维修人员的身份审核；全程记录相关操作过程，记录必要的软件/设备维护信息；在维护、维修工作中必须防止系统规划、用户信息、图像资源等信息的泄露。</w:t>
      </w:r>
    </w:p>
    <w:p>
      <w:pPr>
        <w:pStyle w:val="30"/>
        <w:numPr>
          <w:ilvl w:val="0"/>
          <w:numId w:val="9"/>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验收要求</w:t>
      </w:r>
    </w:p>
    <w:p>
      <w:pPr>
        <w:pStyle w:val="30"/>
        <w:numPr>
          <w:ilvl w:val="0"/>
          <w:numId w:val="13"/>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要求对全部设备、产品的型号、规格、数量、外型、外观、包装及资料、文件（如装箱单、保修单、随箱介质等）的验收。</w:t>
      </w:r>
    </w:p>
    <w:p>
      <w:pPr>
        <w:pStyle w:val="30"/>
        <w:numPr>
          <w:ilvl w:val="0"/>
          <w:numId w:val="13"/>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成交供应商应负责在项目验收时将全部有关产品说明书、原厂家安装手册、技术文件、资料等文档汇集成册交付采购人和监理单位。</w:t>
      </w:r>
    </w:p>
    <w:p>
      <w:pPr>
        <w:pStyle w:val="30"/>
        <w:numPr>
          <w:ilvl w:val="0"/>
          <w:numId w:val="13"/>
        </w:numPr>
        <w:spacing w:line="360" w:lineRule="auto"/>
        <w:ind w:firstLineChars="0"/>
        <w:contextualSpacing/>
        <w:rPr>
          <w:rFonts w:ascii="黑体" w:hAnsi="黑体" w:eastAsia="黑体"/>
          <w:iCs/>
          <w:szCs w:val="21"/>
          <w:highlight w:val="none"/>
        </w:rPr>
      </w:pPr>
      <w:r>
        <w:rPr>
          <w:rFonts w:hint="eastAsia" w:ascii="黑体" w:hAnsi="黑体" w:eastAsia="黑体"/>
          <w:iCs/>
          <w:szCs w:val="21"/>
          <w:highlight w:val="none"/>
        </w:rPr>
        <w:t>货物符合采购文件技术要求，性能满足要求。设备若有国家标准按照国家标准验收，若无国家标准按行业标准验收，为原制造商制造的全新产品，整机无污染，无侵权行为、表面无划损、无任何缺陷隐患，在中国境内可依常规安全合法使用。</w:t>
      </w:r>
    </w:p>
    <w:p>
      <w:pPr>
        <w:pStyle w:val="30"/>
        <w:numPr>
          <w:ilvl w:val="0"/>
          <w:numId w:val="8"/>
        </w:numPr>
        <w:spacing w:before="312" w:beforeLines="100" w:line="360" w:lineRule="auto"/>
        <w:ind w:left="499" w:hanging="499" w:firstLineChars="0"/>
        <w:contextualSpacing/>
        <w:rPr>
          <w:rFonts w:ascii="黑体" w:hAnsi="黑体" w:eastAsia="黑体"/>
          <w:b/>
          <w:szCs w:val="21"/>
          <w:highlight w:val="none"/>
        </w:rPr>
      </w:pPr>
      <w:r>
        <w:rPr>
          <w:rFonts w:ascii="黑体" w:hAnsi="黑体" w:eastAsia="黑体"/>
          <w:b/>
          <w:szCs w:val="21"/>
          <w:highlight w:val="none"/>
        </w:rPr>
        <w:t>技术要求</w:t>
      </w:r>
    </w:p>
    <w:p>
      <w:pPr>
        <w:pStyle w:val="30"/>
        <w:numPr>
          <w:ilvl w:val="0"/>
          <w:numId w:val="1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采购需求</w:t>
      </w:r>
    </w:p>
    <w:p>
      <w:pPr>
        <w:pStyle w:val="30"/>
        <w:numPr>
          <w:ilvl w:val="0"/>
          <w:numId w:val="1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采购清单</w:t>
      </w:r>
    </w:p>
    <w:tbl>
      <w:tblPr>
        <w:tblStyle w:val="19"/>
        <w:tblW w:w="49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890"/>
        <w:gridCol w:w="3003"/>
        <w:gridCol w:w="625"/>
        <w:gridCol w:w="598"/>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序号</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设备名称</w:t>
            </w:r>
          </w:p>
        </w:tc>
        <w:tc>
          <w:tcPr>
            <w:tcW w:w="17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用途</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单位</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数量</w:t>
            </w:r>
          </w:p>
        </w:tc>
        <w:tc>
          <w:tcPr>
            <w:tcW w:w="1015"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1</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Ka卫星便携站</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提供Ka卫星宽带传输 链路，确保现场音视频等数据实时回传，与分队卫星设备互为主备</w:t>
            </w:r>
          </w:p>
        </w:tc>
        <w:tc>
          <w:tcPr>
            <w:tcW w:w="364" w:type="pct"/>
            <w:vAlign w:val="center"/>
          </w:tcPr>
          <w:p>
            <w:pPr>
              <w:spacing w:line="360" w:lineRule="auto"/>
              <w:contextualSpacing/>
              <w:jc w:val="center"/>
              <w:rPr>
                <w:rFonts w:ascii="黑体" w:hAnsi="黑体" w:eastAsia="黑体" w:cs="宋体"/>
                <w:color w:val="000000"/>
                <w:kern w:val="0"/>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cs="宋体"/>
                <w:color w:val="000000"/>
                <w:kern w:val="0"/>
                <w:szCs w:val="21"/>
                <w:highlight w:val="none"/>
              </w:rPr>
            </w:pPr>
            <w:r>
              <w:rPr>
                <w:rFonts w:hint="eastAsia" w:ascii="黑体" w:hAnsi="黑体" w:eastAsia="黑体" w:cs="宋体"/>
                <w:color w:val="000000"/>
                <w:kern w:val="0"/>
                <w:szCs w:val="21"/>
                <w:highlight w:val="none"/>
              </w:rPr>
              <w:t>1</w:t>
            </w:r>
          </w:p>
        </w:tc>
        <w:tc>
          <w:tcPr>
            <w:tcW w:w="1015"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含一年任用宽带流量费（上6下20M）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2</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CPE宽带路由器</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将运营商公网信号转换有线或无线信号， 供灾害现场其他设备使用</w:t>
            </w:r>
          </w:p>
        </w:tc>
        <w:tc>
          <w:tcPr>
            <w:tcW w:w="364" w:type="pct"/>
            <w:vAlign w:val="center"/>
          </w:tcPr>
          <w:p>
            <w:pPr>
              <w:spacing w:line="360" w:lineRule="auto"/>
              <w:contextualSpacing/>
              <w:jc w:val="center"/>
              <w:rPr>
                <w:rFonts w:ascii="黑体" w:hAnsi="黑体" w:eastAsia="黑体" w:cs="宋体"/>
                <w:color w:val="000000"/>
                <w:kern w:val="0"/>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cs="宋体"/>
                <w:color w:val="000000"/>
                <w:kern w:val="0"/>
                <w:szCs w:val="21"/>
                <w:highlight w:val="none"/>
              </w:rPr>
            </w:pPr>
            <w:r>
              <w:rPr>
                <w:rFonts w:hint="eastAsia" w:ascii="黑体" w:hAnsi="黑体" w:eastAsia="黑体" w:cs="宋体"/>
                <w:color w:val="000000"/>
                <w:kern w:val="0"/>
                <w:szCs w:val="21"/>
                <w:highlight w:val="none"/>
              </w:rPr>
              <w:t>3</w:t>
            </w:r>
          </w:p>
        </w:tc>
        <w:tc>
          <w:tcPr>
            <w:tcW w:w="1015"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含3张100G全年流量卡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3</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视频会议终端</w:t>
            </w:r>
          </w:p>
        </w:tc>
        <w:tc>
          <w:tcPr>
            <w:tcW w:w="1748" w:type="pct"/>
            <w:vAlign w:val="center"/>
          </w:tcPr>
          <w:p>
            <w:pPr>
              <w:spacing w:line="360" w:lineRule="auto"/>
              <w:contextualSpacing/>
              <w:rPr>
                <w:rFonts w:ascii="黑体" w:hAnsi="黑体" w:eastAsia="黑体"/>
                <w:bCs/>
                <w:szCs w:val="21"/>
                <w:highlight w:val="none"/>
              </w:rPr>
            </w:pPr>
            <w:r>
              <w:rPr>
                <w:rFonts w:ascii="黑体" w:hAnsi="黑体" w:eastAsia="黑体" w:cs="宋体"/>
                <w:color w:val="000000"/>
                <w:kern w:val="0"/>
                <w:szCs w:val="21"/>
                <w:highlight w:val="none"/>
              </w:rPr>
              <w:t>2</w:t>
            </w:r>
            <w:r>
              <w:rPr>
                <w:rFonts w:hint="eastAsia" w:ascii="黑体" w:hAnsi="黑体" w:eastAsia="黑体" w:cs="宋体"/>
                <w:color w:val="000000"/>
                <w:kern w:val="0"/>
                <w:szCs w:val="21"/>
                <w:highlight w:val="none"/>
              </w:rPr>
              <w:t>套设备互为主备用，实现现场指挥部和省指挥中心、市指挥中心的视频会商</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套</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2</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4</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75寸显示终端</w:t>
            </w:r>
          </w:p>
        </w:tc>
        <w:tc>
          <w:tcPr>
            <w:tcW w:w="1748" w:type="pct"/>
            <w:vAlign w:val="center"/>
          </w:tcPr>
          <w:p>
            <w:pPr>
              <w:spacing w:line="360" w:lineRule="auto"/>
              <w:contextualSpacing/>
              <w:rPr>
                <w:rFonts w:ascii="黑体" w:hAnsi="黑体" w:eastAsia="黑体"/>
                <w:bCs/>
                <w:szCs w:val="21"/>
                <w:highlight w:val="none"/>
              </w:rPr>
            </w:pP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套</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2</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5</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MESH室外型单兵背负终端</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用于在公网信号、卫星信号全部失效情况下，采用现场构建MESH自组网，实现信号跳接，满足现场指挥部信号需求</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套</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2</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6</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移动电源</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为现场各类通信保障设备提供便携式电源。</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3</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7</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kern w:val="0"/>
                <w:szCs w:val="21"/>
                <w:highlight w:val="none"/>
              </w:rPr>
              <w:t>天通</w:t>
            </w:r>
            <w:r>
              <w:rPr>
                <w:rFonts w:hint="eastAsia" w:ascii="黑体" w:hAnsi="黑体" w:eastAsia="黑体" w:cs="宋体"/>
                <w:color w:val="000000"/>
                <w:kern w:val="0"/>
                <w:szCs w:val="21"/>
                <w:highlight w:val="none"/>
              </w:rPr>
              <w:t>卫星电话（全向天线）</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在偏远地带、恶劣天气以及无公网通信情况下使用，作为语音通信的保底手段</w:t>
            </w:r>
          </w:p>
        </w:tc>
        <w:tc>
          <w:tcPr>
            <w:tcW w:w="364" w:type="pct"/>
            <w:vAlign w:val="center"/>
          </w:tcPr>
          <w:p>
            <w:pPr>
              <w:spacing w:line="360" w:lineRule="auto"/>
              <w:contextualSpacing/>
              <w:jc w:val="center"/>
              <w:rPr>
                <w:rFonts w:ascii="黑体" w:hAnsi="黑体" w:eastAsia="黑体" w:cs="宋体"/>
                <w:color w:val="000000"/>
                <w:kern w:val="0"/>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cs="宋体"/>
                <w:color w:val="000000"/>
                <w:kern w:val="0"/>
                <w:szCs w:val="21"/>
                <w:highlight w:val="none"/>
              </w:rPr>
            </w:pPr>
            <w:r>
              <w:rPr>
                <w:rFonts w:hint="eastAsia" w:ascii="黑体" w:hAnsi="黑体" w:eastAsia="黑体" w:cs="宋体"/>
                <w:color w:val="000000"/>
                <w:kern w:val="0"/>
                <w:szCs w:val="21"/>
                <w:highlight w:val="none"/>
              </w:rPr>
              <w:t>1</w:t>
            </w:r>
          </w:p>
        </w:tc>
        <w:tc>
          <w:tcPr>
            <w:tcW w:w="1015"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含一张4G电话卡年卡、含一张天通卫星接入及通信费用（语音套餐1000元/1500分钟/年、短信套餐100元/300条/年）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8</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应急照明灯</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用于灾害现场特殊情况照明使用</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3</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9</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HDMI矩阵</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集中控制处理现场指挥部的多路视频信号</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1</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1</w:t>
            </w:r>
            <w:r>
              <w:rPr>
                <w:rFonts w:ascii="黑体" w:hAnsi="黑体" w:eastAsia="黑体"/>
                <w:bCs/>
                <w:szCs w:val="21"/>
                <w:highlight w:val="none"/>
              </w:rPr>
              <w:t>0</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数字调音系统（带10路麦克风、音频处理器、会议讨论主机、反馈抑制器等）</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集中控制处理现场指挥部的多路音频信号，进行多路信号混合加工等</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个</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1</w:t>
            </w:r>
          </w:p>
        </w:tc>
        <w:tc>
          <w:tcPr>
            <w:tcW w:w="1015" w:type="pct"/>
            <w:vAlign w:val="center"/>
          </w:tcPr>
          <w:p>
            <w:pPr>
              <w:spacing w:line="360" w:lineRule="auto"/>
              <w:contextualSpacing/>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bCs/>
                <w:szCs w:val="21"/>
                <w:highlight w:val="none"/>
              </w:rPr>
              <w:t>1</w:t>
            </w:r>
            <w:r>
              <w:rPr>
                <w:rFonts w:ascii="黑体" w:hAnsi="黑体" w:eastAsia="黑体"/>
                <w:bCs/>
                <w:szCs w:val="21"/>
                <w:highlight w:val="none"/>
              </w:rPr>
              <w:t>1</w:t>
            </w:r>
          </w:p>
        </w:tc>
        <w:tc>
          <w:tcPr>
            <w:tcW w:w="1100"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音响</w:t>
            </w:r>
          </w:p>
        </w:tc>
        <w:tc>
          <w:tcPr>
            <w:tcW w:w="1748" w:type="pct"/>
            <w:vAlign w:val="center"/>
          </w:tcPr>
          <w:p>
            <w:pPr>
              <w:spacing w:line="360" w:lineRule="auto"/>
              <w:contextualSpacing/>
              <w:rPr>
                <w:rFonts w:ascii="黑体" w:hAnsi="黑体" w:eastAsia="黑体"/>
                <w:bCs/>
                <w:szCs w:val="21"/>
                <w:highlight w:val="none"/>
              </w:rPr>
            </w:pPr>
            <w:r>
              <w:rPr>
                <w:rFonts w:hint="eastAsia" w:ascii="黑体" w:hAnsi="黑体" w:eastAsia="黑体" w:cs="宋体"/>
                <w:color w:val="000000"/>
                <w:kern w:val="0"/>
                <w:szCs w:val="21"/>
                <w:highlight w:val="none"/>
              </w:rPr>
              <w:t>用于声音放大，以支撑灾害现场的指令传达、紧急通信、应急抢险等</w:t>
            </w:r>
          </w:p>
        </w:tc>
        <w:tc>
          <w:tcPr>
            <w:tcW w:w="364"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对</w:t>
            </w:r>
          </w:p>
        </w:tc>
        <w:tc>
          <w:tcPr>
            <w:tcW w:w="348" w:type="pct"/>
            <w:vAlign w:val="center"/>
          </w:tcPr>
          <w:p>
            <w:pPr>
              <w:spacing w:line="360" w:lineRule="auto"/>
              <w:contextualSpacing/>
              <w:jc w:val="center"/>
              <w:rPr>
                <w:rFonts w:ascii="黑体" w:hAnsi="黑体" w:eastAsia="黑体"/>
                <w:bCs/>
                <w:szCs w:val="21"/>
                <w:highlight w:val="none"/>
              </w:rPr>
            </w:pPr>
            <w:r>
              <w:rPr>
                <w:rFonts w:hint="eastAsia" w:ascii="黑体" w:hAnsi="黑体" w:eastAsia="黑体" w:cs="宋体"/>
                <w:color w:val="000000"/>
                <w:kern w:val="0"/>
                <w:szCs w:val="21"/>
                <w:highlight w:val="none"/>
              </w:rPr>
              <w:t>1</w:t>
            </w:r>
          </w:p>
        </w:tc>
        <w:tc>
          <w:tcPr>
            <w:tcW w:w="1015" w:type="pct"/>
            <w:vAlign w:val="center"/>
          </w:tcPr>
          <w:p>
            <w:pPr>
              <w:spacing w:line="360" w:lineRule="auto"/>
              <w:contextualSpacing/>
              <w:rPr>
                <w:rFonts w:ascii="黑体" w:hAnsi="黑体" w:eastAsia="黑体"/>
                <w:bCs/>
                <w:szCs w:val="21"/>
                <w:highlight w:val="none"/>
              </w:rPr>
            </w:pPr>
          </w:p>
        </w:tc>
      </w:tr>
    </w:tbl>
    <w:p>
      <w:pPr>
        <w:pStyle w:val="30"/>
        <w:numPr>
          <w:ilvl w:val="0"/>
          <w:numId w:val="1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设备参数</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Ka卫星便携站</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天线形式:三分瓣偏馈单反射面；</w:t>
      </w:r>
      <w:r>
        <w:rPr>
          <w:rFonts w:ascii="黑体" w:hAnsi="黑体" w:eastAsia="黑体"/>
          <w:szCs w:val="21"/>
          <w:highlight w:val="none"/>
        </w:rPr>
        <w:t xml:space="preserve"> </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等效天线口径≤0.5m，功放≥4w；</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卫星便携站采用一体化设计，手自一体，自动对星同时自动上线入网，时间≤2分钟；</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反射面通电后自动展开；</w:t>
      </w:r>
      <w:r>
        <w:rPr>
          <w:rFonts w:ascii="黑体" w:hAnsi="黑体" w:eastAsia="黑体"/>
          <w:szCs w:val="21"/>
          <w:highlight w:val="none"/>
        </w:rPr>
        <w:t xml:space="preserve"> </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跨波束使用时，自动切换波束，无需手动设置参数，时间≤5分钟；</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支持OpenAMIP协议配置参数；</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工作频率：发射（Tx）28.10~30.00GHz，接收（Rx）18.20~20.20GHz；</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天线增益:发射(Tx)42.4dBi，接收(Rx)38.8dBi；</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终端站的上行传输能力≥6Mbps，下行传输能力≥20Mbps； </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内置调制解调器、无线路由、电源管理设备等，满负荷电池供电时间≥4h； </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收发信机TX模块：输入频率：1400-2400Mhz输出频率：29.0-30.0Ghz本振频率：27.6Ghz；收发信机RX模块：输入频率：17.8-19.0Ghz；19.0-20.2Ghz输出频率：950-2150Mhz本振频率：18.05GHz(22KHz 开)/16.85 GHz或18.05Ghz/17.65Ghz/17.35Ghz/17.65Ghz；</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收发信机工作温度：-40到60°C</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内置调制解调器：下行信道标准：DVB-S2自适应编码和调制（ACM）载波速率：1.5Msps-67Msps调制：QPSK, 8PSK, 16APSK, 32APSK编码：LDPC，BCH FEC：QPSK（1/4, 1/3, 2/5, 1/2, 3/5, 2/3, 3/4, 4/5,5/6, 8/9）、8PSK（3/5 ,2/3, 3/4, 5/6, 8/9）、16APSK（2/3, 3/4, 4/5, 5/6, 8/9）、32APSK（3/4, 4/5, 5/6, 8/9）；</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上行信道（TDMA）接入方式：MF-TDMA，动态信道；符号速率：128, 256, 320, 384, 512, 640, 832, 1024,1280, 1536,2048, 2560, 3072, 4096, 5120, 6144最大数据速率：12Mbps调制：BPSK, QPSK, 8PSK, 16QAM编码：TPC FEC：BPSK（1/3 , 2/5）、QPSK （1/2, 2/3, 3/4, 4/5, 6/7）、8PSK （2/3, 3/4, 4/5, 6/7）；</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内置调制解调器接口控制协议：Open AMIP(TCP/IP)；SNMP；Modem Performance Data Stream(UDP)； </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内置调制解调器IP功能：IPv4/IPv6,TCP,UDP,ICMP, DHCP, NAT/PAT, DNS Caching,cRTP, IGMPv2,SIP,DiffServ,VLANs,RIPv2,Static Routes；</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内置调制解调器安全功能：AES-256位链路加密；IPSEC客户端；ACL防火墙；X.509终端认证；</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内置调制解调器支持TCP加速、VoIP优化、HTTP加速和压缩、GTP蜂窝数据加速、最大2000个TCP会话连接、二层帧加速转发；</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工作温度：-20～+55℃；</w:t>
      </w:r>
    </w:p>
    <w:p>
      <w:pPr>
        <w:pStyle w:val="30"/>
        <w:widowControl/>
        <w:numPr>
          <w:ilvl w:val="0"/>
          <w:numId w:val="1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整套设备背负全重（含天线、电池、功放等所有部件）≤</w:t>
      </w:r>
      <w:r>
        <w:rPr>
          <w:rFonts w:ascii="黑体" w:hAnsi="黑体" w:eastAsia="黑体"/>
          <w:szCs w:val="21"/>
          <w:highlight w:val="none"/>
        </w:rPr>
        <w:t>10</w:t>
      </w:r>
      <w:r>
        <w:rPr>
          <w:rFonts w:hint="eastAsia" w:ascii="黑体" w:hAnsi="黑体" w:eastAsia="黑体"/>
          <w:szCs w:val="21"/>
          <w:highlight w:val="none"/>
        </w:rPr>
        <w:t>kg。</w:t>
      </w:r>
    </w:p>
    <w:p>
      <w:pPr>
        <w:pStyle w:val="30"/>
        <w:widowControl/>
        <w:numPr>
          <w:ilvl w:val="0"/>
          <w:numId w:val="16"/>
        </w:numPr>
        <w:spacing w:line="360" w:lineRule="auto"/>
        <w:ind w:firstLineChars="0"/>
        <w:contextualSpacing/>
        <w:rPr>
          <w:rFonts w:ascii="黑体" w:hAnsi="黑体" w:eastAsia="黑体"/>
          <w:b/>
          <w:szCs w:val="21"/>
          <w:highlight w:val="none"/>
        </w:rPr>
      </w:pPr>
      <w:r>
        <w:rPr>
          <w:rFonts w:ascii="黑体" w:hAnsi="黑体" w:eastAsia="黑体"/>
          <w:b/>
          <w:szCs w:val="21"/>
          <w:highlight w:val="none"/>
        </w:rPr>
        <w:t>CPE</w:t>
      </w:r>
      <w:r>
        <w:rPr>
          <w:rFonts w:hint="eastAsia" w:ascii="黑体" w:hAnsi="黑体" w:eastAsia="黑体" w:cs="宋体"/>
          <w:b/>
          <w:color w:val="000000"/>
          <w:kern w:val="0"/>
          <w:szCs w:val="21"/>
          <w:highlight w:val="none"/>
        </w:rPr>
        <w:t>宽带路由器</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传输协议：802.11 ac/a/n 2×2 &amp; 802.11 b/g/n 2×2，MIMO</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最大传输速率(Mbps)：1167Mbps</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WAN接口：不少于1个Wan/Lan自适应千兆网口、不少于1个 SIM 卡安装槽(Nano-SIM)</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天线类型：内置天线</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传输速率(Mbps)：4G传输速率1.6Gbps/150Mbps，5G传输速率2.33Gbps/1.25Gbps(理论值，实际速率以运营商为准)</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频率范围：2.4GHz&amp;5GHz，支持5GHz优选</w:t>
      </w:r>
    </w:p>
    <w:p>
      <w:pPr>
        <w:pStyle w:val="30"/>
        <w:widowControl/>
        <w:numPr>
          <w:ilvl w:val="0"/>
          <w:numId w:val="1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LAN接口：不少于1个千兆Lan口</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视频会议终端</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要求采用分体式设计，提供同品牌独立的光学高清摄像机、同品牌独立的全向麦克风、同品牌无线传屏器。配备独立遥控器对终端、会议摄像头进行统一控制，不得使用鼠标键盘控制。终端支持19英寸机架安装，采用嵌入式操作系统、非PC架构，产品稳定可靠，支持7×24小时开机运行</w:t>
      </w:r>
      <w:r>
        <w:rPr>
          <w:rFonts w:hint="eastAsia" w:ascii="黑体" w:hAnsi="黑体" w:eastAsia="黑体"/>
          <w:szCs w:val="21"/>
          <w:highlight w:val="none"/>
        </w:rPr>
        <w:t>。</w:t>
      </w:r>
      <w:r>
        <w:rPr>
          <w:rFonts w:hint="eastAsia" w:ascii="黑体" w:hAnsi="黑体" w:eastAsia="黑体"/>
          <w:szCs w:val="21"/>
          <w:highlight w:val="none"/>
          <w:lang w:eastAsia="zh-CN"/>
        </w:rPr>
        <w:t>（</w:t>
      </w:r>
      <w:r>
        <w:rPr>
          <w:rFonts w:hint="eastAsia" w:ascii="黑体" w:hAnsi="黑体" w:eastAsia="黑体"/>
          <w:szCs w:val="21"/>
          <w:highlight w:val="none"/>
          <w:lang w:val="en-US" w:eastAsia="zh-CN"/>
        </w:rPr>
        <w:t>注：</w:t>
      </w:r>
      <w:r>
        <w:rPr>
          <w:rFonts w:hint="eastAsia" w:ascii="黑体" w:hAnsi="黑体" w:eastAsia="黑体"/>
          <w:szCs w:val="21"/>
          <w:highlight w:val="none"/>
        </w:rPr>
        <w:t>须提供承诺函加盖供应商公章</w:t>
      </w:r>
      <w:r>
        <w:rPr>
          <w:rFonts w:hint="eastAsia" w:ascii="黑体" w:hAnsi="黑体" w:eastAsia="黑体"/>
          <w:szCs w:val="21"/>
          <w:highlight w:val="none"/>
          <w:lang w:eastAsia="zh-CN"/>
        </w:rPr>
        <w:t>）</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★支持与广东省省应急管理厅现有视频连线系统互联互通，本次建设终端要求支持主动呼叫以及被邀请接入会议。</w:t>
      </w:r>
      <w:r>
        <w:rPr>
          <w:rFonts w:hint="eastAsia" w:ascii="黑体" w:hAnsi="黑体" w:eastAsia="黑体"/>
          <w:szCs w:val="21"/>
          <w:highlight w:val="none"/>
        </w:rPr>
        <w:t>（注：须提供承诺函加盖供应商公章）</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至少具备4个高清视频输入接口。为便于运维使用，终端应支持POE技术连接摄像头，传输距离不低于100米，能够通过网线实现视频、控制、电源信号传输。要求提供终端背板清晰照片。</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配置不少于2个XLR平衡输入接口，2个RCA输入接口；2个RCA输出接口，方便与现场音频系统集成。提供终端背板清晰照片。</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支持H.264 HP SVC视频编码技术，能够适应不同线路带宽、不同设备能力、不同网络环境的组网需求；支持OPUS、G.711、G.722等宽频音频编解码协议。一次编码支持3种或以上分辨率、速率、帧率视频码流。</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内置的麦克风支持高保真智能降噪，至少8米以内的有效拾音距离。支持语音优化处理能力，包含且不限于具备回声消除、自动降噪、自动增益控制、自动增强、突出人声，支持唇音同步等技术功能。</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配套摄像机要求与终端同一品牌，支持不低于1080P60 fps活动图像采集和输出。支持至少12倍光学变焦，水平视角不小于70°，水平转动范围±170°，垂直转动范围±30°，支持倒装。支持RJ45视频输出接口。需提供摄像机背板照片。</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配备无线传屏器，支持PC在不依赖视频线缆和软件客户端情况下，通过使用无线传屏器实现PC内容的共享，同时抓取并共享内容播放的声音。</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★具备会议录制功能，在会中可对正在召开的视频会议进行自主的录制，并可将会议内容进行保存、点播。</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系统具备良好的网络适应性，要求系统支持网络抗丢包算法，在丢包率50%的情况下能保证视频流畅传输，帧率不低于20帧/秒；在网络丢包率80%的情况下，语义依然可理解。</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用户密码等敏感信息要求采用加密存储，媒体传输支持国密加密算法。</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★要求支持二维码签到功能</w:t>
      </w:r>
      <w:r>
        <w:rPr>
          <w:rFonts w:hint="eastAsia" w:ascii="黑体" w:hAnsi="黑体" w:eastAsia="黑体"/>
          <w:b/>
          <w:bCs/>
          <w:szCs w:val="21"/>
          <w:highlight w:val="none"/>
          <w:lang w:eastAsia="zh-CN"/>
        </w:rPr>
        <w:t>，</w:t>
      </w:r>
      <w:r>
        <w:rPr>
          <w:rFonts w:hint="eastAsia" w:ascii="黑体" w:hAnsi="黑体" w:eastAsia="黑体"/>
          <w:b/>
          <w:bCs/>
          <w:szCs w:val="21"/>
          <w:highlight w:val="none"/>
        </w:rPr>
        <w:t>现场人员可以通过终端进行远程签到。</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★要求支持远程答题功能</w:t>
      </w:r>
      <w:r>
        <w:rPr>
          <w:rFonts w:hint="eastAsia" w:ascii="黑体" w:hAnsi="黑体" w:eastAsia="黑体"/>
          <w:b/>
          <w:bCs/>
          <w:szCs w:val="21"/>
          <w:highlight w:val="none"/>
          <w:lang w:eastAsia="zh-CN"/>
        </w:rPr>
        <w:t>，</w:t>
      </w:r>
      <w:r>
        <w:rPr>
          <w:rFonts w:hint="eastAsia" w:ascii="黑体" w:hAnsi="黑体" w:eastAsia="黑体"/>
          <w:b/>
          <w:bCs/>
          <w:szCs w:val="21"/>
          <w:highlight w:val="none"/>
        </w:rPr>
        <w:t>本终端加入会议时，本会议室相关人员可以通过手机等设备参与远程答题。</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★提供会议运维分析功能</w:t>
      </w:r>
      <w:r>
        <w:rPr>
          <w:rFonts w:hint="eastAsia" w:ascii="黑体" w:hAnsi="黑体" w:eastAsia="黑体"/>
          <w:b/>
          <w:bCs/>
          <w:szCs w:val="21"/>
          <w:highlight w:val="none"/>
          <w:lang w:eastAsia="zh-CN"/>
        </w:rPr>
        <w:t>，</w:t>
      </w:r>
      <w:r>
        <w:rPr>
          <w:rFonts w:hint="eastAsia" w:ascii="黑体" w:hAnsi="黑体" w:eastAsia="黑体"/>
          <w:b/>
          <w:bCs/>
          <w:szCs w:val="21"/>
          <w:highlight w:val="none"/>
        </w:rPr>
        <w:t>管理员可以监控终端当前会议网络质量，查看入会终端的音视频和网络质量，可以用趋势图的方式显示会场接收、发送的图像分辨率和帧率，网络带宽情况、丢包率情况、网络抖动情况和网络往返时延情况</w:t>
      </w:r>
      <w:r>
        <w:rPr>
          <w:rFonts w:hint="eastAsia" w:ascii="黑体" w:hAnsi="黑体" w:eastAsia="黑体"/>
          <w:b/>
          <w:bCs/>
          <w:szCs w:val="21"/>
          <w:highlight w:val="none"/>
          <w:lang w:eastAsia="zh-CN"/>
        </w:rPr>
        <w:t>。</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w:t>
      </w:r>
      <w:r>
        <w:rPr>
          <w:rFonts w:hint="eastAsia" w:ascii="黑体" w:hAnsi="黑体" w:eastAsia="黑体"/>
          <w:szCs w:val="21"/>
          <w:highlight w:val="none"/>
          <w:lang w:val="en-US" w:eastAsia="zh-CN"/>
        </w:rPr>
        <w:t>及</w:t>
      </w:r>
      <w:r>
        <w:rPr>
          <w:rFonts w:hint="eastAsia" w:ascii="黑体" w:hAnsi="黑体" w:eastAsia="黑体"/>
          <w:szCs w:val="21"/>
          <w:highlight w:val="none"/>
        </w:rPr>
        <w:t>提供历史会议质量查询相关功能截图并加盖供应商公章）</w:t>
      </w:r>
    </w:p>
    <w:p>
      <w:pPr>
        <w:pStyle w:val="30"/>
        <w:widowControl/>
        <w:numPr>
          <w:ilvl w:val="0"/>
          <w:numId w:val="1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★提供终端设备在线监测功能，管理员能够远程检测视频终端设备状态，可以掌握终端设备的摄像头、麦克风、扬声器、网络健康状态，检测结果可以导出。（注：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75寸显示终端</w:t>
      </w:r>
    </w:p>
    <w:p>
      <w:pPr>
        <w:pStyle w:val="30"/>
        <w:widowControl/>
        <w:numPr>
          <w:ilvl w:val="0"/>
          <w:numId w:val="2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75</w:t>
      </w:r>
      <w:r>
        <w:rPr>
          <w:rFonts w:hint="eastAsia" w:ascii="黑体" w:hAnsi="黑体" w:eastAsia="黑体"/>
          <w:b/>
          <w:szCs w:val="21"/>
          <w:highlight w:val="none"/>
        </w:rPr>
        <w:t>寸</w:t>
      </w:r>
      <w:r>
        <w:rPr>
          <w:rFonts w:hint="eastAsia" w:ascii="黑体" w:hAnsi="黑体" w:eastAsia="黑体"/>
          <w:szCs w:val="21"/>
          <w:highlight w:val="none"/>
        </w:rPr>
        <w:t>4K电视， 分辨率不低于3840*2160；</w:t>
      </w:r>
    </w:p>
    <w:p>
      <w:pPr>
        <w:pStyle w:val="30"/>
        <w:widowControl/>
        <w:numPr>
          <w:ilvl w:val="0"/>
          <w:numId w:val="2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刷屏率不低于60Hz；  </w:t>
      </w:r>
    </w:p>
    <w:p>
      <w:pPr>
        <w:pStyle w:val="30"/>
        <w:widowControl/>
        <w:numPr>
          <w:ilvl w:val="0"/>
          <w:numId w:val="2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含移动支架</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MESH室外型单兵背负终端</w:t>
      </w:r>
    </w:p>
    <w:p>
      <w:pPr>
        <w:pStyle w:val="30"/>
        <w:widowControl/>
        <w:numPr>
          <w:ilvl w:val="0"/>
          <w:numId w:val="21"/>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单兵背负MESH基站终端</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工作频段：支持1420-1520MHz，中心频点可调；</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传输距离：地-地单跳不小于10公里（视距）；</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传输带宽：单跳无线传输速率不低于</w:t>
      </w:r>
      <w:r>
        <w:rPr>
          <w:rFonts w:ascii="黑体" w:hAnsi="黑体" w:eastAsia="黑体"/>
          <w:szCs w:val="21"/>
          <w:highlight w:val="none"/>
        </w:rPr>
        <w:t>7</w:t>
      </w:r>
      <w:r>
        <w:rPr>
          <w:rFonts w:hint="eastAsia" w:ascii="黑体" w:hAnsi="黑体" w:eastAsia="黑体"/>
          <w:szCs w:val="21"/>
          <w:highlight w:val="none"/>
        </w:rPr>
        <w:t>0Mbps；</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天线：全向天线，天线增益不小于4dBi；</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频宽：5M/10M/20M 可调；</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发射通道：2T2R；</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发射功率：不大于10W；</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具备WiFi功能（覆盖半径不少于</w:t>
      </w:r>
      <w:r>
        <w:rPr>
          <w:rFonts w:ascii="黑体" w:hAnsi="黑体" w:eastAsia="黑体"/>
          <w:szCs w:val="21"/>
          <w:highlight w:val="none"/>
        </w:rPr>
        <w:t>2</w:t>
      </w:r>
      <w:r>
        <w:rPr>
          <w:rFonts w:hint="eastAsia" w:ascii="黑体" w:hAnsi="黑体" w:eastAsia="黑体"/>
          <w:szCs w:val="21"/>
          <w:highlight w:val="none"/>
        </w:rPr>
        <w:t>0m）；</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★防护等级：不低于IP6</w:t>
      </w:r>
      <w:r>
        <w:rPr>
          <w:rFonts w:ascii="黑体" w:hAnsi="黑体" w:eastAsia="黑体"/>
          <w:b/>
          <w:bCs/>
          <w:szCs w:val="21"/>
          <w:highlight w:val="none"/>
        </w:rPr>
        <w:t>6</w:t>
      </w:r>
      <w:r>
        <w:rPr>
          <w:rFonts w:hint="eastAsia" w:ascii="黑体" w:hAnsi="黑体" w:eastAsia="黑体"/>
          <w:b/>
          <w:bCs/>
          <w:szCs w:val="21"/>
          <w:highlight w:val="none"/>
        </w:rPr>
        <w:t>，满足在各类恶劣场景下的使用；</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工作温度：-30℃～+65℃；</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电池供电：工作时间不小于</w:t>
      </w:r>
      <w:r>
        <w:rPr>
          <w:rFonts w:ascii="黑体" w:hAnsi="黑体" w:eastAsia="黑体"/>
          <w:szCs w:val="21"/>
          <w:highlight w:val="none"/>
        </w:rPr>
        <w:t>4</w:t>
      </w:r>
      <w:r>
        <w:rPr>
          <w:rFonts w:hint="eastAsia" w:ascii="黑体" w:hAnsi="黑体" w:eastAsia="黑体"/>
          <w:szCs w:val="21"/>
          <w:highlight w:val="none"/>
        </w:rPr>
        <w:t>小时，待机时间不小于</w:t>
      </w:r>
      <w:r>
        <w:rPr>
          <w:rFonts w:ascii="黑体" w:hAnsi="黑体" w:eastAsia="黑体"/>
          <w:szCs w:val="21"/>
          <w:highlight w:val="none"/>
        </w:rPr>
        <w:t>8</w:t>
      </w:r>
      <w:r>
        <w:rPr>
          <w:rFonts w:hint="eastAsia" w:ascii="黑体" w:hAnsi="黑体" w:eastAsia="黑体"/>
          <w:szCs w:val="21"/>
          <w:highlight w:val="none"/>
        </w:rPr>
        <w:t xml:space="preserve">小时； </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支持GPS/北斗定位；</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需具备Mesh 链路状态、上电状态及链路异常告警指示灯；</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可配合卫星便携站、公网CPE使用；</w:t>
      </w:r>
    </w:p>
    <w:p>
      <w:pPr>
        <w:pStyle w:val="30"/>
        <w:widowControl/>
        <w:numPr>
          <w:ilvl w:val="0"/>
          <w:numId w:val="22"/>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配套提供PC端管理功能：支持电脑端对频率、频宽等信息的管理配置。</w:t>
      </w:r>
    </w:p>
    <w:p>
      <w:pPr>
        <w:pStyle w:val="30"/>
        <w:widowControl/>
        <w:numPr>
          <w:ilvl w:val="0"/>
          <w:numId w:val="21"/>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单兵手持MESH终端</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支持开机即用，无需配置和更改参数；</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MESH工作频段：1420MHz-1520MHz（频段区间可调整），中心频点可调；</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传输距离：传输距离：与单兵背负MESH基站之间的传输距离不小于4公里（视距）；</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传输带宽：传输带宽：与单兵背负MESH基站之间的无线传输速率均不低于</w:t>
      </w:r>
      <w:r>
        <w:rPr>
          <w:rFonts w:ascii="黑体" w:hAnsi="黑体" w:eastAsia="黑体"/>
          <w:szCs w:val="21"/>
          <w:highlight w:val="none"/>
        </w:rPr>
        <w:t>7</w:t>
      </w:r>
      <w:r>
        <w:rPr>
          <w:rFonts w:hint="eastAsia" w:ascii="黑体" w:hAnsi="黑体" w:eastAsia="黑体"/>
          <w:szCs w:val="21"/>
          <w:highlight w:val="none"/>
        </w:rPr>
        <w:t>0Mbps；</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频宽：5M/10M/20M可调；</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具备2.4G WiFi功能（覆盖半径不少于10米）；</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支持GPS/北斗定位；</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MESH发射功率：不大于500mw；</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工作温度：-30℃～+65℃；</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电池供电：工作时间不少于</w:t>
      </w:r>
      <w:r>
        <w:rPr>
          <w:rFonts w:ascii="黑体" w:hAnsi="黑体" w:eastAsia="黑体"/>
          <w:szCs w:val="21"/>
          <w:highlight w:val="none"/>
        </w:rPr>
        <w:t>4</w:t>
      </w:r>
      <w:r>
        <w:rPr>
          <w:rFonts w:hint="eastAsia" w:ascii="黑体" w:hAnsi="黑体" w:eastAsia="黑体"/>
          <w:szCs w:val="21"/>
          <w:highlight w:val="none"/>
        </w:rPr>
        <w:t xml:space="preserve"> 小时；</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可配合卫星便携站、4G公网CPE使用；</w:t>
      </w:r>
    </w:p>
    <w:p>
      <w:pPr>
        <w:pStyle w:val="30"/>
        <w:widowControl/>
        <w:numPr>
          <w:ilvl w:val="0"/>
          <w:numId w:val="23"/>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配套提供PC端管理功能：支持电脑端对频率、频宽等信息的管理配置。</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移动电源</w:t>
      </w:r>
    </w:p>
    <w:p>
      <w:pPr>
        <w:pStyle w:val="30"/>
        <w:widowControl/>
        <w:numPr>
          <w:ilvl w:val="0"/>
          <w:numId w:val="2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产品类别：户外电源</w:t>
      </w:r>
    </w:p>
    <w:p>
      <w:pPr>
        <w:pStyle w:val="30"/>
        <w:widowControl/>
        <w:numPr>
          <w:ilvl w:val="0"/>
          <w:numId w:val="2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过载保护：支持</w:t>
      </w:r>
    </w:p>
    <w:p>
      <w:pPr>
        <w:pStyle w:val="30"/>
        <w:widowControl/>
        <w:numPr>
          <w:ilvl w:val="0"/>
          <w:numId w:val="2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过热保护：支持</w:t>
      </w:r>
    </w:p>
    <w:p>
      <w:pPr>
        <w:pStyle w:val="30"/>
        <w:widowControl/>
        <w:numPr>
          <w:ilvl w:val="0"/>
          <w:numId w:val="2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输出波形：纯正弦波</w:t>
      </w:r>
    </w:p>
    <w:p>
      <w:pPr>
        <w:pStyle w:val="30"/>
        <w:widowControl/>
        <w:numPr>
          <w:ilvl w:val="0"/>
          <w:numId w:val="2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容量：不低于1002Wh(278400mAh/3.6V)</w:t>
      </w:r>
    </w:p>
    <w:p>
      <w:pPr>
        <w:pStyle w:val="30"/>
        <w:widowControl/>
        <w:numPr>
          <w:ilvl w:val="0"/>
          <w:numId w:val="24"/>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含太阳能板：额定功率不低于100W。</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天通卫星电话（全向天线）</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卫星频段：天通一号，接收频段：2170-2200MHz，发射频段：1980-2010MHz。</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b/>
          <w:bCs/>
          <w:szCs w:val="21"/>
          <w:highlight w:val="none"/>
        </w:rPr>
        <w:t>★卫星天线：全向天线（无需对星），顶点增益不小于6dBi：45度最小值不小于2.5dBi</w:t>
      </w:r>
      <w:r>
        <w:rPr>
          <w:rFonts w:hint="eastAsia" w:ascii="黑体" w:hAnsi="黑体" w:eastAsia="黑体"/>
          <w:b/>
          <w:bCs/>
          <w:szCs w:val="21"/>
          <w:highlight w:val="none"/>
          <w:lang w:eastAsia="zh-CN"/>
        </w:rPr>
        <w:t>；</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卫星业务：卫星语音：1.2/2.4/4.0kbps，卫星数据：1.2～9.6kbps，卫星短信：140字节</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支持地面运营商4G-LTE网络 </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具备室外通信单元和室内显控单元，其中通信单元由天通通信、北斗定位、收发天线、接口、电源等功能模块组成</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蓝牙：支持</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WIFI:支持wifi共享接入8位用户，支持远控APP进行卫星通话、发送卫星短信操作</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定位：GPS/北斗</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系统：Android 8.1及以上</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内存：不小于1GB RAM + 8GB ROM</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显示屏：不小于5.0寸显示屏，支持多点触控</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SIM卡：4G卡 Nano SIM卡；卫星卡：Nano SIM卡，位于室外通信单元</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内置电池：容量不小于6000mAh，通话时间不小于10小时</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RJ11接口：支持</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串口：显控单元支持RS232接口，默认波特率为384000bps</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独立电源接口：支持12V--36V宽电压输入</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连接线缆：标配15米，通过RS422数据协议进行通信。</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工作温度：-20℃～55℃</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存储温度：-40℃～70℃</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w:t>
      </w:r>
      <w:r>
        <w:rPr>
          <w:rFonts w:hint="eastAsia" w:ascii="黑体" w:hAnsi="黑体" w:eastAsia="黑体"/>
          <w:b/>
          <w:bCs/>
          <w:szCs w:val="21"/>
          <w:highlight w:val="none"/>
        </w:rPr>
        <w:t>IP防护等级：室内显控单元：IP65；室外通信单元：IP67；</w:t>
      </w:r>
      <w:r>
        <w:rPr>
          <w:rFonts w:hint="eastAsia" w:ascii="黑体" w:hAnsi="黑体" w:eastAsia="黑体"/>
          <w:szCs w:val="21"/>
          <w:highlight w:val="none"/>
        </w:rPr>
        <w:t>（注：</w:t>
      </w:r>
      <w:r>
        <w:rPr>
          <w:rFonts w:hint="eastAsia" w:ascii="黑体" w:hAnsi="黑体" w:eastAsia="黑体"/>
          <w:szCs w:val="21"/>
          <w:highlight w:val="none"/>
          <w:lang w:val="en-US" w:eastAsia="zh-CN"/>
        </w:rPr>
        <w:t>须</w:t>
      </w:r>
      <w:r>
        <w:rPr>
          <w:rFonts w:hint="eastAsia" w:ascii="黑体" w:hAnsi="黑体" w:eastAsia="黑体"/>
          <w:szCs w:val="21"/>
          <w:highlight w:val="none"/>
        </w:rPr>
        <w:t>提供第三方检测机构</w:t>
      </w:r>
      <w:r>
        <w:rPr>
          <w:rFonts w:hint="eastAsia" w:ascii="黑体" w:hAnsi="黑体" w:eastAsia="黑体"/>
          <w:szCs w:val="21"/>
          <w:highlight w:val="none"/>
          <w:lang w:val="en-US" w:eastAsia="zh-CN"/>
        </w:rPr>
        <w:t>出具的</w:t>
      </w:r>
      <w:r>
        <w:rPr>
          <w:rFonts w:hint="eastAsia" w:ascii="黑体" w:hAnsi="黑体" w:eastAsia="黑体"/>
          <w:szCs w:val="21"/>
          <w:highlight w:val="none"/>
        </w:rPr>
        <w:t>检测报告复印件并加盖供应商公章）</w:t>
      </w:r>
    </w:p>
    <w:p>
      <w:pPr>
        <w:pStyle w:val="30"/>
        <w:widowControl/>
        <w:numPr>
          <w:ilvl w:val="0"/>
          <w:numId w:val="25"/>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独立SOS键：一键SOS呼救，支持紧急短信和紧急电话</w:t>
      </w:r>
    </w:p>
    <w:p>
      <w:pPr>
        <w:pStyle w:val="30"/>
        <w:widowControl/>
        <w:numPr>
          <w:ilvl w:val="0"/>
          <w:numId w:val="25"/>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★天通卫星电话（全向天线）为国家强制性</w:t>
      </w:r>
      <w:r>
        <w:rPr>
          <w:rFonts w:hint="eastAsia" w:ascii="黑体" w:hAnsi="黑体" w:eastAsia="黑体"/>
          <w:b/>
          <w:color w:val="000000" w:themeColor="text1"/>
          <w:szCs w:val="21"/>
          <w:highlight w:val="none"/>
          <w14:textFill>
            <w14:solidFill>
              <w14:schemeClr w14:val="tx1"/>
            </w14:solidFill>
          </w14:textFill>
        </w:rPr>
        <w:t>要求</w:t>
      </w:r>
      <w:r>
        <w:rPr>
          <w:rFonts w:hint="eastAsia" w:ascii="黑体" w:hAnsi="黑体" w:eastAsia="黑体"/>
          <w:b/>
          <w:bCs/>
          <w:color w:val="000000" w:themeColor="text1"/>
          <w:szCs w:val="21"/>
          <w:highlight w:val="none"/>
          <w14:textFill>
            <w14:solidFill>
              <w14:schemeClr w14:val="tx1"/>
            </w14:solidFill>
          </w14:textFill>
        </w:rPr>
        <w:t>CCC</w:t>
      </w:r>
      <w:r>
        <w:rPr>
          <w:rFonts w:hint="eastAsia" w:ascii="黑体" w:hAnsi="黑体" w:eastAsia="黑体"/>
          <w:b/>
          <w:bCs/>
          <w:color w:val="000000" w:themeColor="text1"/>
          <w:szCs w:val="21"/>
          <w:highlight w:val="none"/>
          <w:lang w:val="en-US" w:eastAsia="zh-CN"/>
          <w14:textFill>
            <w14:solidFill>
              <w14:schemeClr w14:val="tx1"/>
            </w14:solidFill>
          </w14:textFill>
        </w:rPr>
        <w:t>认证</w:t>
      </w:r>
      <w:r>
        <w:rPr>
          <w:rFonts w:hint="eastAsia" w:ascii="黑体" w:hAnsi="黑体" w:eastAsia="黑体"/>
          <w:b/>
          <w:color w:val="000000" w:themeColor="text1"/>
          <w:szCs w:val="21"/>
          <w:highlight w:val="none"/>
          <w14:textFill>
            <w14:solidFill>
              <w14:schemeClr w14:val="tx1"/>
            </w14:solidFill>
          </w14:textFill>
        </w:rPr>
        <w:t>，</w:t>
      </w:r>
      <w:r>
        <w:rPr>
          <w:rFonts w:hint="eastAsia" w:ascii="黑体" w:hAnsi="黑体" w:eastAsia="黑体"/>
          <w:b w:val="0"/>
          <w:bCs/>
          <w:szCs w:val="21"/>
          <w:highlight w:val="none"/>
        </w:rPr>
        <w:t>供应商须提供所投产品CCC认证、电信设备进网试用批文（入网证）、型号核准证等证书复印件或</w:t>
      </w:r>
      <w:r>
        <w:rPr>
          <w:rFonts w:hint="eastAsia" w:ascii="黑体" w:hAnsi="黑体" w:eastAsia="黑体"/>
          <w:b w:val="0"/>
          <w:bCs/>
          <w:szCs w:val="21"/>
          <w:highlight w:val="none"/>
          <w:lang w:val="en-US" w:eastAsia="zh-CN"/>
        </w:rPr>
        <w:t>提供</w:t>
      </w:r>
      <w:r>
        <w:rPr>
          <w:rFonts w:hint="eastAsia" w:ascii="黑体" w:hAnsi="黑体" w:eastAsia="黑体"/>
          <w:b w:val="0"/>
          <w:bCs/>
          <w:szCs w:val="21"/>
          <w:highlight w:val="none"/>
        </w:rPr>
        <w:t>满足国家强制性</w:t>
      </w:r>
      <w:r>
        <w:rPr>
          <w:rFonts w:hint="eastAsia" w:ascii="黑体" w:hAnsi="黑体" w:eastAsia="黑体"/>
          <w:b w:val="0"/>
          <w:bCs/>
          <w:color w:val="000000" w:themeColor="text1"/>
          <w:szCs w:val="21"/>
          <w:highlight w:val="none"/>
          <w14:textFill>
            <w14:solidFill>
              <w14:schemeClr w14:val="tx1"/>
            </w14:solidFill>
          </w14:textFill>
        </w:rPr>
        <w:t>CCC</w:t>
      </w:r>
      <w:r>
        <w:rPr>
          <w:rFonts w:hint="eastAsia" w:ascii="黑体" w:hAnsi="黑体" w:eastAsia="黑体"/>
          <w:b w:val="0"/>
          <w:bCs/>
          <w:color w:val="000000" w:themeColor="text1"/>
          <w:szCs w:val="21"/>
          <w:highlight w:val="none"/>
          <w:lang w:val="en-US" w:eastAsia="zh-CN"/>
          <w14:textFill>
            <w14:solidFill>
              <w14:schemeClr w14:val="tx1"/>
            </w14:solidFill>
          </w14:textFill>
        </w:rPr>
        <w:t>认证</w:t>
      </w:r>
      <w:r>
        <w:rPr>
          <w:rFonts w:hint="eastAsia" w:ascii="黑体" w:hAnsi="黑体" w:eastAsia="黑体"/>
          <w:b w:val="0"/>
          <w:bCs/>
          <w:szCs w:val="21"/>
          <w:highlight w:val="none"/>
        </w:rPr>
        <w:t>要求的承诺函</w:t>
      </w:r>
      <w:r>
        <w:rPr>
          <w:rFonts w:hint="eastAsia" w:ascii="黑体" w:hAnsi="黑体" w:eastAsia="黑体"/>
          <w:b w:val="0"/>
          <w:bCs/>
          <w:szCs w:val="21"/>
          <w:highlight w:val="none"/>
          <w:lang w:eastAsia="zh-CN"/>
        </w:rPr>
        <w:t>（</w:t>
      </w:r>
      <w:r>
        <w:rPr>
          <w:rFonts w:hint="eastAsia" w:ascii="黑体" w:hAnsi="黑体" w:eastAsia="黑体"/>
          <w:b w:val="0"/>
          <w:bCs/>
          <w:szCs w:val="21"/>
          <w:highlight w:val="none"/>
        </w:rPr>
        <w:t>承诺函格式自拟并加盖供应商公章</w:t>
      </w:r>
      <w:r>
        <w:rPr>
          <w:rFonts w:hint="eastAsia" w:ascii="黑体" w:hAnsi="黑体" w:eastAsia="黑体"/>
          <w:b w:val="0"/>
          <w:bCs/>
          <w:szCs w:val="21"/>
          <w:highlight w:val="none"/>
          <w:lang w:eastAsia="zh-CN"/>
        </w:rPr>
        <w:t>）</w:t>
      </w:r>
      <w:r>
        <w:rPr>
          <w:rFonts w:hint="eastAsia" w:ascii="黑体" w:hAnsi="黑体" w:eastAsia="黑体"/>
          <w:b w:val="0"/>
          <w:bCs/>
          <w:szCs w:val="21"/>
          <w:highlight w:val="none"/>
        </w:rPr>
        <w:t>。</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应急照明灯</w:t>
      </w:r>
    </w:p>
    <w:p>
      <w:pPr>
        <w:pStyle w:val="30"/>
        <w:widowControl/>
        <w:numPr>
          <w:ilvl w:val="0"/>
          <w:numId w:val="26"/>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防水等级：IP54；</w:t>
      </w:r>
    </w:p>
    <w:p>
      <w:pPr>
        <w:pStyle w:val="30"/>
        <w:widowControl/>
        <w:numPr>
          <w:ilvl w:val="0"/>
          <w:numId w:val="26"/>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续航：不少于约7小时。</w:t>
      </w:r>
    </w:p>
    <w:p>
      <w:pPr>
        <w:pStyle w:val="30"/>
        <w:widowControl/>
        <w:numPr>
          <w:ilvl w:val="0"/>
          <w:numId w:val="26"/>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不低于13</w:t>
      </w:r>
      <w:r>
        <w:rPr>
          <w:rFonts w:ascii="黑体" w:hAnsi="黑体" w:eastAsia="黑体"/>
          <w:szCs w:val="21"/>
          <w:highlight w:val="none"/>
        </w:rPr>
        <w:t>0</w:t>
      </w:r>
      <w:r>
        <w:rPr>
          <w:rFonts w:hint="eastAsia" w:ascii="黑体" w:hAnsi="黑体" w:eastAsia="黑体"/>
          <w:szCs w:val="21"/>
          <w:highlight w:val="none"/>
        </w:rPr>
        <w:t>0流明。</w:t>
      </w:r>
    </w:p>
    <w:p>
      <w:pPr>
        <w:pStyle w:val="30"/>
        <w:widowControl/>
        <w:numPr>
          <w:ilvl w:val="0"/>
          <w:numId w:val="26"/>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功率：100W</w:t>
      </w:r>
    </w:p>
    <w:p>
      <w:pPr>
        <w:pStyle w:val="30"/>
        <w:widowControl/>
        <w:numPr>
          <w:ilvl w:val="0"/>
          <w:numId w:val="26"/>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电池：不少于1</w:t>
      </w:r>
      <w:r>
        <w:rPr>
          <w:rFonts w:ascii="黑体" w:hAnsi="黑体" w:eastAsia="黑体"/>
          <w:szCs w:val="21"/>
          <w:highlight w:val="none"/>
        </w:rPr>
        <w:t>5000</w:t>
      </w:r>
      <w:r>
        <w:rPr>
          <w:rFonts w:hint="eastAsia" w:ascii="黑体" w:hAnsi="黑体" w:eastAsia="黑体"/>
          <w:szCs w:val="21"/>
          <w:highlight w:val="none"/>
        </w:rPr>
        <w:t>mAh</w:t>
      </w:r>
    </w:p>
    <w:p>
      <w:pPr>
        <w:pStyle w:val="30"/>
        <w:widowControl/>
        <w:numPr>
          <w:ilvl w:val="0"/>
          <w:numId w:val="26"/>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专用三脚架，高度: 72cm-2m可定位上下调节</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HDMI矩阵</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高清HDMI矩阵，标准机架设计，高度为1U； </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支持不少于8路HDMI输入，8路HDMI输出，输入输出均支持HDMI1.3协议，分辨率可达1920x1080@60HZ； </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每路输入接口均支持HDCP解析、支持EDID透传和学习功能； </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采用触控式可视化按键，同时首创两键式操作，让信号切换更加简单有效，操作人员零基础就可以轻松掌握所有操作； </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支持可视化按键、RS-232以及遥控多种控制方式； </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前面板LCD显示屏能够实时显示矩阵信号切换状态及系统配置； </w:t>
      </w:r>
    </w:p>
    <w:p>
      <w:pPr>
        <w:pStyle w:val="30"/>
        <w:widowControl/>
        <w:numPr>
          <w:ilvl w:val="0"/>
          <w:numId w:val="27"/>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 xml:space="preserve">采用ESD静电防护设计，能承受人体放电模式：±8kV (气隙放电)，± 4kV (接触放电)，有效地避免了静电对设备的干扰及损害；  </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数字调音系统（带10路麦克风、音频处理器、会议讨论主机、反馈抑制器等）</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会议主机设备具有显示屏，支持摄像跟踪和紧急信号联动;输入信号支持、≥7段PEQ、噪声门、低切、压限;AUX输入通道支持≥5段PEQ主机主界面可以显示当前会议模式、最大话筒数量、模式调用，MIC输出增益-60~+12dB、LINE输出增益-60~+12dB。可以保存12种场景模式进行调用；内置USB录音模块，可实现轻便化录音；可对本地LINE输入信号进行静音、相位、音量、PEQ、压限等音色设定；采用专用8芯航空插头连接，牢固可靠、抗腐蚀、防RF，电磁干扰；支持FIFO（先进先出）、NORMAL（定量）等会议模式；接口不少于，RCA立体声LINE输入/出各1路、XLR平衡式LINE输/出各1路、1路XLR平衡式纯MIC输出，1路RS-232。支持摄像跟踪，可实现多台摄像机控制、自动切换、自动跟踪功能。。</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会议主机消防联动、消防触发信号链接输出；内置数字音频处理DSP,可对单元MIC信号进行静音、相位、音量、噪声门、低切、PEQ、压限等音色设定。</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话筒为铝合金面板，锌合金一体成型底座，质感、稳重；触摸式按键、话筒开关操作时，可避免机械传导声。</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话筒采用专用8芯高密航空接头，自带2米连接电缆， "T型"连接模式，保证可靠的连接，从底部及背面引出。</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∮3.5mm立体声耳机插口连接耳机，数字式音量调节，支持12级调节。</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音频处理器设备无需光盘，自带安装软件，一台设备对于一个软件版本，解决因为安装光盘丢失以及多个软件版本混乱引起的烦恼。Enternet多用途数据传输及控制端口，可以支持实时管理单台及多台设备。支持U盘播放，即插即用，可通过PC客户端进行播放操作。</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全功能矩阵混音功能，不单单是混音和自动混音功能，还具备混音分量控制功能。内置自动摄像跟踪功能；支持至少12组场景预设功能；具有断电自动保护记忆功能；支持U盘播放，即插即用，可通过PC客户端进行播放操作；</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音频处理器至少包括1路光钎输出，可在OUT1/OUT2、OUT3/OUT4、OUT5/OUT6、OUT7/OUT8信号中切换选择；输入每通道：前级放大、灵敏度选择，信号发生器、噪声门，FBX，分频器，自动增益、压缩器、10段参量均衡；</w:t>
      </w:r>
    </w:p>
    <w:p>
      <w:pPr>
        <w:pStyle w:val="30"/>
        <w:widowControl/>
        <w:numPr>
          <w:ilvl w:val="0"/>
          <w:numId w:val="28"/>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反馈抑制器应采用高性能DSP数字信号处理器，具备彩色液晶屏显示状态及操作功能；含啸叫曲线识别，反向相位抵消算法，无需调试接入系统自动抑制啸叫点，精准可靠使用简单。</w:t>
      </w:r>
    </w:p>
    <w:p>
      <w:pPr>
        <w:pStyle w:val="30"/>
        <w:widowControl/>
        <w:numPr>
          <w:ilvl w:val="0"/>
          <w:numId w:val="16"/>
        </w:numPr>
        <w:spacing w:line="360" w:lineRule="auto"/>
        <w:ind w:firstLineChars="0"/>
        <w:contextualSpacing/>
        <w:rPr>
          <w:rFonts w:ascii="黑体" w:hAnsi="黑体" w:eastAsia="黑体"/>
          <w:b/>
          <w:szCs w:val="21"/>
          <w:highlight w:val="none"/>
        </w:rPr>
      </w:pPr>
      <w:r>
        <w:rPr>
          <w:rFonts w:hint="eastAsia" w:ascii="黑体" w:hAnsi="黑体" w:eastAsia="黑体"/>
          <w:b/>
          <w:szCs w:val="21"/>
          <w:highlight w:val="none"/>
        </w:rPr>
        <w:t>音响</w:t>
      </w:r>
    </w:p>
    <w:p>
      <w:pPr>
        <w:pStyle w:val="30"/>
        <w:widowControl/>
        <w:numPr>
          <w:ilvl w:val="0"/>
          <w:numId w:val="2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音箱</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单元组成：低音：≥6.5英寸低音</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单元组成：高音：≥3英寸高音</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频率响应(-3dB)：70Hz-17KHz</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频率响应(-10dB)：60Hz-18KHz</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覆盖角度(-6dB)：90度(H)×60度(V)</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灵敏度(1W/1m)：≥98dB/1W  1米</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连续声压级：≥121dB</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峰值声压级：≥127dB</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标准阻抗：8Ω</w:t>
      </w:r>
    </w:p>
    <w:p>
      <w:pPr>
        <w:pStyle w:val="30"/>
        <w:widowControl/>
        <w:numPr>
          <w:ilvl w:val="0"/>
          <w:numId w:val="30"/>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输入功率：≥120W(额定)/240W(峰值)</w:t>
      </w:r>
    </w:p>
    <w:p>
      <w:pPr>
        <w:pStyle w:val="30"/>
        <w:widowControl/>
        <w:numPr>
          <w:ilvl w:val="0"/>
          <w:numId w:val="29"/>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功放</w:t>
      </w:r>
    </w:p>
    <w:p>
      <w:pPr>
        <w:pStyle w:val="30"/>
        <w:widowControl/>
        <w:numPr>
          <w:ilvl w:val="0"/>
          <w:numId w:val="31"/>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放大器类型：D类功率放大电路设计，损耗小具备90%以上的放大效率。</w:t>
      </w:r>
    </w:p>
    <w:p>
      <w:pPr>
        <w:pStyle w:val="30"/>
        <w:widowControl/>
        <w:numPr>
          <w:ilvl w:val="0"/>
          <w:numId w:val="31"/>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设备高度为1</w:t>
      </w:r>
      <w:r>
        <w:rPr>
          <w:rFonts w:ascii="黑体" w:hAnsi="黑体" w:eastAsia="黑体"/>
          <w:szCs w:val="21"/>
          <w:highlight w:val="none"/>
        </w:rPr>
        <w:t>U</w:t>
      </w:r>
      <w:r>
        <w:rPr>
          <w:rFonts w:hint="eastAsia" w:ascii="黑体" w:hAnsi="黑体" w:eastAsia="黑体"/>
          <w:szCs w:val="21"/>
          <w:highlight w:val="none"/>
        </w:rPr>
        <w:t>，方便集成。</w:t>
      </w:r>
    </w:p>
    <w:p>
      <w:pPr>
        <w:pStyle w:val="30"/>
        <w:widowControl/>
        <w:numPr>
          <w:ilvl w:val="0"/>
          <w:numId w:val="31"/>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带工作状态实时指示灯，含信号指示、电源指示、信号通道指示、限幅通道指示、保护通道指示等。</w:t>
      </w:r>
    </w:p>
    <w:p>
      <w:pPr>
        <w:pStyle w:val="30"/>
        <w:widowControl/>
        <w:numPr>
          <w:ilvl w:val="0"/>
          <w:numId w:val="31"/>
        </w:numPr>
        <w:spacing w:line="360" w:lineRule="auto"/>
        <w:ind w:firstLineChars="0"/>
        <w:contextualSpacing/>
        <w:rPr>
          <w:rFonts w:ascii="黑体" w:hAnsi="黑体" w:eastAsia="黑体"/>
          <w:szCs w:val="21"/>
          <w:highlight w:val="none"/>
        </w:rPr>
      </w:pPr>
      <w:r>
        <w:rPr>
          <w:rFonts w:hint="eastAsia" w:ascii="黑体" w:hAnsi="黑体" w:eastAsia="黑体"/>
          <w:szCs w:val="21"/>
          <w:highlight w:val="none"/>
        </w:rPr>
        <w:t>模式选择开关为内置二段开关，分别为：STEREO立体声、PARALLEL并机，可以更为灵活搭配其它设备，功放出厂设置为立体声模式。</w:t>
      </w:r>
    </w:p>
    <w:bookmarkEnd w:id="16"/>
    <w:p>
      <w:pPr>
        <w:pStyle w:val="2"/>
        <w:keepNext w:val="0"/>
        <w:keepLines w:val="0"/>
        <w:pageBreakBefore/>
        <w:spacing w:before="300" w:after="240" w:line="360" w:lineRule="auto"/>
        <w:jc w:val="center"/>
        <w:rPr>
          <w:rFonts w:ascii="黑体" w:hAnsi="黑体" w:eastAsia="黑体"/>
          <w:spacing w:val="20"/>
          <w:sz w:val="32"/>
          <w:szCs w:val="32"/>
          <w:highlight w:val="none"/>
        </w:rPr>
      </w:pPr>
      <w:bookmarkStart w:id="17" w:name="_Toc1543"/>
      <w:r>
        <w:rPr>
          <w:rFonts w:hint="eastAsia" w:ascii="黑体" w:hAnsi="黑体" w:eastAsia="黑体"/>
          <w:spacing w:val="20"/>
          <w:sz w:val="32"/>
          <w:szCs w:val="32"/>
          <w:highlight w:val="none"/>
        </w:rPr>
        <w:t>第三部分 谈判须知前附表</w:t>
      </w:r>
      <w:bookmarkEnd w:id="13"/>
      <w:bookmarkEnd w:id="14"/>
      <w:bookmarkEnd w:id="15"/>
      <w:bookmarkEnd w:id="17"/>
    </w:p>
    <w:p>
      <w:pPr>
        <w:tabs>
          <w:tab w:val="left" w:pos="426"/>
        </w:tabs>
        <w:spacing w:after="156" w:afterLines="50" w:line="360" w:lineRule="auto"/>
        <w:ind w:firstLine="420" w:firstLineChars="200"/>
        <w:rPr>
          <w:rFonts w:ascii="黑体" w:hAnsi="黑体" w:eastAsia="黑体"/>
          <w:szCs w:val="21"/>
          <w:highlight w:val="none"/>
        </w:rPr>
      </w:pPr>
      <w:r>
        <w:rPr>
          <w:rFonts w:hint="eastAsia" w:ascii="黑体" w:hAnsi="黑体" w:eastAsia="黑体"/>
          <w:szCs w:val="21"/>
          <w:highlight w:val="none"/>
        </w:rPr>
        <w:t>本表的条款项号是与谈判须知条款项号对应的，或增加的条款，是对第四部分《谈判须知》的补充、修改和完善，如果有矛盾的话，应以本表为准。</w:t>
      </w:r>
    </w:p>
    <w:tbl>
      <w:tblPr>
        <w:tblStyle w:val="18"/>
        <w:tblW w:w="4992"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14"/>
        <w:gridCol w:w="74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黑体" w:hAnsi="黑体" w:eastAsia="黑体"/>
                <w:szCs w:val="21"/>
                <w:highlight w:val="none"/>
                <w:lang w:val="zh-CN"/>
              </w:rPr>
            </w:pPr>
            <w:r>
              <w:rPr>
                <w:rFonts w:hint="eastAsia" w:ascii="黑体" w:hAnsi="黑体" w:eastAsia="黑体"/>
                <w:szCs w:val="21"/>
                <w:highlight w:val="none"/>
              </w:rPr>
              <w:t>条款项号</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center"/>
              <w:rPr>
                <w:rFonts w:ascii="黑体" w:hAnsi="黑体" w:eastAsia="黑体"/>
                <w:spacing w:val="20"/>
                <w:szCs w:val="21"/>
                <w:highlight w:val="none"/>
              </w:rPr>
            </w:pPr>
            <w:r>
              <w:rPr>
                <w:rFonts w:hint="eastAsia" w:ascii="黑体" w:hAnsi="黑体" w:eastAsia="黑体"/>
                <w:spacing w:val="20"/>
                <w:szCs w:val="21"/>
                <w:highlight w:val="none"/>
              </w:rPr>
              <w:t>对应或增加的条款内容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黑体" w:hAnsi="黑体" w:eastAsia="黑体"/>
                <w:szCs w:val="21"/>
                <w:highlight w:val="none"/>
              </w:rPr>
            </w:pPr>
            <w:r>
              <w:rPr>
                <w:rFonts w:hint="eastAsia" w:ascii="黑体" w:hAnsi="黑体" w:eastAsia="黑体"/>
                <w:szCs w:val="21"/>
                <w:highlight w:val="none"/>
              </w:rPr>
              <w:t>对第四部分《谈判须知》的修改及补充：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ascii="黑体" w:hAnsi="黑体" w:eastAsia="黑体"/>
                <w:szCs w:val="21"/>
                <w:highlight w:val="none"/>
                <w:lang w:val="zh-CN"/>
              </w:rPr>
            </w:pPr>
            <w:r>
              <w:rPr>
                <w:rFonts w:hint="eastAsia" w:ascii="黑体" w:hAnsi="黑体" w:eastAsia="黑体"/>
                <w:szCs w:val="21"/>
                <w:highlight w:val="none"/>
                <w:lang w:val="zh-CN"/>
              </w:rPr>
              <w:t>1.2</w:t>
            </w:r>
          </w:p>
        </w:tc>
        <w:tc>
          <w:tcPr>
            <w:tcW w:w="4353" w:type="pct"/>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ascii="黑体" w:hAnsi="黑体" w:eastAsia="黑体"/>
                <w:szCs w:val="21"/>
                <w:highlight w:val="none"/>
              </w:rPr>
            </w:pPr>
            <w:r>
              <w:rPr>
                <w:rFonts w:hint="eastAsia" w:ascii="黑体" w:hAnsi="黑体" w:eastAsia="黑体"/>
                <w:szCs w:val="21"/>
                <w:highlight w:val="none"/>
              </w:rPr>
              <w:t>资金来源：财政性资金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ascii="黑体" w:hAnsi="黑体" w:eastAsia="黑体"/>
                <w:szCs w:val="21"/>
                <w:highlight w:val="none"/>
                <w:lang w:val="zh-CN"/>
              </w:rPr>
            </w:pPr>
            <w:r>
              <w:rPr>
                <w:rFonts w:hint="eastAsia" w:ascii="黑体" w:hAnsi="黑体" w:eastAsia="黑体"/>
                <w:szCs w:val="21"/>
                <w:highlight w:val="none"/>
                <w:lang w:val="zh-CN"/>
              </w:rPr>
              <w:t>2.1</w:t>
            </w:r>
          </w:p>
        </w:tc>
        <w:tc>
          <w:tcPr>
            <w:tcW w:w="4353" w:type="pct"/>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ascii="黑体" w:hAnsi="黑体" w:eastAsia="黑体"/>
                <w:szCs w:val="21"/>
                <w:highlight w:val="none"/>
                <w:u w:val="single"/>
              </w:rPr>
            </w:pPr>
            <w:r>
              <w:rPr>
                <w:rFonts w:ascii="黑体" w:hAnsi="黑体" w:eastAsia="黑体"/>
                <w:szCs w:val="21"/>
                <w:highlight w:val="none"/>
              </w:rPr>
              <w:t>“采购人”是指：</w:t>
            </w:r>
            <w:r>
              <w:rPr>
                <w:rFonts w:hint="eastAsia" w:ascii="黑体" w:hAnsi="黑体" w:eastAsia="黑体"/>
                <w:szCs w:val="21"/>
                <w:highlight w:val="none"/>
              </w:rPr>
              <w:t>汕头市应急管理局</w:t>
            </w:r>
          </w:p>
          <w:p>
            <w:pPr>
              <w:spacing w:line="360" w:lineRule="auto"/>
              <w:ind w:right="-183" w:firstLine="105" w:firstLineChars="50"/>
              <w:rPr>
                <w:rFonts w:ascii="黑体" w:hAnsi="黑体" w:eastAsia="黑体"/>
                <w:szCs w:val="21"/>
                <w:highlight w:val="none"/>
              </w:rPr>
            </w:pPr>
            <w:r>
              <w:rPr>
                <w:rFonts w:hint="eastAsia" w:ascii="黑体" w:hAnsi="黑体" w:eastAsia="黑体"/>
                <w:szCs w:val="21"/>
                <w:highlight w:val="none"/>
              </w:rPr>
              <w:t>采购人联系人：林先生</w:t>
            </w:r>
          </w:p>
          <w:p>
            <w:pPr>
              <w:spacing w:line="360" w:lineRule="auto"/>
              <w:ind w:right="-183" w:firstLine="105" w:firstLineChars="50"/>
              <w:rPr>
                <w:rFonts w:ascii="黑体" w:hAnsi="黑体" w:eastAsia="黑体"/>
                <w:szCs w:val="21"/>
                <w:highlight w:val="none"/>
              </w:rPr>
            </w:pPr>
            <w:r>
              <w:rPr>
                <w:rFonts w:hint="eastAsia" w:ascii="黑体" w:hAnsi="黑体" w:eastAsia="黑体"/>
                <w:szCs w:val="21"/>
                <w:highlight w:val="none"/>
              </w:rPr>
              <w:t>电</w:t>
            </w:r>
            <w:r>
              <w:rPr>
                <w:rFonts w:ascii="黑体" w:hAnsi="黑体" w:eastAsia="黑体"/>
                <w:szCs w:val="21"/>
                <w:highlight w:val="none"/>
              </w:rPr>
              <w:t xml:space="preserve">  </w:t>
            </w:r>
            <w:r>
              <w:rPr>
                <w:rFonts w:hint="eastAsia" w:ascii="黑体" w:hAnsi="黑体" w:eastAsia="黑体"/>
                <w:szCs w:val="21"/>
                <w:highlight w:val="none"/>
              </w:rPr>
              <w:t>话：0754-87272363</w:t>
            </w:r>
          </w:p>
          <w:p>
            <w:pPr>
              <w:spacing w:line="360" w:lineRule="auto"/>
              <w:ind w:right="-183" w:firstLine="105" w:firstLineChars="50"/>
              <w:rPr>
                <w:rFonts w:ascii="黑体" w:hAnsi="黑体" w:eastAsia="黑体"/>
                <w:szCs w:val="21"/>
                <w:highlight w:val="none"/>
              </w:rPr>
            </w:pPr>
            <w:r>
              <w:rPr>
                <w:rFonts w:hint="eastAsia" w:ascii="黑体" w:hAnsi="黑体" w:eastAsia="黑体"/>
                <w:szCs w:val="21"/>
                <w:highlight w:val="none"/>
              </w:rPr>
              <w:t>地</w:t>
            </w:r>
            <w:r>
              <w:rPr>
                <w:rFonts w:ascii="黑体" w:hAnsi="黑体" w:eastAsia="黑体"/>
                <w:szCs w:val="21"/>
                <w:highlight w:val="none"/>
              </w:rPr>
              <w:t xml:space="preserve">  </w:t>
            </w:r>
            <w:r>
              <w:rPr>
                <w:rFonts w:hint="eastAsia" w:ascii="黑体" w:hAnsi="黑体" w:eastAsia="黑体"/>
                <w:szCs w:val="21"/>
                <w:highlight w:val="none"/>
              </w:rPr>
              <w:t>址：汕头市龙湖区金砂东路151号5楼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ascii="黑体" w:hAnsi="黑体" w:eastAsia="黑体"/>
                <w:szCs w:val="21"/>
                <w:highlight w:val="none"/>
                <w:lang w:val="zh-CN"/>
              </w:rPr>
            </w:pPr>
            <w:r>
              <w:rPr>
                <w:rFonts w:hint="eastAsia" w:ascii="黑体" w:hAnsi="黑体" w:eastAsia="黑体"/>
                <w:szCs w:val="21"/>
                <w:highlight w:val="none"/>
                <w:lang w:val="zh-CN"/>
              </w:rPr>
              <w:t>2.</w:t>
            </w:r>
            <w:r>
              <w:rPr>
                <w:rFonts w:ascii="黑体" w:hAnsi="黑体" w:eastAsia="黑体"/>
                <w:szCs w:val="21"/>
                <w:highlight w:val="none"/>
                <w:lang w:val="zh-CN"/>
              </w:rPr>
              <w:t>2</w:t>
            </w:r>
          </w:p>
        </w:tc>
        <w:tc>
          <w:tcPr>
            <w:tcW w:w="4353" w:type="pct"/>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ascii="黑体" w:hAnsi="黑体" w:eastAsia="黑体"/>
                <w:highlight w:val="none"/>
              </w:rPr>
            </w:pPr>
            <w:r>
              <w:rPr>
                <w:rFonts w:ascii="黑体" w:hAnsi="黑体" w:eastAsia="黑体"/>
                <w:szCs w:val="21"/>
                <w:highlight w:val="none"/>
              </w:rPr>
              <w:t>“采购代理机构”是指：</w:t>
            </w:r>
            <w:r>
              <w:rPr>
                <w:rFonts w:hint="eastAsia" w:ascii="黑体" w:hAnsi="黑体" w:eastAsia="黑体"/>
                <w:szCs w:val="21"/>
                <w:highlight w:val="none"/>
              </w:rPr>
              <w:t>广东智汇城市招标采购有限公司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黑体" w:hAnsi="黑体" w:eastAsia="黑体"/>
                <w:szCs w:val="21"/>
                <w:highlight w:val="none"/>
              </w:rPr>
            </w:pPr>
            <w:r>
              <w:rPr>
                <w:rFonts w:hint="eastAsia" w:ascii="黑体" w:hAnsi="黑体" w:eastAsia="黑体"/>
                <w:szCs w:val="21"/>
                <w:highlight w:val="none"/>
              </w:rPr>
              <w:t>8.1</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黑体" w:hAnsi="黑体" w:eastAsia="黑体"/>
                <w:szCs w:val="21"/>
                <w:highlight w:val="none"/>
              </w:rPr>
            </w:pPr>
            <w:r>
              <w:rPr>
                <w:rFonts w:hint="eastAsia" w:ascii="黑体" w:hAnsi="黑体" w:eastAsia="黑体"/>
                <w:bCs/>
                <w:szCs w:val="21"/>
                <w:highlight w:val="none"/>
              </w:rPr>
              <w:t>集中答疑会或现场考察：本项目不集中举行答疑会或现场考察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黑体" w:hAnsi="黑体" w:eastAsia="黑体"/>
                <w:szCs w:val="21"/>
                <w:highlight w:val="none"/>
              </w:rPr>
            </w:pPr>
            <w:r>
              <w:rPr>
                <w:rFonts w:hint="eastAsia" w:ascii="黑体" w:hAnsi="黑体" w:eastAsia="黑体"/>
                <w:szCs w:val="21"/>
                <w:highlight w:val="none"/>
              </w:rPr>
              <w:t>12.1</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181"/>
              <w:rPr>
                <w:rFonts w:ascii="黑体" w:hAnsi="黑体" w:eastAsia="黑体"/>
                <w:bCs/>
                <w:spacing w:val="-8"/>
                <w:szCs w:val="21"/>
                <w:highlight w:val="none"/>
              </w:rPr>
            </w:pPr>
            <w:r>
              <w:rPr>
                <w:rFonts w:hint="eastAsia" w:ascii="黑体" w:hAnsi="黑体" w:eastAsia="黑体"/>
                <w:szCs w:val="21"/>
                <w:highlight w:val="none"/>
              </w:rPr>
              <w:t>响应文件份数：正本一份，副本三份；电子文件：一份。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黑体" w:hAnsi="黑体" w:eastAsia="黑体"/>
                <w:szCs w:val="21"/>
                <w:highlight w:val="none"/>
              </w:rPr>
            </w:pPr>
            <w:r>
              <w:rPr>
                <w:rFonts w:hint="eastAsia" w:ascii="黑体" w:hAnsi="黑体" w:eastAsia="黑体"/>
                <w:szCs w:val="21"/>
                <w:highlight w:val="none"/>
              </w:rPr>
              <w:t>13.4</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黑体" w:hAnsi="黑体" w:eastAsia="黑体"/>
                <w:bCs/>
                <w:szCs w:val="21"/>
                <w:highlight w:val="none"/>
              </w:rPr>
            </w:pPr>
            <w:r>
              <w:rPr>
                <w:rFonts w:hint="eastAsia" w:ascii="黑体" w:hAnsi="黑体" w:eastAsia="黑体"/>
                <w:bCs/>
                <w:szCs w:val="21"/>
                <w:highlight w:val="none"/>
              </w:rPr>
              <w:t>供应商的谈判报价在合同执行期间是固定不变的，不得以任何理由予以变更。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黑体" w:hAnsi="黑体" w:eastAsia="黑体"/>
                <w:szCs w:val="21"/>
                <w:highlight w:val="none"/>
                <w:lang w:val="zh-CN"/>
              </w:rPr>
            </w:pPr>
            <w:r>
              <w:rPr>
                <w:rFonts w:hint="eastAsia" w:ascii="黑体" w:hAnsi="黑体" w:eastAsia="黑体"/>
                <w:szCs w:val="21"/>
                <w:highlight w:val="none"/>
                <w:lang w:val="zh-CN"/>
              </w:rPr>
              <w:t>15.1</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40"/>
              <w:rPr>
                <w:rFonts w:ascii="黑体" w:hAnsi="黑体" w:eastAsia="黑体"/>
                <w:szCs w:val="21"/>
                <w:highlight w:val="none"/>
                <w:lang w:val="zh-CN"/>
              </w:rPr>
            </w:pPr>
            <w:r>
              <w:rPr>
                <w:rFonts w:hint="eastAsia" w:ascii="黑体" w:hAnsi="黑体" w:eastAsia="黑体"/>
                <w:szCs w:val="21"/>
                <w:highlight w:val="none"/>
                <w:lang w:val="zh-CN"/>
              </w:rPr>
              <w:t>谈判有效期：递交响应文件截止日后的</w:t>
            </w:r>
            <w:r>
              <w:rPr>
                <w:rFonts w:hint="eastAsia" w:ascii="黑体" w:hAnsi="黑体" w:eastAsia="黑体"/>
                <w:szCs w:val="21"/>
                <w:highlight w:val="none"/>
                <w:u w:val="single"/>
                <w:lang w:val="zh-CN"/>
              </w:rPr>
              <w:t>90</w:t>
            </w:r>
            <w:r>
              <w:rPr>
                <w:rFonts w:hint="eastAsia" w:ascii="黑体" w:hAnsi="黑体" w:eastAsia="黑体"/>
                <w:szCs w:val="21"/>
                <w:highlight w:val="none"/>
                <w:lang w:val="zh-CN"/>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ascii="黑体" w:hAnsi="黑体" w:eastAsia="黑体"/>
                <w:bCs/>
                <w:spacing w:val="-4"/>
                <w:szCs w:val="21"/>
                <w:highlight w:val="none"/>
              </w:rPr>
            </w:pPr>
            <w:r>
              <w:rPr>
                <w:rFonts w:hint="eastAsia" w:ascii="黑体" w:hAnsi="黑体" w:eastAsia="黑体"/>
                <w:bCs/>
                <w:spacing w:val="-4"/>
                <w:szCs w:val="21"/>
                <w:highlight w:val="none"/>
              </w:rPr>
              <w:t>16</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ascii="黑体" w:hAnsi="黑体" w:eastAsia="黑体"/>
                <w:bCs/>
                <w:spacing w:val="-4"/>
                <w:szCs w:val="21"/>
                <w:highlight w:val="none"/>
              </w:rPr>
            </w:pPr>
            <w:r>
              <w:rPr>
                <w:rFonts w:hint="eastAsia" w:ascii="黑体" w:hAnsi="黑体" w:eastAsia="黑体"/>
                <w:bCs/>
                <w:spacing w:val="-4"/>
                <w:szCs w:val="21"/>
                <w:highlight w:val="none"/>
              </w:rPr>
              <w:t>投标担保：本项目不收取投标保证金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ascii="黑体" w:hAnsi="黑体" w:eastAsia="黑体"/>
                <w:szCs w:val="21"/>
                <w:highlight w:val="none"/>
                <w:lang w:val="zh-CN"/>
              </w:rPr>
            </w:pPr>
            <w:r>
              <w:rPr>
                <w:rFonts w:hint="eastAsia" w:ascii="黑体" w:hAnsi="黑体" w:eastAsia="黑体"/>
                <w:szCs w:val="21"/>
                <w:highlight w:val="none"/>
                <w:lang w:val="zh-CN"/>
              </w:rPr>
              <w:t>23.3</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黑体" w:hAnsi="黑体" w:eastAsia="黑体"/>
                <w:szCs w:val="21"/>
                <w:highlight w:val="none"/>
                <w:lang w:val="zh-CN"/>
              </w:rPr>
            </w:pPr>
            <w:r>
              <w:rPr>
                <w:rFonts w:hint="eastAsia" w:ascii="黑体" w:hAnsi="黑体" w:eastAsia="黑体"/>
                <w:szCs w:val="21"/>
                <w:highlight w:val="none"/>
                <w:lang w:val="zh-CN"/>
              </w:rPr>
              <w:t>评审方法：最低评标价法</w:t>
            </w:r>
            <w:r>
              <w:rPr>
                <w:rFonts w:ascii="黑体" w:hAnsi="黑体" w:eastAsia="黑体"/>
                <w:szCs w:val="21"/>
                <w:highlight w:val="none"/>
                <w:lang w:val="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ascii="黑体" w:hAnsi="黑体" w:eastAsia="黑体"/>
                <w:szCs w:val="21"/>
                <w:highlight w:val="none"/>
                <w:lang w:val="zh-CN"/>
              </w:rPr>
            </w:pPr>
            <w:r>
              <w:rPr>
                <w:rFonts w:hint="eastAsia" w:ascii="黑体" w:hAnsi="黑体" w:eastAsia="黑体"/>
                <w:szCs w:val="21"/>
                <w:highlight w:val="none"/>
                <w:lang w:val="zh-CN"/>
              </w:rPr>
              <w:t>28.1</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黑体" w:hAnsi="黑体" w:eastAsia="黑体"/>
                <w:szCs w:val="21"/>
                <w:highlight w:val="none"/>
                <w:lang w:val="zh-CN"/>
              </w:rPr>
            </w:pPr>
            <w:r>
              <w:rPr>
                <w:rFonts w:hint="eastAsia" w:ascii="黑体" w:hAnsi="黑体" w:eastAsia="黑体"/>
                <w:szCs w:val="21"/>
                <w:highlight w:val="none"/>
                <w:lang w:val="zh-CN"/>
              </w:rPr>
              <w:t>合同签订时间：自成交通知书发出之日起30日内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647" w:type="pct"/>
            <w:tcBorders>
              <w:top w:val="single" w:color="auto" w:sz="4" w:space="0"/>
              <w:left w:val="single" w:color="auto" w:sz="4" w:space="0"/>
              <w:right w:val="single" w:color="auto" w:sz="4" w:space="0"/>
            </w:tcBorders>
            <w:vAlign w:val="center"/>
          </w:tcPr>
          <w:p>
            <w:pPr>
              <w:spacing w:line="360" w:lineRule="auto"/>
              <w:ind w:right="-4"/>
              <w:jc w:val="left"/>
              <w:rPr>
                <w:rFonts w:ascii="黑体" w:hAnsi="黑体" w:eastAsia="黑体"/>
                <w:szCs w:val="21"/>
                <w:highlight w:val="none"/>
                <w:lang w:val="zh-CN"/>
              </w:rPr>
            </w:pPr>
            <w:r>
              <w:rPr>
                <w:rFonts w:hint="eastAsia" w:ascii="黑体" w:hAnsi="黑体" w:eastAsia="黑体"/>
                <w:szCs w:val="21"/>
                <w:highlight w:val="none"/>
                <w:lang w:val="zh-CN"/>
              </w:rPr>
              <w:t>29</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黑体" w:hAnsi="黑体" w:eastAsia="黑体"/>
                <w:szCs w:val="21"/>
                <w:highlight w:val="none"/>
                <w:lang w:val="zh-CN"/>
              </w:rPr>
            </w:pPr>
            <w:r>
              <w:rPr>
                <w:rFonts w:hint="eastAsia" w:ascii="黑体" w:hAnsi="黑体" w:eastAsia="黑体"/>
                <w:szCs w:val="21"/>
                <w:highlight w:val="none"/>
                <w:lang w:val="zh-CN"/>
              </w:rPr>
              <w:t>履约担保：本项目不收取履约保证金。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ascii="黑体" w:hAnsi="黑体" w:eastAsia="黑体"/>
                <w:szCs w:val="21"/>
                <w:highlight w:val="none"/>
                <w:lang w:val="zh-CN"/>
              </w:rPr>
            </w:pPr>
            <w:r>
              <w:rPr>
                <w:rFonts w:hint="eastAsia" w:ascii="黑体" w:hAnsi="黑体" w:eastAsia="黑体"/>
                <w:szCs w:val="21"/>
                <w:highlight w:val="none"/>
                <w:lang w:val="zh-CN"/>
              </w:rPr>
              <w:t>33.2</w:t>
            </w:r>
          </w:p>
        </w:tc>
        <w:tc>
          <w:tcPr>
            <w:tcW w:w="4353" w:type="pct"/>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ascii="黑体" w:hAnsi="黑体" w:eastAsia="黑体"/>
                <w:bCs/>
                <w:szCs w:val="21"/>
                <w:highlight w:val="none"/>
              </w:rPr>
            </w:pPr>
            <w:r>
              <w:rPr>
                <w:rFonts w:hint="eastAsia" w:ascii="黑体" w:hAnsi="黑体" w:eastAsia="黑体"/>
                <w:bCs/>
                <w:szCs w:val="21"/>
                <w:highlight w:val="none"/>
              </w:rPr>
              <w:t>本项目类型为：</w:t>
            </w:r>
            <w:r>
              <w:rPr>
                <w:rFonts w:hint="eastAsia" w:ascii="黑体" w:hAnsi="黑体" w:eastAsia="黑体"/>
                <w:bCs/>
                <w:szCs w:val="21"/>
                <w:highlight w:val="none"/>
                <w:u w:val="single"/>
              </w:rPr>
              <w:t>货物类</w:t>
            </w:r>
            <w:r>
              <w:rPr>
                <w:rFonts w:hint="eastAsia" w:ascii="黑体" w:hAnsi="黑体" w:eastAsia="黑体"/>
                <w:bCs/>
                <w:szCs w:val="21"/>
                <w:highlight w:val="none"/>
              </w:rPr>
              <w:t>。</w:t>
            </w:r>
          </w:p>
        </w:tc>
      </w:tr>
    </w:tbl>
    <w:p>
      <w:pPr>
        <w:pStyle w:val="2"/>
        <w:keepNext w:val="0"/>
        <w:keepLines w:val="0"/>
        <w:pageBreakBefore/>
        <w:spacing w:before="300" w:after="240" w:line="360" w:lineRule="auto"/>
        <w:jc w:val="center"/>
        <w:rPr>
          <w:rFonts w:ascii="黑体" w:hAnsi="黑体" w:eastAsia="黑体"/>
          <w:spacing w:val="20"/>
          <w:sz w:val="32"/>
          <w:szCs w:val="32"/>
          <w:highlight w:val="none"/>
        </w:rPr>
      </w:pPr>
      <w:bookmarkStart w:id="18" w:name="_Toc16225"/>
      <w:r>
        <w:rPr>
          <w:rFonts w:hint="eastAsia" w:ascii="黑体" w:hAnsi="黑体" w:eastAsia="黑体"/>
          <w:spacing w:val="20"/>
          <w:sz w:val="32"/>
          <w:szCs w:val="32"/>
          <w:highlight w:val="none"/>
        </w:rPr>
        <w:t>第四部分 谈判须知</w:t>
      </w:r>
      <w:bookmarkEnd w:id="18"/>
    </w:p>
    <w:p>
      <w:pPr>
        <w:pStyle w:val="3"/>
        <w:numPr>
          <w:ilvl w:val="0"/>
          <w:numId w:val="32"/>
        </w:numPr>
        <w:spacing w:before="0" w:after="0" w:line="360" w:lineRule="auto"/>
        <w:rPr>
          <w:rFonts w:ascii="黑体" w:hAnsi="黑体" w:eastAsia="黑体"/>
          <w:sz w:val="21"/>
          <w:szCs w:val="21"/>
          <w:highlight w:val="none"/>
        </w:rPr>
      </w:pPr>
      <w:bookmarkStart w:id="19" w:name="_Toc416446509"/>
      <w:bookmarkStart w:id="20" w:name="_Toc429647617"/>
      <w:bookmarkStart w:id="21" w:name="_Toc411519059"/>
      <w:bookmarkStart w:id="22" w:name="_Toc13425"/>
      <w:r>
        <w:rPr>
          <w:rFonts w:hint="eastAsia" w:ascii="黑体" w:hAnsi="黑体" w:eastAsia="黑体"/>
          <w:sz w:val="21"/>
          <w:szCs w:val="21"/>
          <w:highlight w:val="none"/>
        </w:rPr>
        <w:t>说明</w:t>
      </w:r>
      <w:bookmarkEnd w:id="19"/>
      <w:bookmarkEnd w:id="20"/>
      <w:bookmarkEnd w:id="21"/>
      <w:bookmarkEnd w:id="22"/>
    </w:p>
    <w:p>
      <w:pPr>
        <w:pStyle w:val="40"/>
        <w:numPr>
          <w:ilvl w:val="0"/>
          <w:numId w:val="33"/>
        </w:numPr>
        <w:spacing w:before="0" w:after="0" w:line="360" w:lineRule="auto"/>
        <w:rPr>
          <w:rFonts w:ascii="黑体" w:hAnsi="黑体" w:eastAsia="黑体"/>
          <w:sz w:val="21"/>
          <w:szCs w:val="21"/>
          <w:highlight w:val="none"/>
        </w:rPr>
      </w:pPr>
      <w:bookmarkStart w:id="23" w:name="_Toc411519060"/>
      <w:bookmarkStart w:id="24" w:name="_Toc429647618"/>
      <w:bookmarkStart w:id="25" w:name="_Toc416446510"/>
      <w:bookmarkStart w:id="26" w:name="_Toc31826"/>
      <w:r>
        <w:rPr>
          <w:rFonts w:hint="eastAsia" w:ascii="黑体" w:hAnsi="黑体" w:eastAsia="黑体"/>
          <w:sz w:val="21"/>
          <w:szCs w:val="21"/>
          <w:highlight w:val="none"/>
        </w:rPr>
        <w:t>适用范围及资金来源</w:t>
      </w:r>
      <w:bookmarkEnd w:id="23"/>
      <w:bookmarkEnd w:id="24"/>
      <w:bookmarkEnd w:id="25"/>
      <w:bookmarkEnd w:id="26"/>
    </w:p>
    <w:p>
      <w:pPr>
        <w:pStyle w:val="38"/>
        <w:numPr>
          <w:ilvl w:val="0"/>
          <w:numId w:val="34"/>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本采购文件适用于本谈判邀请中所述项目的政府采购。</w:t>
      </w:r>
    </w:p>
    <w:p>
      <w:pPr>
        <w:pStyle w:val="38"/>
        <w:numPr>
          <w:ilvl w:val="0"/>
          <w:numId w:val="34"/>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资金来源：</w:t>
      </w:r>
      <w:r>
        <w:rPr>
          <w:rFonts w:hint="eastAsia" w:ascii="黑体" w:hAnsi="黑体" w:eastAsia="黑体"/>
          <w:b/>
          <w:sz w:val="21"/>
          <w:szCs w:val="21"/>
          <w:highlight w:val="none"/>
          <w:u w:val="single"/>
        </w:rPr>
        <w:t>（详见谈判须知前附表）。</w:t>
      </w:r>
    </w:p>
    <w:p>
      <w:pPr>
        <w:pStyle w:val="40"/>
        <w:numPr>
          <w:ilvl w:val="0"/>
          <w:numId w:val="33"/>
        </w:numPr>
        <w:spacing w:before="0" w:after="0" w:line="360" w:lineRule="auto"/>
        <w:rPr>
          <w:rFonts w:ascii="黑体" w:hAnsi="黑体" w:eastAsia="黑体"/>
          <w:sz w:val="21"/>
          <w:szCs w:val="21"/>
          <w:highlight w:val="none"/>
        </w:rPr>
      </w:pPr>
      <w:bookmarkStart w:id="27" w:name="_Toc429647619"/>
      <w:bookmarkStart w:id="28" w:name="_Toc416446511"/>
      <w:bookmarkStart w:id="29" w:name="_Toc411519061"/>
      <w:bookmarkStart w:id="30" w:name="_Toc20526"/>
      <w:r>
        <w:rPr>
          <w:rFonts w:hint="eastAsia" w:ascii="黑体" w:hAnsi="黑体" w:eastAsia="黑体"/>
          <w:sz w:val="21"/>
          <w:szCs w:val="21"/>
          <w:highlight w:val="none"/>
        </w:rPr>
        <w:t>定义</w:t>
      </w:r>
      <w:bookmarkEnd w:id="27"/>
      <w:bookmarkEnd w:id="28"/>
      <w:bookmarkEnd w:id="29"/>
      <w:bookmarkEnd w:id="30"/>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采购人：是指依法进行政府采购的国家机关、事业单位、团体组织。</w:t>
      </w:r>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采购代理机构：是指按照规定办理名录登记并通过审核的代理机构。</w:t>
      </w:r>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合格的供应商：详见《第一部分谈判邀请函》申请人的资格要求。</w:t>
      </w:r>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谈判小组：谈判小组是依据《中华人民共和国政府采购法》及其实施条例、《政府采购非招标采购方式管理办法》等组建的专门负责本次谈判其评审工作的临时性机构。</w:t>
      </w:r>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日期：指公历日。</w:t>
      </w:r>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时间：指北京时间。</w:t>
      </w:r>
    </w:p>
    <w:p>
      <w:pPr>
        <w:pStyle w:val="38"/>
        <w:numPr>
          <w:ilvl w:val="0"/>
          <w:numId w:val="35"/>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合同：指由本次谈判所产生的合同或合约文件。</w:t>
      </w:r>
    </w:p>
    <w:p>
      <w:pPr>
        <w:pStyle w:val="38"/>
        <w:numPr>
          <w:ilvl w:val="0"/>
          <w:numId w:val="35"/>
        </w:numPr>
        <w:spacing w:line="360" w:lineRule="auto"/>
        <w:ind w:firstLineChars="0"/>
        <w:rPr>
          <w:rFonts w:ascii="黑体" w:hAnsi="黑体" w:eastAsia="黑体"/>
          <w:spacing w:val="-2"/>
          <w:sz w:val="21"/>
          <w:szCs w:val="21"/>
          <w:highlight w:val="none"/>
        </w:rPr>
      </w:pPr>
      <w:r>
        <w:rPr>
          <w:rFonts w:hint="eastAsia" w:ascii="黑体" w:hAnsi="黑体" w:eastAsia="黑体"/>
          <w:spacing w:val="-2"/>
          <w:sz w:val="21"/>
          <w:szCs w:val="21"/>
          <w:highlight w:val="none"/>
        </w:rPr>
        <w:t>采购文件中所规定“书面形式”，是指任何手写的、打印的或印刷的通讯，包括传真发送。</w:t>
      </w:r>
    </w:p>
    <w:p>
      <w:pPr>
        <w:pStyle w:val="40"/>
        <w:numPr>
          <w:ilvl w:val="0"/>
          <w:numId w:val="33"/>
        </w:numPr>
        <w:spacing w:before="0" w:after="0" w:line="360" w:lineRule="auto"/>
        <w:rPr>
          <w:rFonts w:ascii="黑体" w:hAnsi="黑体" w:eastAsia="黑体"/>
          <w:sz w:val="21"/>
          <w:szCs w:val="21"/>
          <w:highlight w:val="none"/>
        </w:rPr>
      </w:pPr>
      <w:bookmarkStart w:id="31" w:name="_Toc411519063"/>
      <w:bookmarkStart w:id="32" w:name="_Toc429647621"/>
      <w:bookmarkStart w:id="33" w:name="_Toc416446513"/>
      <w:bookmarkStart w:id="34" w:name="_Toc12302"/>
      <w:r>
        <w:rPr>
          <w:rFonts w:hint="eastAsia" w:ascii="黑体" w:hAnsi="黑体" w:eastAsia="黑体"/>
          <w:sz w:val="21"/>
          <w:szCs w:val="21"/>
          <w:highlight w:val="none"/>
        </w:rPr>
        <w:t>合格的货物和服务</w:t>
      </w:r>
      <w:bookmarkEnd w:id="31"/>
      <w:bookmarkEnd w:id="32"/>
      <w:bookmarkEnd w:id="33"/>
      <w:bookmarkEnd w:id="34"/>
    </w:p>
    <w:p>
      <w:pPr>
        <w:pStyle w:val="30"/>
        <w:numPr>
          <w:ilvl w:val="0"/>
          <w:numId w:val="36"/>
        </w:numPr>
        <w:spacing w:line="360" w:lineRule="auto"/>
        <w:ind w:left="426" w:hanging="426" w:firstLineChars="0"/>
        <w:rPr>
          <w:rFonts w:ascii="黑体" w:hAnsi="黑体" w:eastAsia="黑体"/>
          <w:szCs w:val="21"/>
          <w:highlight w:val="none"/>
        </w:rPr>
      </w:pPr>
      <w:bookmarkStart w:id="35" w:name="_Toc411519064"/>
      <w:r>
        <w:rPr>
          <w:rFonts w:hint="eastAsia" w:ascii="黑体" w:hAnsi="黑体" w:eastAsia="黑体"/>
          <w:szCs w:val="21"/>
          <w:highlight w:val="none"/>
        </w:rPr>
        <w:t>货物是指</w:t>
      </w:r>
      <w:r>
        <w:rPr>
          <w:rFonts w:ascii="黑体" w:hAnsi="黑体" w:eastAsia="黑体"/>
          <w:szCs w:val="21"/>
          <w:highlight w:val="none"/>
        </w:rPr>
        <w:t>供应商</w:t>
      </w:r>
      <w:r>
        <w:rPr>
          <w:rFonts w:hint="eastAsia" w:ascii="黑体" w:hAnsi="黑体" w:eastAsia="黑体"/>
          <w:szCs w:val="21"/>
          <w:highlight w:val="none"/>
        </w:rPr>
        <w:t>制造或组织符合采购文件要求的货物等。谈判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pPr>
        <w:pStyle w:val="30"/>
        <w:numPr>
          <w:ilvl w:val="0"/>
          <w:numId w:val="36"/>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服务是指除货物和工程以外的其他政府采购对象，其中包括供应商须承担的运输、安装、技术支持、培训及采购文件规定的其它服务。</w:t>
      </w:r>
    </w:p>
    <w:p>
      <w:pPr>
        <w:pStyle w:val="30"/>
        <w:numPr>
          <w:ilvl w:val="0"/>
          <w:numId w:val="36"/>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若所响应产品属于政府强制采购节能产品的，则响应供应商必须提供该产品国家强制性节能产品进行响应，并提供有效的国家强制性节能产品认证证书，否则视为无效响应。</w:t>
      </w:r>
    </w:p>
    <w:p>
      <w:pPr>
        <w:pStyle w:val="30"/>
        <w:numPr>
          <w:ilvl w:val="0"/>
          <w:numId w:val="36"/>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供应商应保证，采购人在中华人民共和国使用货物或服务的任何一部分时,采购人免受第三方提出侵犯其专利权、商标权或其它知识产权的起诉。</w:t>
      </w:r>
    </w:p>
    <w:p>
      <w:pPr>
        <w:pStyle w:val="30"/>
        <w:numPr>
          <w:ilvl w:val="0"/>
          <w:numId w:val="36"/>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验收。</w:t>
      </w:r>
    </w:p>
    <w:p>
      <w:pPr>
        <w:pStyle w:val="30"/>
        <w:numPr>
          <w:ilvl w:val="0"/>
          <w:numId w:val="37"/>
        </w:numPr>
        <w:spacing w:line="360" w:lineRule="auto"/>
        <w:ind w:left="709" w:hanging="709" w:firstLineChars="0"/>
        <w:rPr>
          <w:rFonts w:ascii="黑体" w:hAnsi="黑体" w:eastAsia="黑体"/>
          <w:szCs w:val="21"/>
          <w:highlight w:val="none"/>
        </w:rPr>
      </w:pPr>
      <w:r>
        <w:rPr>
          <w:rFonts w:hint="eastAsia" w:ascii="黑体" w:hAnsi="黑体" w:eastAsia="黑体"/>
          <w:szCs w:val="21"/>
          <w:highlight w:val="none"/>
        </w:rPr>
        <w:t>验收工作由采购人（或采购人指定的单位）与供应商共同进行。</w:t>
      </w:r>
    </w:p>
    <w:p>
      <w:pPr>
        <w:pStyle w:val="30"/>
        <w:numPr>
          <w:ilvl w:val="0"/>
          <w:numId w:val="37"/>
        </w:numPr>
        <w:spacing w:line="360" w:lineRule="auto"/>
        <w:ind w:left="709" w:hanging="709" w:firstLineChars="0"/>
        <w:rPr>
          <w:rFonts w:ascii="黑体" w:hAnsi="黑体" w:eastAsia="黑体"/>
          <w:szCs w:val="21"/>
          <w:highlight w:val="none"/>
        </w:rPr>
      </w:pPr>
      <w:r>
        <w:rPr>
          <w:rFonts w:hint="eastAsia" w:ascii="黑体" w:hAnsi="黑体" w:eastAsia="黑体"/>
          <w:szCs w:val="21"/>
          <w:highlight w:val="none"/>
        </w:rPr>
        <w:t>在验收时，供应商应向采购人提供货物或服务的相关资料，按采购人提出的方式验收。</w:t>
      </w:r>
    </w:p>
    <w:p>
      <w:pPr>
        <w:pStyle w:val="30"/>
        <w:numPr>
          <w:ilvl w:val="0"/>
          <w:numId w:val="37"/>
        </w:numPr>
        <w:spacing w:line="360" w:lineRule="auto"/>
        <w:ind w:left="709" w:hanging="709" w:firstLineChars="0"/>
        <w:rPr>
          <w:rFonts w:ascii="黑体" w:hAnsi="黑体" w:eastAsia="黑体"/>
          <w:szCs w:val="21"/>
          <w:highlight w:val="none"/>
        </w:rPr>
      </w:pPr>
      <w:r>
        <w:rPr>
          <w:rFonts w:hint="eastAsia" w:ascii="黑体" w:hAnsi="黑体" w:eastAsia="黑体"/>
          <w:szCs w:val="21"/>
          <w:highlight w:val="none"/>
        </w:rPr>
        <w:t>由采购人对货物或服务的质量、规格和数量及其他进行检验。如发现质量、规格和数量等任何一项与采购要求规定不符，采购人有权拒绝接受。</w:t>
      </w:r>
    </w:p>
    <w:p>
      <w:pPr>
        <w:pStyle w:val="40"/>
        <w:numPr>
          <w:ilvl w:val="0"/>
          <w:numId w:val="33"/>
        </w:numPr>
        <w:spacing w:before="0" w:after="0" w:line="360" w:lineRule="auto"/>
        <w:rPr>
          <w:rFonts w:ascii="黑体" w:hAnsi="黑体" w:eastAsia="黑体"/>
          <w:sz w:val="21"/>
          <w:szCs w:val="21"/>
          <w:highlight w:val="none"/>
        </w:rPr>
      </w:pPr>
      <w:bookmarkStart w:id="36" w:name="_Toc416446514"/>
      <w:bookmarkStart w:id="37" w:name="_Toc429647622"/>
      <w:bookmarkStart w:id="38" w:name="_Toc9282"/>
      <w:r>
        <w:rPr>
          <w:rFonts w:hint="eastAsia" w:ascii="黑体" w:hAnsi="黑体" w:eastAsia="黑体"/>
          <w:sz w:val="21"/>
          <w:szCs w:val="21"/>
          <w:highlight w:val="none"/>
        </w:rPr>
        <w:t>谈判费用</w:t>
      </w:r>
      <w:bookmarkEnd w:id="35"/>
      <w:bookmarkEnd w:id="36"/>
      <w:bookmarkEnd w:id="37"/>
      <w:bookmarkEnd w:id="38"/>
    </w:p>
    <w:p>
      <w:pPr>
        <w:pStyle w:val="30"/>
        <w:numPr>
          <w:ilvl w:val="0"/>
          <w:numId w:val="38"/>
        </w:numPr>
        <w:autoSpaceDE w:val="0"/>
        <w:autoSpaceDN w:val="0"/>
        <w:adjustRightInd w:val="0"/>
        <w:snapToGrid w:val="0"/>
        <w:spacing w:line="360" w:lineRule="auto"/>
        <w:ind w:left="426" w:hanging="426" w:firstLineChars="0"/>
        <w:jc w:val="left"/>
        <w:rPr>
          <w:rFonts w:ascii="黑体" w:hAnsi="黑体" w:eastAsia="黑体"/>
          <w:szCs w:val="21"/>
          <w:highlight w:val="none"/>
        </w:rPr>
      </w:pPr>
      <w:bookmarkStart w:id="39" w:name="_Toc416446515"/>
      <w:bookmarkStart w:id="40" w:name="_Toc429647623"/>
      <w:r>
        <w:rPr>
          <w:rFonts w:hint="eastAsia" w:ascii="黑体" w:hAnsi="黑体" w:eastAsia="黑体"/>
          <w:szCs w:val="21"/>
          <w:highlight w:val="none"/>
        </w:rPr>
        <w:t>响应供应商应承担所有与准备和参加谈判有关的费用</w:t>
      </w:r>
      <w:r>
        <w:rPr>
          <w:rFonts w:hint="eastAsia" w:ascii="黑体" w:hAnsi="黑体" w:eastAsia="黑体" w:cs="宋体"/>
          <w:szCs w:val="21"/>
          <w:highlight w:val="none"/>
          <w:lang w:eastAsia="zh-TW"/>
        </w:rPr>
        <w:t>。不论谈判的结果如何</w:t>
      </w:r>
      <w:r>
        <w:rPr>
          <w:rFonts w:hint="eastAsia" w:ascii="黑体" w:hAnsi="黑体" w:eastAsia="黑体" w:cs="宋体"/>
          <w:szCs w:val="21"/>
          <w:highlight w:val="none"/>
        </w:rPr>
        <w:t>，</w:t>
      </w:r>
      <w:r>
        <w:rPr>
          <w:rFonts w:hint="eastAsia" w:ascii="黑体" w:hAnsi="黑体" w:eastAsia="黑体" w:cs="宋体"/>
          <w:szCs w:val="21"/>
          <w:highlight w:val="none"/>
          <w:lang w:eastAsia="zh-TW"/>
        </w:rPr>
        <w:t>采购人均无义务和责任承担这些费用</w:t>
      </w:r>
      <w:r>
        <w:rPr>
          <w:rFonts w:hint="eastAsia" w:ascii="黑体" w:hAnsi="黑体" w:eastAsia="黑体" w:cs="宋体"/>
          <w:szCs w:val="21"/>
          <w:highlight w:val="none"/>
        </w:rPr>
        <w:t>。</w:t>
      </w:r>
    </w:p>
    <w:p>
      <w:pPr>
        <w:pStyle w:val="40"/>
        <w:numPr>
          <w:ilvl w:val="0"/>
          <w:numId w:val="33"/>
        </w:numPr>
        <w:spacing w:before="0" w:after="0" w:line="360" w:lineRule="auto"/>
        <w:rPr>
          <w:rFonts w:ascii="黑体" w:hAnsi="黑体" w:eastAsia="黑体"/>
          <w:sz w:val="21"/>
          <w:szCs w:val="21"/>
          <w:highlight w:val="none"/>
        </w:rPr>
      </w:pPr>
      <w:bookmarkStart w:id="41" w:name="_Toc22937"/>
      <w:r>
        <w:rPr>
          <w:rFonts w:hint="eastAsia" w:ascii="黑体" w:hAnsi="黑体" w:eastAsia="黑体"/>
          <w:sz w:val="21"/>
          <w:szCs w:val="21"/>
          <w:highlight w:val="none"/>
        </w:rPr>
        <w:t>联合体谈判</w:t>
      </w:r>
      <w:bookmarkEnd w:id="39"/>
      <w:bookmarkEnd w:id="40"/>
      <w:r>
        <w:rPr>
          <w:rFonts w:hint="eastAsia" w:ascii="黑体" w:hAnsi="黑体" w:eastAsia="黑体"/>
          <w:sz w:val="21"/>
          <w:szCs w:val="21"/>
          <w:highlight w:val="none"/>
        </w:rPr>
        <w:t>（适用于联合体谈判项目）</w:t>
      </w:r>
      <w:bookmarkEnd w:id="41"/>
    </w:p>
    <w:p>
      <w:pPr>
        <w:pStyle w:val="38"/>
        <w:numPr>
          <w:ilvl w:val="0"/>
          <w:numId w:val="39"/>
        </w:numPr>
        <w:spacing w:line="360" w:lineRule="auto"/>
        <w:ind w:left="426" w:hanging="426" w:firstLineChars="0"/>
        <w:rPr>
          <w:rFonts w:ascii="黑体" w:hAnsi="黑体" w:eastAsia="黑体"/>
          <w:sz w:val="21"/>
          <w:szCs w:val="21"/>
          <w:highlight w:val="none"/>
        </w:rPr>
      </w:pPr>
      <w:r>
        <w:rPr>
          <w:rFonts w:hint="eastAsia" w:ascii="黑体" w:hAnsi="黑体" w:eastAsia="黑体"/>
          <w:sz w:val="21"/>
          <w:szCs w:val="21"/>
          <w:highlight w:val="none"/>
        </w:rPr>
        <w:t>联合体谈判的供应商应当满足下列条件：</w:t>
      </w:r>
    </w:p>
    <w:p>
      <w:pPr>
        <w:pStyle w:val="38"/>
        <w:numPr>
          <w:ilvl w:val="0"/>
          <w:numId w:val="40"/>
        </w:numPr>
        <w:spacing w:line="360" w:lineRule="auto"/>
        <w:ind w:left="709" w:hanging="709" w:firstLineChars="0"/>
        <w:rPr>
          <w:rFonts w:ascii="黑体" w:hAnsi="黑体" w:eastAsia="黑体"/>
          <w:sz w:val="21"/>
          <w:szCs w:val="21"/>
          <w:highlight w:val="none"/>
        </w:rPr>
      </w:pPr>
      <w:r>
        <w:rPr>
          <w:rFonts w:hint="eastAsia" w:ascii="黑体" w:hAnsi="黑体" w:eastAsia="黑体"/>
          <w:sz w:val="21"/>
          <w:szCs w:val="21"/>
          <w:highlight w:val="none"/>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pPr>
        <w:pStyle w:val="38"/>
        <w:numPr>
          <w:ilvl w:val="0"/>
          <w:numId w:val="40"/>
        </w:numPr>
        <w:spacing w:line="360" w:lineRule="auto"/>
        <w:ind w:left="709" w:hanging="709" w:firstLineChars="0"/>
        <w:rPr>
          <w:rFonts w:ascii="黑体" w:hAnsi="黑体" w:eastAsia="黑体"/>
          <w:sz w:val="21"/>
          <w:szCs w:val="21"/>
          <w:highlight w:val="none"/>
        </w:rPr>
      </w:pPr>
      <w:r>
        <w:rPr>
          <w:rFonts w:hint="eastAsia" w:ascii="黑体" w:hAnsi="黑体" w:eastAsia="黑体"/>
          <w:sz w:val="21"/>
          <w:szCs w:val="21"/>
          <w:highlight w:val="none"/>
        </w:rPr>
        <w:t>以联合体形式参加政府采购活动的，联合体各方不得再单独参加或者与其他供应商另外组成联合体参加同一合同项下的政府采购活动。</w:t>
      </w:r>
    </w:p>
    <w:p>
      <w:pPr>
        <w:pStyle w:val="38"/>
        <w:numPr>
          <w:ilvl w:val="0"/>
          <w:numId w:val="40"/>
        </w:numPr>
        <w:spacing w:line="360" w:lineRule="auto"/>
        <w:ind w:left="709" w:hanging="709" w:firstLineChars="0"/>
        <w:rPr>
          <w:rFonts w:ascii="黑体" w:hAnsi="黑体" w:eastAsia="黑体"/>
          <w:sz w:val="21"/>
          <w:szCs w:val="21"/>
          <w:highlight w:val="none"/>
        </w:rPr>
      </w:pPr>
      <w:r>
        <w:rPr>
          <w:rFonts w:hint="eastAsia" w:ascii="黑体" w:hAnsi="黑体" w:eastAsia="黑体"/>
          <w:sz w:val="21"/>
          <w:szCs w:val="21"/>
          <w:highlight w:val="none"/>
        </w:rPr>
        <w:t>以联合体进行谈判的，可以由联合体中的一方或者共同提交投标保证金，以一方名义提交的投标保证金的，对联合体各方均具有约束力。</w:t>
      </w:r>
    </w:p>
    <w:p>
      <w:pPr>
        <w:pStyle w:val="38"/>
        <w:numPr>
          <w:ilvl w:val="0"/>
          <w:numId w:val="40"/>
        </w:numPr>
        <w:spacing w:line="360" w:lineRule="auto"/>
        <w:ind w:left="709" w:hanging="709" w:firstLineChars="0"/>
        <w:rPr>
          <w:rFonts w:ascii="黑体" w:hAnsi="黑体" w:eastAsia="黑体"/>
          <w:sz w:val="21"/>
          <w:szCs w:val="21"/>
          <w:highlight w:val="none"/>
        </w:rPr>
      </w:pPr>
      <w:r>
        <w:rPr>
          <w:rFonts w:hint="eastAsia" w:ascii="黑体" w:hAnsi="黑体" w:eastAsia="黑体"/>
          <w:sz w:val="21"/>
          <w:szCs w:val="21"/>
          <w:highlight w:val="none"/>
        </w:rPr>
        <w:t>联合体中有同类资质的供应商按照联合体分工承担相同工作的，按照资质等级较低的供应商确定资质等级。</w:t>
      </w:r>
    </w:p>
    <w:p>
      <w:pPr>
        <w:pStyle w:val="38"/>
        <w:numPr>
          <w:ilvl w:val="0"/>
          <w:numId w:val="40"/>
        </w:numPr>
        <w:spacing w:line="360" w:lineRule="auto"/>
        <w:ind w:left="709" w:hanging="709" w:firstLineChars="0"/>
        <w:rPr>
          <w:rFonts w:ascii="黑体" w:hAnsi="黑体" w:eastAsia="黑体"/>
          <w:sz w:val="21"/>
          <w:szCs w:val="21"/>
          <w:highlight w:val="none"/>
        </w:rPr>
      </w:pPr>
      <w:r>
        <w:rPr>
          <w:rFonts w:hint="eastAsia" w:ascii="黑体" w:hAnsi="黑体" w:eastAsia="黑体"/>
          <w:sz w:val="21"/>
          <w:szCs w:val="21"/>
          <w:highlight w:val="none"/>
        </w:rPr>
        <w:t>联合体各方应当共同与采购人签订采购合同，就采购合同约定的事项对采购人承担连带责任。</w:t>
      </w:r>
    </w:p>
    <w:p>
      <w:pPr>
        <w:pStyle w:val="40"/>
        <w:numPr>
          <w:ilvl w:val="0"/>
          <w:numId w:val="33"/>
        </w:numPr>
        <w:spacing w:before="0" w:after="0" w:line="360" w:lineRule="auto"/>
        <w:rPr>
          <w:rFonts w:ascii="黑体" w:hAnsi="黑体" w:eastAsia="黑体"/>
          <w:sz w:val="21"/>
          <w:szCs w:val="21"/>
          <w:highlight w:val="none"/>
        </w:rPr>
      </w:pPr>
      <w:bookmarkStart w:id="42" w:name="_Toc381027666"/>
      <w:bookmarkStart w:id="43" w:name="_Toc23405"/>
      <w:r>
        <w:rPr>
          <w:rFonts w:hint="eastAsia" w:ascii="黑体" w:hAnsi="黑体" w:eastAsia="黑体"/>
          <w:sz w:val="21"/>
          <w:szCs w:val="21"/>
          <w:highlight w:val="none"/>
        </w:rPr>
        <w:t>政府采购信用担保</w:t>
      </w:r>
      <w:bookmarkEnd w:id="42"/>
      <w:bookmarkEnd w:id="43"/>
    </w:p>
    <w:p>
      <w:pPr>
        <w:pStyle w:val="30"/>
        <w:numPr>
          <w:ilvl w:val="0"/>
          <w:numId w:val="41"/>
        </w:numPr>
        <w:autoSpaceDE w:val="0"/>
        <w:autoSpaceDN w:val="0"/>
        <w:adjustRightInd w:val="0"/>
        <w:snapToGrid w:val="0"/>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pPr>
        <w:pStyle w:val="30"/>
        <w:numPr>
          <w:ilvl w:val="0"/>
          <w:numId w:val="41"/>
        </w:numPr>
        <w:autoSpaceDE w:val="0"/>
        <w:autoSpaceDN w:val="0"/>
        <w:adjustRightInd w:val="0"/>
        <w:snapToGrid w:val="0"/>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参考《中华人民共和国政府采购法实施条例》的规定，允许并授受供应商以专业担保机构出具的担保函的形式交纳投标保证金或履约保证金。供应商提交专业担保机构出具的投标担保函的，不得再要求其提供银行资信证明等类似文件。</w:t>
      </w:r>
    </w:p>
    <w:p>
      <w:pPr>
        <w:pStyle w:val="30"/>
        <w:numPr>
          <w:ilvl w:val="0"/>
          <w:numId w:val="41"/>
        </w:numPr>
        <w:autoSpaceDE w:val="0"/>
        <w:autoSpaceDN w:val="0"/>
        <w:adjustRightInd w:val="0"/>
        <w:snapToGrid w:val="0"/>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担保品种</w:t>
      </w:r>
    </w:p>
    <w:p>
      <w:pPr>
        <w:pStyle w:val="30"/>
        <w:numPr>
          <w:ilvl w:val="0"/>
          <w:numId w:val="42"/>
        </w:numPr>
        <w:autoSpaceDE w:val="0"/>
        <w:autoSpaceDN w:val="0"/>
        <w:adjustRightInd w:val="0"/>
        <w:snapToGrid w:val="0"/>
        <w:spacing w:line="360" w:lineRule="auto"/>
        <w:ind w:left="709" w:hanging="709" w:firstLineChars="0"/>
        <w:rPr>
          <w:rFonts w:ascii="黑体" w:hAnsi="黑体" w:eastAsia="黑体"/>
          <w:szCs w:val="21"/>
          <w:highlight w:val="none"/>
        </w:rPr>
      </w:pPr>
      <w:r>
        <w:rPr>
          <w:rFonts w:hint="eastAsia" w:ascii="黑体" w:hAnsi="黑体" w:eastAsia="黑体" w:cs="宋体"/>
          <w:szCs w:val="21"/>
          <w:highlight w:val="none"/>
          <w:lang w:eastAsia="zh-TW"/>
        </w:rPr>
        <w:t>投标担保，是指由担保机构为供应商交纳成交保证金向采购人或采购代理机构提供的保证担保。供应商在</w:t>
      </w:r>
      <w:r>
        <w:rPr>
          <w:rFonts w:hint="eastAsia" w:ascii="黑体" w:hAnsi="黑体" w:eastAsia="黑体" w:cs="宋体"/>
          <w:szCs w:val="21"/>
          <w:highlight w:val="none"/>
        </w:rPr>
        <w:t>谈判</w:t>
      </w:r>
      <w:r>
        <w:rPr>
          <w:rFonts w:hint="eastAsia" w:ascii="黑体" w:hAnsi="黑体" w:eastAsia="黑体" w:cs="宋体"/>
          <w:szCs w:val="21"/>
          <w:highlight w:val="none"/>
          <w:lang w:eastAsia="zh-TW"/>
        </w:rPr>
        <w:t>有效期内撤回响应文件或成交后不签订政府采购合同的，由担保机构按照担保函的约定履行支付投标保证金的责任。</w:t>
      </w:r>
    </w:p>
    <w:p>
      <w:pPr>
        <w:pStyle w:val="30"/>
        <w:numPr>
          <w:ilvl w:val="0"/>
          <w:numId w:val="42"/>
        </w:numPr>
        <w:autoSpaceDE w:val="0"/>
        <w:autoSpaceDN w:val="0"/>
        <w:adjustRightInd w:val="0"/>
        <w:snapToGrid w:val="0"/>
        <w:spacing w:line="360" w:lineRule="auto"/>
        <w:ind w:left="709" w:hanging="709" w:firstLineChars="0"/>
        <w:rPr>
          <w:rFonts w:ascii="黑体" w:hAnsi="黑体" w:eastAsia="黑体"/>
          <w:szCs w:val="21"/>
          <w:highlight w:val="none"/>
        </w:rPr>
      </w:pPr>
      <w:r>
        <w:rPr>
          <w:rFonts w:hint="eastAsia" w:ascii="黑体" w:hAnsi="黑体" w:eastAsia="黑体" w:cs="宋体"/>
          <w:szCs w:val="21"/>
          <w:highlight w:val="none"/>
          <w:lang w:eastAsia="zh-TW"/>
        </w:rPr>
        <w:t>履约担保，是指由担保机构为供应商交纳履约保证金向采购人或采购代理机构提供的保证担保。供应商未按政府采购合同履行约定义务的，由担保机构按照担保函约定履行支付履约保证金的责任。</w:t>
      </w:r>
    </w:p>
    <w:p>
      <w:pPr>
        <w:pStyle w:val="30"/>
        <w:numPr>
          <w:ilvl w:val="0"/>
          <w:numId w:val="42"/>
        </w:numPr>
        <w:autoSpaceDE w:val="0"/>
        <w:autoSpaceDN w:val="0"/>
        <w:adjustRightInd w:val="0"/>
        <w:snapToGrid w:val="0"/>
        <w:spacing w:line="360" w:lineRule="auto"/>
        <w:ind w:left="709" w:hanging="709" w:firstLineChars="0"/>
        <w:rPr>
          <w:rFonts w:ascii="黑体" w:hAnsi="黑体" w:eastAsia="黑体"/>
          <w:szCs w:val="21"/>
          <w:highlight w:val="none"/>
        </w:rPr>
      </w:pPr>
      <w:r>
        <w:rPr>
          <w:rFonts w:hint="eastAsia" w:ascii="黑体" w:hAnsi="黑体" w:eastAsia="黑体" w:cs="宋体"/>
          <w:szCs w:val="21"/>
          <w:highlight w:val="none"/>
          <w:lang w:eastAsia="zh-TW"/>
        </w:rPr>
        <w:t>融资担保，是指担保机构为供应商向银行融资提供的保证担保。</w:t>
      </w:r>
    </w:p>
    <w:p>
      <w:pPr>
        <w:pStyle w:val="30"/>
        <w:numPr>
          <w:ilvl w:val="0"/>
          <w:numId w:val="41"/>
        </w:numPr>
        <w:autoSpaceDE w:val="0"/>
        <w:autoSpaceDN w:val="0"/>
        <w:adjustRightInd w:val="0"/>
        <w:snapToGrid w:val="0"/>
        <w:spacing w:line="360" w:lineRule="auto"/>
        <w:ind w:left="426" w:hanging="426" w:firstLineChars="0"/>
        <w:rPr>
          <w:rFonts w:ascii="黑体" w:hAnsi="黑体" w:eastAsia="黑体" w:cs="宋体"/>
          <w:szCs w:val="21"/>
          <w:highlight w:val="none"/>
          <w:lang w:eastAsia="zh-TW"/>
        </w:rPr>
      </w:pPr>
      <w:r>
        <w:rPr>
          <w:rFonts w:hint="eastAsia" w:ascii="黑体" w:hAnsi="黑体" w:eastAsia="黑体" w:cs="宋体"/>
          <w:szCs w:val="21"/>
          <w:highlight w:val="none"/>
          <w:lang w:eastAsia="zh-TW"/>
        </w:rPr>
        <w:t>供应商可以以投标担保函、履约担保函形式缴纳保证金。</w:t>
      </w:r>
    </w:p>
    <w:p>
      <w:pPr>
        <w:pStyle w:val="4"/>
        <w:numPr>
          <w:ilvl w:val="0"/>
          <w:numId w:val="32"/>
        </w:numPr>
        <w:spacing w:before="312" w:beforeLines="100" w:after="0" w:line="360" w:lineRule="auto"/>
        <w:rPr>
          <w:rFonts w:ascii="黑体" w:hAnsi="黑体" w:eastAsia="黑体"/>
          <w:bCs w:val="0"/>
          <w:sz w:val="21"/>
          <w:szCs w:val="21"/>
          <w:highlight w:val="none"/>
        </w:rPr>
      </w:pPr>
      <w:bookmarkStart w:id="44" w:name="_Toc10582"/>
      <w:r>
        <w:rPr>
          <w:rFonts w:hint="eastAsia" w:ascii="黑体" w:hAnsi="黑体" w:eastAsia="黑体"/>
          <w:bCs w:val="0"/>
          <w:sz w:val="21"/>
          <w:szCs w:val="21"/>
          <w:highlight w:val="none"/>
        </w:rPr>
        <w:t>采购文件</w:t>
      </w:r>
      <w:bookmarkEnd w:id="44"/>
    </w:p>
    <w:p>
      <w:pPr>
        <w:pStyle w:val="40"/>
        <w:numPr>
          <w:ilvl w:val="0"/>
          <w:numId w:val="33"/>
        </w:numPr>
        <w:spacing w:before="0" w:after="0" w:line="360" w:lineRule="auto"/>
        <w:rPr>
          <w:rFonts w:ascii="黑体" w:hAnsi="黑体" w:eastAsia="黑体"/>
          <w:sz w:val="21"/>
          <w:szCs w:val="21"/>
          <w:highlight w:val="none"/>
        </w:rPr>
      </w:pPr>
      <w:bookmarkStart w:id="45" w:name="_Toc429647625"/>
      <w:bookmarkStart w:id="46" w:name="_Toc416446517"/>
      <w:bookmarkStart w:id="47" w:name="_Toc411519066"/>
      <w:bookmarkStart w:id="48" w:name="_Toc23200"/>
      <w:r>
        <w:rPr>
          <w:rFonts w:hint="eastAsia" w:ascii="黑体" w:hAnsi="黑体" w:eastAsia="黑体"/>
          <w:sz w:val="21"/>
          <w:szCs w:val="21"/>
          <w:highlight w:val="none"/>
        </w:rPr>
        <w:t>采购文件的组成</w:t>
      </w:r>
      <w:bookmarkEnd w:id="45"/>
      <w:bookmarkEnd w:id="46"/>
      <w:bookmarkEnd w:id="47"/>
      <w:bookmarkEnd w:id="48"/>
    </w:p>
    <w:p>
      <w:pPr>
        <w:pStyle w:val="38"/>
        <w:numPr>
          <w:ilvl w:val="0"/>
          <w:numId w:val="43"/>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采购文件包括：</w:t>
      </w:r>
    </w:p>
    <w:p>
      <w:pPr>
        <w:pStyle w:val="41"/>
        <w:numPr>
          <w:ilvl w:val="0"/>
          <w:numId w:val="44"/>
        </w:numPr>
        <w:tabs>
          <w:tab w:val="left" w:pos="567"/>
          <w:tab w:val="left" w:pos="709"/>
        </w:tabs>
        <w:spacing w:line="360" w:lineRule="auto"/>
        <w:ind w:firstLineChars="0"/>
        <w:rPr>
          <w:rFonts w:ascii="黑体" w:hAnsi="黑体" w:eastAsia="黑体"/>
          <w:color w:val="auto"/>
          <w:sz w:val="21"/>
          <w:szCs w:val="21"/>
          <w:highlight w:val="none"/>
        </w:rPr>
      </w:pPr>
      <w:r>
        <w:rPr>
          <w:rFonts w:hint="eastAsia" w:ascii="黑体" w:hAnsi="黑体" w:eastAsia="黑体"/>
          <w:color w:val="auto"/>
          <w:sz w:val="21"/>
          <w:szCs w:val="21"/>
          <w:highlight w:val="none"/>
        </w:rPr>
        <w:t>第一部分 谈判邀请函；</w:t>
      </w:r>
    </w:p>
    <w:p>
      <w:pPr>
        <w:pStyle w:val="41"/>
        <w:numPr>
          <w:ilvl w:val="0"/>
          <w:numId w:val="44"/>
        </w:numPr>
        <w:tabs>
          <w:tab w:val="left" w:pos="567"/>
          <w:tab w:val="left" w:pos="709"/>
        </w:tabs>
        <w:spacing w:line="360" w:lineRule="auto"/>
        <w:ind w:firstLineChars="0"/>
        <w:rPr>
          <w:rFonts w:ascii="黑体" w:hAnsi="黑体" w:eastAsia="黑体"/>
          <w:color w:val="auto"/>
          <w:sz w:val="21"/>
          <w:szCs w:val="21"/>
          <w:highlight w:val="none"/>
        </w:rPr>
      </w:pPr>
      <w:r>
        <w:rPr>
          <w:rFonts w:hint="eastAsia" w:ascii="黑体" w:hAnsi="黑体" w:eastAsia="黑体"/>
          <w:color w:val="auto"/>
          <w:sz w:val="21"/>
          <w:szCs w:val="21"/>
          <w:highlight w:val="none"/>
        </w:rPr>
        <w:t>第二部分 采购需求</w:t>
      </w:r>
    </w:p>
    <w:p>
      <w:pPr>
        <w:pStyle w:val="41"/>
        <w:numPr>
          <w:ilvl w:val="0"/>
          <w:numId w:val="44"/>
        </w:numPr>
        <w:tabs>
          <w:tab w:val="left" w:pos="567"/>
          <w:tab w:val="left" w:pos="709"/>
        </w:tabs>
        <w:spacing w:line="360" w:lineRule="auto"/>
        <w:ind w:firstLineChars="0"/>
        <w:rPr>
          <w:rFonts w:ascii="黑体" w:hAnsi="黑体" w:eastAsia="黑体"/>
          <w:color w:val="auto"/>
          <w:sz w:val="21"/>
          <w:szCs w:val="21"/>
          <w:highlight w:val="none"/>
        </w:rPr>
      </w:pPr>
      <w:r>
        <w:rPr>
          <w:rFonts w:hint="eastAsia" w:ascii="黑体" w:hAnsi="黑体" w:eastAsia="黑体"/>
          <w:color w:val="auto"/>
          <w:sz w:val="21"/>
          <w:szCs w:val="21"/>
          <w:highlight w:val="none"/>
        </w:rPr>
        <w:t>第三部分 谈判须知前附表；</w:t>
      </w:r>
    </w:p>
    <w:p>
      <w:pPr>
        <w:pStyle w:val="41"/>
        <w:numPr>
          <w:ilvl w:val="0"/>
          <w:numId w:val="44"/>
        </w:numPr>
        <w:tabs>
          <w:tab w:val="left" w:pos="567"/>
          <w:tab w:val="left" w:pos="709"/>
        </w:tabs>
        <w:spacing w:line="360" w:lineRule="auto"/>
        <w:ind w:firstLineChars="0"/>
        <w:rPr>
          <w:rFonts w:ascii="黑体" w:hAnsi="黑体" w:eastAsia="黑体"/>
          <w:color w:val="auto"/>
          <w:sz w:val="21"/>
          <w:szCs w:val="21"/>
          <w:highlight w:val="none"/>
        </w:rPr>
      </w:pPr>
      <w:r>
        <w:rPr>
          <w:rFonts w:hint="eastAsia" w:ascii="黑体" w:hAnsi="黑体" w:eastAsia="黑体"/>
          <w:color w:val="auto"/>
          <w:sz w:val="21"/>
          <w:szCs w:val="21"/>
          <w:highlight w:val="none"/>
        </w:rPr>
        <w:t>第四部分 谈判须知</w:t>
      </w:r>
    </w:p>
    <w:p>
      <w:pPr>
        <w:pStyle w:val="41"/>
        <w:numPr>
          <w:ilvl w:val="0"/>
          <w:numId w:val="44"/>
        </w:numPr>
        <w:tabs>
          <w:tab w:val="left" w:pos="567"/>
          <w:tab w:val="left" w:pos="709"/>
        </w:tabs>
        <w:spacing w:line="360" w:lineRule="auto"/>
        <w:ind w:firstLineChars="0"/>
        <w:rPr>
          <w:rFonts w:ascii="黑体" w:hAnsi="黑体" w:eastAsia="黑体"/>
          <w:color w:val="auto"/>
          <w:sz w:val="21"/>
          <w:szCs w:val="21"/>
          <w:highlight w:val="none"/>
        </w:rPr>
      </w:pPr>
      <w:r>
        <w:rPr>
          <w:rFonts w:hint="eastAsia" w:ascii="黑体" w:hAnsi="黑体" w:eastAsia="黑体"/>
          <w:color w:val="auto"/>
          <w:sz w:val="21"/>
          <w:szCs w:val="21"/>
          <w:highlight w:val="none"/>
        </w:rPr>
        <w:t>第五部分 合同书格式；</w:t>
      </w:r>
    </w:p>
    <w:p>
      <w:pPr>
        <w:pStyle w:val="41"/>
        <w:numPr>
          <w:ilvl w:val="0"/>
          <w:numId w:val="44"/>
        </w:numPr>
        <w:tabs>
          <w:tab w:val="left" w:pos="567"/>
          <w:tab w:val="left" w:pos="709"/>
        </w:tabs>
        <w:spacing w:line="360" w:lineRule="auto"/>
        <w:ind w:firstLineChars="0"/>
        <w:rPr>
          <w:rFonts w:ascii="黑体" w:hAnsi="黑体" w:eastAsia="黑体"/>
          <w:color w:val="auto"/>
          <w:sz w:val="21"/>
          <w:szCs w:val="21"/>
          <w:highlight w:val="none"/>
        </w:rPr>
      </w:pPr>
      <w:r>
        <w:rPr>
          <w:rFonts w:hint="eastAsia" w:ascii="黑体" w:hAnsi="黑体" w:eastAsia="黑体"/>
          <w:color w:val="auto"/>
          <w:sz w:val="21"/>
          <w:szCs w:val="21"/>
          <w:highlight w:val="none"/>
        </w:rPr>
        <w:t>第六部分 响应文件格式。</w:t>
      </w:r>
    </w:p>
    <w:p>
      <w:pPr>
        <w:pStyle w:val="38"/>
        <w:numPr>
          <w:ilvl w:val="0"/>
          <w:numId w:val="43"/>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供应商应认真阅读采购文件中所有的事项、格式、条款和规范等要求。供应商没有按照采购文件要求提交全部资料或者响应文件没有对采购文件在各方面都作出实质性响应是供应商的风险，</w:t>
      </w:r>
      <w:bookmarkStart w:id="49" w:name="_Toc411519067"/>
      <w:bookmarkStart w:id="50" w:name="_Toc408133353"/>
      <w:r>
        <w:rPr>
          <w:rFonts w:hint="eastAsia" w:ascii="黑体" w:hAnsi="黑体" w:eastAsia="黑体"/>
          <w:sz w:val="21"/>
          <w:szCs w:val="21"/>
          <w:highlight w:val="none"/>
        </w:rPr>
        <w:t>有可能导致其谈判被拒绝，或被认定为无效响应文件。</w:t>
      </w:r>
    </w:p>
    <w:bookmarkEnd w:id="49"/>
    <w:bookmarkEnd w:id="50"/>
    <w:p>
      <w:pPr>
        <w:pStyle w:val="40"/>
        <w:numPr>
          <w:ilvl w:val="0"/>
          <w:numId w:val="33"/>
        </w:numPr>
        <w:spacing w:before="0" w:after="0" w:line="360" w:lineRule="auto"/>
        <w:rPr>
          <w:rFonts w:ascii="黑体" w:hAnsi="黑体" w:eastAsia="黑体"/>
          <w:sz w:val="21"/>
          <w:szCs w:val="21"/>
          <w:highlight w:val="none"/>
        </w:rPr>
      </w:pPr>
      <w:bookmarkStart w:id="51" w:name="_Toc36971219"/>
      <w:bookmarkStart w:id="52" w:name="_Toc39071044"/>
      <w:bookmarkStart w:id="53" w:name="_Toc411519068"/>
      <w:bookmarkStart w:id="54" w:name="_Toc429647626"/>
      <w:bookmarkStart w:id="55" w:name="_Toc416446518"/>
      <w:bookmarkStart w:id="56" w:name="_Toc408133354"/>
      <w:bookmarkStart w:id="57" w:name="_Toc30240"/>
      <w:r>
        <w:rPr>
          <w:rFonts w:hint="eastAsia" w:ascii="黑体" w:hAnsi="黑体" w:eastAsia="黑体"/>
          <w:sz w:val="21"/>
          <w:szCs w:val="21"/>
          <w:highlight w:val="none"/>
        </w:rPr>
        <w:t>采购文件的</w:t>
      </w:r>
      <w:bookmarkEnd w:id="51"/>
      <w:bookmarkEnd w:id="52"/>
      <w:r>
        <w:rPr>
          <w:rFonts w:hint="eastAsia" w:ascii="黑体" w:hAnsi="黑体" w:eastAsia="黑体"/>
          <w:sz w:val="21"/>
          <w:szCs w:val="21"/>
          <w:highlight w:val="none"/>
        </w:rPr>
        <w:t>答疑、澄清或修改</w:t>
      </w:r>
      <w:bookmarkEnd w:id="53"/>
      <w:bookmarkEnd w:id="54"/>
      <w:bookmarkEnd w:id="55"/>
      <w:bookmarkEnd w:id="56"/>
      <w:bookmarkEnd w:id="57"/>
    </w:p>
    <w:p>
      <w:pPr>
        <w:pStyle w:val="30"/>
        <w:numPr>
          <w:ilvl w:val="0"/>
          <w:numId w:val="45"/>
        </w:numPr>
        <w:spacing w:line="360" w:lineRule="auto"/>
        <w:ind w:firstLineChars="0"/>
        <w:rPr>
          <w:rFonts w:ascii="黑体" w:hAnsi="黑体" w:eastAsia="黑体"/>
          <w:bCs/>
          <w:szCs w:val="21"/>
          <w:highlight w:val="none"/>
        </w:rPr>
      </w:pPr>
      <w:r>
        <w:rPr>
          <w:rFonts w:hint="eastAsia" w:ascii="黑体" w:hAnsi="黑体" w:eastAsia="黑体"/>
          <w:bCs/>
          <w:szCs w:val="21"/>
          <w:highlight w:val="none"/>
        </w:rPr>
        <w:t>除非依本须知第8.1规定的有必要时或</w:t>
      </w:r>
      <w:r>
        <w:rPr>
          <w:rFonts w:hint="eastAsia" w:ascii="黑体" w:hAnsi="黑体" w:eastAsia="黑体"/>
          <w:bCs/>
          <w:szCs w:val="21"/>
          <w:highlight w:val="none"/>
          <w:u w:val="single"/>
        </w:rPr>
        <w:t xml:space="preserve"> </w:t>
      </w:r>
      <w:r>
        <w:rPr>
          <w:rFonts w:hint="eastAsia" w:ascii="黑体" w:hAnsi="黑体" w:eastAsia="黑体"/>
          <w:b/>
          <w:bCs/>
          <w:szCs w:val="21"/>
          <w:highlight w:val="none"/>
          <w:u w:val="single"/>
        </w:rPr>
        <w:t xml:space="preserve">谈判须知前附表 </w:t>
      </w:r>
      <w:r>
        <w:rPr>
          <w:rFonts w:hint="eastAsia" w:ascii="黑体" w:hAnsi="黑体" w:eastAsia="黑体"/>
          <w:bCs/>
          <w:szCs w:val="21"/>
          <w:highlight w:val="none"/>
        </w:rPr>
        <w:t>中另有规定，不举行项目集中答疑会或现场考察，如举行集中答疑会或现场考察的，则按以下规定：</w:t>
      </w:r>
    </w:p>
    <w:p>
      <w:pPr>
        <w:pStyle w:val="30"/>
        <w:numPr>
          <w:ilvl w:val="0"/>
          <w:numId w:val="46"/>
        </w:numPr>
        <w:tabs>
          <w:tab w:val="left" w:pos="709"/>
        </w:tabs>
        <w:spacing w:line="360" w:lineRule="auto"/>
        <w:ind w:firstLineChars="0"/>
        <w:rPr>
          <w:rFonts w:ascii="黑体" w:hAnsi="黑体" w:eastAsia="黑体"/>
          <w:bCs/>
          <w:szCs w:val="21"/>
          <w:highlight w:val="none"/>
        </w:rPr>
      </w:pPr>
      <w:r>
        <w:rPr>
          <w:rFonts w:hint="eastAsia" w:ascii="黑体" w:hAnsi="黑体" w:eastAsia="黑体"/>
          <w:bCs/>
          <w:szCs w:val="21"/>
          <w:highlight w:val="none"/>
        </w:rPr>
        <w:t>在</w:t>
      </w:r>
      <w:r>
        <w:rPr>
          <w:rFonts w:hint="eastAsia" w:ascii="黑体" w:hAnsi="黑体" w:eastAsia="黑体"/>
          <w:b/>
          <w:bCs/>
          <w:szCs w:val="21"/>
          <w:highlight w:val="none"/>
          <w:u w:val="single"/>
        </w:rPr>
        <w:t>谈判须知前附表</w:t>
      </w:r>
      <w:r>
        <w:rPr>
          <w:rFonts w:hint="eastAsia" w:ascii="黑体" w:hAnsi="黑体" w:eastAsia="黑体"/>
          <w:bCs/>
          <w:szCs w:val="21"/>
          <w:highlight w:val="none"/>
        </w:rPr>
        <w:t>中规定的日期、时间和地点组织公开答疑会或现场考察；</w:t>
      </w:r>
    </w:p>
    <w:p>
      <w:pPr>
        <w:pStyle w:val="30"/>
        <w:numPr>
          <w:ilvl w:val="0"/>
          <w:numId w:val="46"/>
        </w:numPr>
        <w:tabs>
          <w:tab w:val="left" w:pos="709"/>
        </w:tabs>
        <w:spacing w:line="360" w:lineRule="auto"/>
        <w:ind w:left="709" w:hanging="709" w:firstLineChars="0"/>
        <w:rPr>
          <w:rFonts w:ascii="黑体" w:hAnsi="黑体" w:eastAsia="黑体"/>
          <w:bCs/>
          <w:szCs w:val="21"/>
          <w:highlight w:val="none"/>
        </w:rPr>
      </w:pPr>
      <w:r>
        <w:rPr>
          <w:rFonts w:hint="eastAsia" w:ascii="黑体" w:hAnsi="黑体" w:eastAsia="黑体"/>
          <w:bCs/>
          <w:szCs w:val="21"/>
          <w:highlight w:val="none"/>
        </w:rPr>
        <w:t>潜在响应供应商对本项目提出的疑问，需在答疑会或现场考察召开日前至少一个工作日将问题清单以书面形式（加盖公章）提交至采购代理机构，潜在响应供应商代表于上述的时间和地点出席答疑会或现场考察；</w:t>
      </w:r>
    </w:p>
    <w:p>
      <w:pPr>
        <w:pStyle w:val="30"/>
        <w:numPr>
          <w:ilvl w:val="0"/>
          <w:numId w:val="46"/>
        </w:numPr>
        <w:tabs>
          <w:tab w:val="left" w:pos="709"/>
        </w:tabs>
        <w:spacing w:line="360" w:lineRule="auto"/>
        <w:ind w:left="709" w:hanging="709" w:firstLineChars="0"/>
        <w:rPr>
          <w:rFonts w:ascii="黑体" w:hAnsi="黑体" w:eastAsia="黑体"/>
          <w:bCs/>
          <w:szCs w:val="21"/>
          <w:highlight w:val="none"/>
        </w:rPr>
      </w:pPr>
      <w:r>
        <w:rPr>
          <w:rFonts w:hint="eastAsia" w:ascii="黑体" w:hAnsi="黑体" w:eastAsia="黑体"/>
          <w:bCs/>
          <w:szCs w:val="21"/>
          <w:highlight w:val="none"/>
        </w:rPr>
        <w:t>已获取采购文件的供应商如不出席答疑会或现场考察视为对采购文件所有内容无任何异议。</w:t>
      </w:r>
    </w:p>
    <w:p>
      <w:pPr>
        <w:pStyle w:val="30"/>
        <w:numPr>
          <w:ilvl w:val="0"/>
          <w:numId w:val="46"/>
        </w:numPr>
        <w:tabs>
          <w:tab w:val="left" w:pos="709"/>
        </w:tabs>
        <w:spacing w:line="360" w:lineRule="auto"/>
        <w:ind w:left="709" w:hanging="709" w:firstLineChars="0"/>
        <w:rPr>
          <w:rFonts w:ascii="黑体" w:hAnsi="黑体" w:eastAsia="黑体"/>
          <w:bCs/>
          <w:szCs w:val="21"/>
          <w:highlight w:val="none"/>
        </w:rPr>
      </w:pPr>
      <w:r>
        <w:rPr>
          <w:rFonts w:hint="eastAsia" w:ascii="黑体" w:hAnsi="黑体" w:eastAsia="黑体"/>
          <w:bCs/>
          <w:szCs w:val="21"/>
          <w:highlight w:val="none"/>
        </w:rPr>
        <w:t>供应商在规定的时间内未对采购文件提出澄清或疑问的，招标采购单位将视其为无异议。对采购文件中描述有歧意或前后不一致的地方，谈判小组有权进行评判，但对同一条款的评判应适用于每个谈判供应商。</w:t>
      </w:r>
    </w:p>
    <w:p>
      <w:pPr>
        <w:pStyle w:val="30"/>
        <w:numPr>
          <w:ilvl w:val="0"/>
          <w:numId w:val="45"/>
        </w:numPr>
        <w:spacing w:line="360" w:lineRule="auto"/>
        <w:ind w:firstLineChars="0"/>
        <w:rPr>
          <w:rFonts w:ascii="黑体" w:hAnsi="黑体" w:eastAsia="黑体"/>
          <w:szCs w:val="21"/>
          <w:highlight w:val="none"/>
        </w:rPr>
      </w:pPr>
      <w:r>
        <w:rPr>
          <w:rFonts w:hint="eastAsia" w:ascii="黑体" w:hAnsi="黑体" w:eastAsia="黑体"/>
          <w:szCs w:val="21"/>
          <w:highlight w:val="none"/>
        </w:rPr>
        <w:t>对已发出的采购文件进行必要的澄清或者修改，澄清或者修改的内容可能影响响应文件编制的，采购人或者采购代理机构应当在提交响应文件截止之日3个工作日前，以书面形式通知所有接收采购文件的供应商，不足3个工作日的，应当顺延提交首次响应文件截止之日。</w:t>
      </w:r>
    </w:p>
    <w:p>
      <w:pPr>
        <w:pStyle w:val="30"/>
        <w:numPr>
          <w:ilvl w:val="0"/>
          <w:numId w:val="45"/>
        </w:numPr>
        <w:spacing w:line="360" w:lineRule="auto"/>
        <w:ind w:firstLineChars="0"/>
        <w:rPr>
          <w:rFonts w:ascii="黑体" w:hAnsi="黑体" w:eastAsia="黑体"/>
          <w:szCs w:val="21"/>
          <w:highlight w:val="none"/>
        </w:rPr>
      </w:pPr>
      <w:r>
        <w:rPr>
          <w:rFonts w:hint="eastAsia" w:ascii="黑体" w:hAnsi="黑体" w:eastAsia="黑体"/>
          <w:szCs w:val="21"/>
          <w:highlight w:val="none"/>
        </w:rPr>
        <w:t>采购文件</w:t>
      </w:r>
      <w:r>
        <w:rPr>
          <w:rFonts w:ascii="黑体" w:hAnsi="黑体" w:eastAsia="黑体"/>
          <w:szCs w:val="21"/>
          <w:highlight w:val="none"/>
        </w:rPr>
        <w:t>的</w:t>
      </w:r>
      <w:r>
        <w:rPr>
          <w:rFonts w:hint="eastAsia" w:ascii="黑体" w:hAnsi="黑体" w:eastAsia="黑体"/>
          <w:szCs w:val="21"/>
          <w:highlight w:val="none"/>
        </w:rPr>
        <w:t>澄清或者修改</w:t>
      </w:r>
      <w:r>
        <w:rPr>
          <w:rFonts w:ascii="黑体" w:hAnsi="黑体" w:eastAsia="黑体"/>
          <w:szCs w:val="21"/>
          <w:highlight w:val="none"/>
        </w:rPr>
        <w:t>内容作为</w:t>
      </w:r>
      <w:r>
        <w:rPr>
          <w:rFonts w:hint="eastAsia" w:ascii="黑体" w:hAnsi="黑体" w:eastAsia="黑体"/>
          <w:szCs w:val="21"/>
          <w:highlight w:val="none"/>
        </w:rPr>
        <w:t>采购文件</w:t>
      </w:r>
      <w:r>
        <w:rPr>
          <w:rFonts w:ascii="黑体" w:hAnsi="黑体" w:eastAsia="黑体"/>
          <w:szCs w:val="21"/>
          <w:highlight w:val="none"/>
        </w:rPr>
        <w:t>的组成部分</w:t>
      </w:r>
      <w:r>
        <w:rPr>
          <w:rFonts w:hint="eastAsia" w:ascii="黑体" w:hAnsi="黑体" w:eastAsia="黑体"/>
          <w:szCs w:val="21"/>
          <w:highlight w:val="none"/>
        </w:rPr>
        <w:t>，并对供应商具有约束力。</w:t>
      </w:r>
      <w:r>
        <w:rPr>
          <w:rFonts w:ascii="黑体" w:hAnsi="黑体" w:eastAsia="黑体"/>
          <w:szCs w:val="21"/>
          <w:highlight w:val="none"/>
        </w:rPr>
        <w:t>当</w:t>
      </w:r>
      <w:r>
        <w:rPr>
          <w:rFonts w:hint="eastAsia" w:ascii="黑体" w:hAnsi="黑体" w:eastAsia="黑体"/>
          <w:szCs w:val="21"/>
          <w:highlight w:val="none"/>
        </w:rPr>
        <w:t>采购文件</w:t>
      </w:r>
      <w:r>
        <w:rPr>
          <w:rFonts w:ascii="黑体" w:hAnsi="黑体" w:eastAsia="黑体"/>
          <w:szCs w:val="21"/>
          <w:highlight w:val="none"/>
        </w:rPr>
        <w:t>、</w:t>
      </w:r>
      <w:r>
        <w:rPr>
          <w:rFonts w:hint="eastAsia" w:ascii="黑体" w:hAnsi="黑体" w:eastAsia="黑体"/>
          <w:szCs w:val="21"/>
          <w:highlight w:val="none"/>
        </w:rPr>
        <w:t>采购文件</w:t>
      </w:r>
      <w:r>
        <w:rPr>
          <w:rFonts w:ascii="黑体" w:hAnsi="黑体" w:eastAsia="黑体"/>
          <w:szCs w:val="21"/>
          <w:highlight w:val="none"/>
        </w:rPr>
        <w:t>的澄清</w:t>
      </w:r>
      <w:r>
        <w:rPr>
          <w:rFonts w:hint="eastAsia" w:ascii="黑体" w:hAnsi="黑体" w:eastAsia="黑体"/>
          <w:szCs w:val="21"/>
          <w:highlight w:val="none"/>
        </w:rPr>
        <w:t>或</w:t>
      </w:r>
      <w:r>
        <w:rPr>
          <w:rFonts w:ascii="黑体" w:hAnsi="黑体" w:eastAsia="黑体"/>
          <w:szCs w:val="21"/>
          <w:highlight w:val="none"/>
        </w:rPr>
        <w:t>修改在同一内容的表述上不一致时，以最后发出的文件</w:t>
      </w:r>
      <w:r>
        <w:rPr>
          <w:rFonts w:hint="eastAsia" w:ascii="黑体" w:hAnsi="黑体" w:eastAsia="黑体"/>
          <w:szCs w:val="21"/>
          <w:highlight w:val="none"/>
        </w:rPr>
        <w:t>内容</w:t>
      </w:r>
      <w:r>
        <w:rPr>
          <w:rFonts w:ascii="黑体" w:hAnsi="黑体" w:eastAsia="黑体"/>
          <w:szCs w:val="21"/>
          <w:highlight w:val="none"/>
        </w:rPr>
        <w:t>为准。</w:t>
      </w:r>
    </w:p>
    <w:p>
      <w:pPr>
        <w:pStyle w:val="4"/>
        <w:numPr>
          <w:ilvl w:val="0"/>
          <w:numId w:val="32"/>
        </w:numPr>
        <w:spacing w:before="156" w:beforeLines="50" w:after="0" w:line="360" w:lineRule="auto"/>
        <w:ind w:left="419" w:hanging="419"/>
        <w:rPr>
          <w:rFonts w:ascii="黑体" w:hAnsi="黑体" w:eastAsia="黑体"/>
          <w:bCs w:val="0"/>
          <w:sz w:val="21"/>
          <w:szCs w:val="21"/>
          <w:highlight w:val="none"/>
        </w:rPr>
      </w:pPr>
      <w:bookmarkStart w:id="58" w:name="_Toc39071045"/>
      <w:bookmarkStart w:id="59" w:name="_Toc232561404"/>
      <w:bookmarkStart w:id="60" w:name="_Toc36971221"/>
      <w:bookmarkStart w:id="61" w:name="_Toc230773997"/>
      <w:bookmarkStart w:id="62" w:name="_Toc39368836"/>
      <w:bookmarkStart w:id="63" w:name="_Toc411519069"/>
      <w:bookmarkStart w:id="64" w:name="_Toc416446519"/>
      <w:bookmarkStart w:id="65" w:name="_Toc429647627"/>
      <w:bookmarkStart w:id="66" w:name="_Toc21553"/>
      <w:r>
        <w:rPr>
          <w:rFonts w:hint="eastAsia" w:ascii="黑体" w:hAnsi="黑体" w:eastAsia="黑体"/>
          <w:bCs w:val="0"/>
          <w:sz w:val="21"/>
          <w:szCs w:val="21"/>
          <w:highlight w:val="none"/>
        </w:rPr>
        <w:t>响应文件的编制</w:t>
      </w:r>
      <w:bookmarkEnd w:id="58"/>
      <w:bookmarkEnd w:id="59"/>
      <w:bookmarkEnd w:id="60"/>
      <w:bookmarkEnd w:id="61"/>
      <w:bookmarkEnd w:id="62"/>
      <w:bookmarkEnd w:id="63"/>
      <w:bookmarkEnd w:id="64"/>
      <w:bookmarkEnd w:id="65"/>
      <w:bookmarkEnd w:id="66"/>
    </w:p>
    <w:p>
      <w:pPr>
        <w:pStyle w:val="40"/>
        <w:numPr>
          <w:ilvl w:val="0"/>
          <w:numId w:val="33"/>
        </w:numPr>
        <w:spacing w:before="0" w:after="0" w:line="360" w:lineRule="auto"/>
        <w:rPr>
          <w:rFonts w:ascii="黑体" w:hAnsi="黑体" w:eastAsia="黑体"/>
          <w:sz w:val="21"/>
          <w:szCs w:val="21"/>
          <w:highlight w:val="none"/>
        </w:rPr>
      </w:pPr>
      <w:bookmarkStart w:id="67" w:name="_Toc416446520"/>
      <w:bookmarkStart w:id="68" w:name="_Toc232561405"/>
      <w:bookmarkStart w:id="69" w:name="_Toc230773998"/>
      <w:bookmarkStart w:id="70" w:name="_Toc429647628"/>
      <w:bookmarkStart w:id="71" w:name="_Toc411519070"/>
      <w:bookmarkStart w:id="72" w:name="_Toc11328"/>
      <w:r>
        <w:rPr>
          <w:rFonts w:hint="eastAsia" w:ascii="黑体" w:hAnsi="黑体" w:eastAsia="黑体"/>
          <w:sz w:val="21"/>
          <w:szCs w:val="21"/>
          <w:highlight w:val="none"/>
        </w:rPr>
        <w:t>响应文件的语言及度量衡单位</w:t>
      </w:r>
      <w:bookmarkEnd w:id="67"/>
      <w:bookmarkEnd w:id="68"/>
      <w:bookmarkEnd w:id="69"/>
      <w:bookmarkEnd w:id="70"/>
      <w:bookmarkEnd w:id="71"/>
      <w:bookmarkEnd w:id="72"/>
    </w:p>
    <w:p>
      <w:pPr>
        <w:pStyle w:val="38"/>
        <w:numPr>
          <w:ilvl w:val="0"/>
          <w:numId w:val="47"/>
        </w:numPr>
        <w:spacing w:line="360" w:lineRule="auto"/>
        <w:ind w:firstLineChars="0"/>
        <w:rPr>
          <w:rFonts w:ascii="黑体" w:hAnsi="黑体" w:eastAsia="黑体"/>
          <w:sz w:val="21"/>
          <w:szCs w:val="21"/>
          <w:highlight w:val="none"/>
        </w:rPr>
      </w:pPr>
      <w:bookmarkStart w:id="73" w:name="_Toc230773999"/>
      <w:bookmarkStart w:id="74" w:name="_Toc232561406"/>
      <w:bookmarkStart w:id="75" w:name="_Toc411519071"/>
      <w:r>
        <w:rPr>
          <w:rFonts w:hint="eastAsia" w:ascii="黑体" w:hAnsi="黑体" w:eastAsia="黑体"/>
          <w:sz w:val="21"/>
          <w:szCs w:val="21"/>
          <w:highlight w:val="none"/>
        </w:rPr>
        <w:t>供应商提交响应文件以及供应商与采购代理机构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pPr>
        <w:pStyle w:val="38"/>
        <w:numPr>
          <w:ilvl w:val="0"/>
          <w:numId w:val="47"/>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除非采购文件在技术规格中另有规定，供应商在响应文件中及其与采购代理机构和采购人所有往来文件中的所有</w:t>
      </w:r>
      <w:r>
        <w:rPr>
          <w:rFonts w:ascii="黑体" w:hAnsi="黑体" w:eastAsia="黑体"/>
          <w:sz w:val="21"/>
          <w:szCs w:val="21"/>
          <w:highlight w:val="none"/>
        </w:rPr>
        <w:t>计量单位</w:t>
      </w:r>
      <w:r>
        <w:rPr>
          <w:rFonts w:hint="eastAsia" w:ascii="黑体" w:hAnsi="黑体" w:eastAsia="黑体"/>
          <w:sz w:val="21"/>
          <w:szCs w:val="21"/>
          <w:highlight w:val="none"/>
        </w:rPr>
        <w:t>均应采用中华人民共和国法定计量单位</w:t>
      </w:r>
      <w:r>
        <w:rPr>
          <w:rFonts w:ascii="黑体" w:hAnsi="黑体" w:eastAsia="黑体"/>
          <w:sz w:val="21"/>
          <w:szCs w:val="21"/>
          <w:highlight w:val="none"/>
        </w:rPr>
        <w:t>。</w:t>
      </w:r>
    </w:p>
    <w:bookmarkEnd w:id="73"/>
    <w:bookmarkEnd w:id="74"/>
    <w:bookmarkEnd w:id="75"/>
    <w:p>
      <w:pPr>
        <w:pStyle w:val="40"/>
        <w:numPr>
          <w:ilvl w:val="0"/>
          <w:numId w:val="33"/>
        </w:numPr>
        <w:spacing w:before="0" w:after="0" w:line="360" w:lineRule="auto"/>
        <w:rPr>
          <w:rFonts w:ascii="黑体" w:hAnsi="黑体" w:eastAsia="黑体"/>
          <w:sz w:val="21"/>
          <w:szCs w:val="21"/>
          <w:highlight w:val="none"/>
        </w:rPr>
      </w:pPr>
      <w:bookmarkStart w:id="76" w:name="_Toc416446521"/>
      <w:bookmarkStart w:id="77" w:name="_Toc429647629"/>
      <w:bookmarkStart w:id="78" w:name="_Toc388"/>
      <w:bookmarkStart w:id="79" w:name="_Toc232387417"/>
      <w:bookmarkStart w:id="80" w:name="_Toc411519073"/>
      <w:bookmarkStart w:id="81" w:name="_Toc230774001"/>
      <w:r>
        <w:rPr>
          <w:rFonts w:ascii="黑体" w:hAnsi="黑体" w:eastAsia="黑体"/>
          <w:sz w:val="21"/>
          <w:szCs w:val="21"/>
          <w:highlight w:val="none"/>
        </w:rPr>
        <w:t>响应文件的组成</w:t>
      </w:r>
      <w:bookmarkEnd w:id="76"/>
      <w:bookmarkEnd w:id="77"/>
      <w:bookmarkEnd w:id="78"/>
    </w:p>
    <w:p>
      <w:pPr>
        <w:pStyle w:val="38"/>
        <w:numPr>
          <w:ilvl w:val="0"/>
          <w:numId w:val="48"/>
        </w:numPr>
        <w:tabs>
          <w:tab w:val="left" w:pos="567"/>
        </w:tabs>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供应商编写的响应</w:t>
      </w:r>
      <w:r>
        <w:rPr>
          <w:rFonts w:ascii="黑体" w:hAnsi="黑体" w:eastAsia="黑体"/>
          <w:sz w:val="21"/>
          <w:szCs w:val="21"/>
          <w:highlight w:val="none"/>
        </w:rPr>
        <w:t>文件</w:t>
      </w:r>
      <w:r>
        <w:rPr>
          <w:rFonts w:hint="eastAsia" w:ascii="黑体" w:hAnsi="黑体" w:eastAsia="黑体"/>
          <w:sz w:val="21"/>
          <w:szCs w:val="21"/>
          <w:highlight w:val="none"/>
        </w:rPr>
        <w:t>应包括价格文件、商务文件、技术文件。</w:t>
      </w:r>
    </w:p>
    <w:p>
      <w:pPr>
        <w:pStyle w:val="38"/>
        <w:numPr>
          <w:ilvl w:val="0"/>
          <w:numId w:val="48"/>
        </w:numPr>
        <w:tabs>
          <w:tab w:val="left" w:pos="567"/>
        </w:tabs>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 xml:space="preserve">响应文件的构成应符合法律、法规及采购文件的要求。 </w:t>
      </w:r>
    </w:p>
    <w:p>
      <w:pPr>
        <w:pStyle w:val="40"/>
        <w:numPr>
          <w:ilvl w:val="0"/>
          <w:numId w:val="33"/>
        </w:numPr>
        <w:spacing w:before="0" w:after="0" w:line="360" w:lineRule="auto"/>
        <w:rPr>
          <w:rFonts w:ascii="黑体" w:hAnsi="黑体" w:eastAsia="黑体"/>
          <w:sz w:val="21"/>
          <w:szCs w:val="21"/>
          <w:highlight w:val="none"/>
        </w:rPr>
      </w:pPr>
      <w:bookmarkStart w:id="82" w:name="_Toc429647630"/>
      <w:bookmarkStart w:id="83" w:name="_Toc416446522"/>
      <w:bookmarkStart w:id="84" w:name="_Toc3280"/>
      <w:r>
        <w:rPr>
          <w:rFonts w:hint="eastAsia" w:ascii="黑体" w:hAnsi="黑体" w:eastAsia="黑体"/>
          <w:sz w:val="21"/>
          <w:szCs w:val="21"/>
          <w:highlight w:val="none"/>
        </w:rPr>
        <w:t>响应文件格式</w:t>
      </w:r>
      <w:bookmarkEnd w:id="82"/>
      <w:bookmarkEnd w:id="83"/>
      <w:bookmarkEnd w:id="84"/>
    </w:p>
    <w:p>
      <w:pPr>
        <w:pStyle w:val="38"/>
        <w:spacing w:line="360" w:lineRule="auto"/>
        <w:ind w:firstLine="433"/>
        <w:rPr>
          <w:rFonts w:ascii="黑体" w:hAnsi="黑体" w:eastAsia="黑体"/>
          <w:sz w:val="21"/>
          <w:szCs w:val="21"/>
          <w:highlight w:val="none"/>
        </w:rPr>
      </w:pPr>
      <w:r>
        <w:rPr>
          <w:rFonts w:ascii="黑体" w:hAnsi="黑体" w:eastAsia="黑体"/>
          <w:sz w:val="21"/>
          <w:szCs w:val="21"/>
          <w:highlight w:val="none"/>
        </w:rPr>
        <w:t>供应商提交的</w:t>
      </w:r>
      <w:r>
        <w:rPr>
          <w:rFonts w:hint="eastAsia" w:ascii="黑体" w:hAnsi="黑体" w:eastAsia="黑体"/>
          <w:sz w:val="21"/>
          <w:szCs w:val="21"/>
          <w:highlight w:val="none"/>
        </w:rPr>
        <w:t>响应</w:t>
      </w:r>
      <w:r>
        <w:rPr>
          <w:rFonts w:ascii="黑体" w:hAnsi="黑体" w:eastAsia="黑体"/>
          <w:sz w:val="21"/>
          <w:szCs w:val="21"/>
          <w:highlight w:val="none"/>
        </w:rPr>
        <w:t>文件应当</w:t>
      </w:r>
      <w:r>
        <w:rPr>
          <w:rFonts w:hint="eastAsia" w:ascii="黑体" w:hAnsi="黑体" w:eastAsia="黑体"/>
          <w:sz w:val="21"/>
          <w:szCs w:val="21"/>
          <w:highlight w:val="none"/>
        </w:rPr>
        <w:t>按照采购文件</w:t>
      </w:r>
      <w:r>
        <w:rPr>
          <w:rFonts w:ascii="黑体" w:hAnsi="黑体" w:eastAsia="黑体"/>
          <w:sz w:val="21"/>
          <w:szCs w:val="21"/>
          <w:highlight w:val="none"/>
        </w:rPr>
        <w:t>的</w:t>
      </w:r>
      <w:r>
        <w:rPr>
          <w:rFonts w:hint="eastAsia" w:ascii="黑体" w:hAnsi="黑体" w:eastAsia="黑体"/>
          <w:sz w:val="21"/>
          <w:szCs w:val="21"/>
          <w:highlight w:val="none"/>
        </w:rPr>
        <w:t>响应</w:t>
      </w:r>
      <w:r>
        <w:rPr>
          <w:rFonts w:ascii="黑体" w:hAnsi="黑体" w:eastAsia="黑体"/>
          <w:sz w:val="21"/>
          <w:szCs w:val="21"/>
          <w:highlight w:val="none"/>
        </w:rPr>
        <w:t>文件格式（表格可以按同样格式扩展）</w:t>
      </w:r>
      <w:r>
        <w:rPr>
          <w:rFonts w:hint="eastAsia" w:ascii="黑体" w:hAnsi="黑体" w:eastAsia="黑体"/>
          <w:sz w:val="21"/>
          <w:szCs w:val="21"/>
          <w:highlight w:val="none"/>
        </w:rPr>
        <w:t>进行编制</w:t>
      </w:r>
      <w:r>
        <w:rPr>
          <w:rFonts w:ascii="黑体" w:hAnsi="黑体" w:eastAsia="黑体"/>
          <w:sz w:val="21"/>
          <w:szCs w:val="21"/>
          <w:highlight w:val="none"/>
        </w:rPr>
        <w:t>。</w:t>
      </w:r>
    </w:p>
    <w:p>
      <w:pPr>
        <w:pStyle w:val="40"/>
        <w:numPr>
          <w:ilvl w:val="0"/>
          <w:numId w:val="33"/>
        </w:numPr>
        <w:spacing w:before="0" w:after="0" w:line="360" w:lineRule="auto"/>
        <w:rPr>
          <w:rFonts w:ascii="黑体" w:hAnsi="黑体" w:eastAsia="黑体"/>
          <w:sz w:val="21"/>
          <w:szCs w:val="21"/>
          <w:highlight w:val="none"/>
        </w:rPr>
      </w:pPr>
      <w:bookmarkStart w:id="85" w:name="_Toc416446523"/>
      <w:bookmarkStart w:id="86" w:name="_Toc429647631"/>
      <w:bookmarkStart w:id="87" w:name="_Toc8017"/>
      <w:r>
        <w:rPr>
          <w:rFonts w:hint="eastAsia" w:ascii="黑体" w:hAnsi="黑体" w:eastAsia="黑体"/>
          <w:sz w:val="21"/>
          <w:szCs w:val="21"/>
          <w:highlight w:val="none"/>
        </w:rPr>
        <w:t>响应</w:t>
      </w:r>
      <w:r>
        <w:rPr>
          <w:rFonts w:ascii="黑体" w:hAnsi="黑体" w:eastAsia="黑体"/>
          <w:sz w:val="21"/>
          <w:szCs w:val="21"/>
          <w:highlight w:val="none"/>
        </w:rPr>
        <w:t>文件的</w:t>
      </w:r>
      <w:r>
        <w:rPr>
          <w:rFonts w:hint="eastAsia" w:ascii="黑体" w:hAnsi="黑体" w:eastAsia="黑体"/>
          <w:sz w:val="21"/>
          <w:szCs w:val="21"/>
          <w:highlight w:val="none"/>
        </w:rPr>
        <w:t>编制、数量和签署</w:t>
      </w:r>
      <w:bookmarkEnd w:id="85"/>
      <w:bookmarkEnd w:id="86"/>
      <w:bookmarkEnd w:id="87"/>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供应商应提交一套正本（包括价格文件、商务文件和技术文件）、三套副本（包括价格文件、商务文件和技术文件）的响应文件。</w:t>
      </w:r>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响应</w:t>
      </w:r>
      <w:r>
        <w:rPr>
          <w:rFonts w:ascii="黑体" w:hAnsi="黑体" w:eastAsia="黑体"/>
          <w:sz w:val="21"/>
          <w:szCs w:val="21"/>
          <w:highlight w:val="none"/>
        </w:rPr>
        <w:t>文件</w:t>
      </w:r>
      <w:r>
        <w:rPr>
          <w:rFonts w:hint="eastAsia" w:ascii="黑体" w:hAnsi="黑体" w:eastAsia="黑体"/>
          <w:sz w:val="21"/>
          <w:szCs w:val="21"/>
          <w:highlight w:val="none"/>
        </w:rPr>
        <w:t>正本均需打印或用不褪色墨水书写，并由法定代表人或经其正式授权代表签字或盖章。响应文件的副本可采用正本的响应文件复印件，每套响应</w:t>
      </w:r>
      <w:r>
        <w:rPr>
          <w:rFonts w:ascii="黑体" w:hAnsi="黑体" w:eastAsia="黑体"/>
          <w:sz w:val="21"/>
          <w:szCs w:val="21"/>
          <w:highlight w:val="none"/>
        </w:rPr>
        <w:t>文件</w:t>
      </w:r>
      <w:r>
        <w:rPr>
          <w:rFonts w:hint="eastAsia" w:ascii="黑体" w:hAnsi="黑体" w:eastAsia="黑体"/>
          <w:sz w:val="21"/>
          <w:szCs w:val="21"/>
          <w:highlight w:val="none"/>
        </w:rPr>
        <w:t>应当标</w:t>
      </w:r>
      <w:r>
        <w:rPr>
          <w:rFonts w:ascii="黑体" w:hAnsi="黑体" w:eastAsia="黑体"/>
          <w:sz w:val="21"/>
          <w:szCs w:val="21"/>
          <w:highlight w:val="none"/>
        </w:rPr>
        <w:t>明“正本”</w:t>
      </w:r>
      <w:r>
        <w:rPr>
          <w:rFonts w:hint="eastAsia" w:ascii="黑体" w:hAnsi="黑体" w:eastAsia="黑体"/>
          <w:sz w:val="21"/>
          <w:szCs w:val="21"/>
          <w:highlight w:val="none"/>
        </w:rPr>
        <w:t>、</w:t>
      </w:r>
      <w:r>
        <w:rPr>
          <w:rFonts w:ascii="黑体" w:hAnsi="黑体" w:eastAsia="黑体"/>
          <w:sz w:val="21"/>
          <w:szCs w:val="21"/>
          <w:highlight w:val="none"/>
        </w:rPr>
        <w:t>“副本”</w:t>
      </w:r>
      <w:r>
        <w:rPr>
          <w:rFonts w:hint="eastAsia" w:ascii="黑体" w:hAnsi="黑体" w:eastAsia="黑体"/>
          <w:sz w:val="21"/>
          <w:szCs w:val="21"/>
          <w:highlight w:val="none"/>
        </w:rPr>
        <w:t>的字样</w:t>
      </w:r>
      <w:r>
        <w:rPr>
          <w:rFonts w:ascii="黑体" w:hAnsi="黑体" w:eastAsia="黑体"/>
          <w:sz w:val="21"/>
          <w:szCs w:val="21"/>
          <w:highlight w:val="none"/>
        </w:rPr>
        <w:t>。</w:t>
      </w:r>
      <w:r>
        <w:rPr>
          <w:rFonts w:hint="eastAsia" w:ascii="黑体" w:hAnsi="黑体" w:eastAsia="黑体"/>
          <w:sz w:val="21"/>
          <w:szCs w:val="21"/>
          <w:highlight w:val="none"/>
        </w:rPr>
        <w:t>若</w:t>
      </w:r>
      <w:r>
        <w:rPr>
          <w:rFonts w:ascii="黑体" w:hAnsi="黑体" w:eastAsia="黑体"/>
          <w:sz w:val="21"/>
          <w:szCs w:val="21"/>
          <w:highlight w:val="none"/>
        </w:rPr>
        <w:t>正本</w:t>
      </w:r>
      <w:r>
        <w:rPr>
          <w:rFonts w:hint="eastAsia" w:ascii="黑体" w:hAnsi="黑体" w:eastAsia="黑体"/>
          <w:sz w:val="21"/>
          <w:szCs w:val="21"/>
          <w:highlight w:val="none"/>
        </w:rPr>
        <w:t>与</w:t>
      </w:r>
      <w:r>
        <w:rPr>
          <w:rFonts w:ascii="黑体" w:hAnsi="黑体" w:eastAsia="黑体"/>
          <w:sz w:val="21"/>
          <w:szCs w:val="21"/>
          <w:highlight w:val="none"/>
        </w:rPr>
        <w:t>副本</w:t>
      </w:r>
      <w:r>
        <w:rPr>
          <w:rFonts w:hint="eastAsia" w:ascii="黑体" w:hAnsi="黑体" w:eastAsia="黑体"/>
          <w:sz w:val="21"/>
          <w:szCs w:val="21"/>
          <w:highlight w:val="none"/>
        </w:rPr>
        <w:t>不符，以</w:t>
      </w:r>
      <w:r>
        <w:rPr>
          <w:rFonts w:ascii="黑体" w:hAnsi="黑体" w:eastAsia="黑体"/>
          <w:sz w:val="21"/>
          <w:szCs w:val="21"/>
          <w:highlight w:val="none"/>
        </w:rPr>
        <w:t>正本为准</w:t>
      </w:r>
      <w:r>
        <w:rPr>
          <w:rFonts w:hint="eastAsia" w:ascii="黑体" w:hAnsi="黑体" w:eastAsia="黑体"/>
          <w:sz w:val="21"/>
          <w:szCs w:val="21"/>
          <w:highlight w:val="none"/>
        </w:rPr>
        <w:t>。</w:t>
      </w:r>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如供应商对采购文件多个包组进行谈判报价的，其响应文件可按每个包组的要求编制和提交；或者将所投包组的内容在同一套响应文件编制和提交，并在响应文件中明确各包组的谈判内容。</w:t>
      </w:r>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响应文件中的任何重要的插字、涂改和增删，必须由法定代表人或其正式授权代表在旁边签字或盖章才有效。</w:t>
      </w:r>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响应文件的“正本”及所有“副本”的封面及骑缝均须加盖供应商公章。</w:t>
      </w:r>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供应商必须对响应文件所提供的全部资料的真实性承担法律责任，并接受采购招标代理、采购人及政府采购监督管理部门等对其中任何资料进行核实的要求。</w:t>
      </w:r>
    </w:p>
    <w:p>
      <w:pPr>
        <w:pStyle w:val="38"/>
        <w:numPr>
          <w:ilvl w:val="0"/>
          <w:numId w:val="49"/>
        </w:numPr>
        <w:tabs>
          <w:tab w:val="left" w:pos="851"/>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传真或电传的响应文件将拒绝接收。</w:t>
      </w:r>
    </w:p>
    <w:p>
      <w:pPr>
        <w:pStyle w:val="40"/>
        <w:numPr>
          <w:ilvl w:val="0"/>
          <w:numId w:val="33"/>
        </w:numPr>
        <w:spacing w:before="0" w:after="0" w:line="360" w:lineRule="auto"/>
        <w:rPr>
          <w:rFonts w:ascii="黑体" w:hAnsi="黑体" w:eastAsia="黑体"/>
          <w:sz w:val="21"/>
          <w:szCs w:val="21"/>
          <w:highlight w:val="none"/>
        </w:rPr>
      </w:pPr>
      <w:bookmarkStart w:id="88" w:name="_Toc416446524"/>
      <w:bookmarkStart w:id="89" w:name="_Toc429647632"/>
      <w:bookmarkStart w:id="90" w:name="_Toc2453"/>
      <w:r>
        <w:rPr>
          <w:rFonts w:hint="eastAsia" w:ascii="黑体" w:hAnsi="黑体" w:eastAsia="黑体"/>
          <w:sz w:val="21"/>
          <w:szCs w:val="21"/>
          <w:highlight w:val="none"/>
        </w:rPr>
        <w:t>报价</w:t>
      </w:r>
      <w:bookmarkEnd w:id="79"/>
      <w:bookmarkEnd w:id="80"/>
      <w:bookmarkEnd w:id="81"/>
      <w:bookmarkEnd w:id="88"/>
      <w:r>
        <w:rPr>
          <w:rFonts w:hint="eastAsia" w:ascii="黑体" w:hAnsi="黑体" w:eastAsia="黑体"/>
          <w:sz w:val="21"/>
          <w:szCs w:val="21"/>
          <w:highlight w:val="none"/>
        </w:rPr>
        <w:t>说明</w:t>
      </w:r>
      <w:bookmarkEnd w:id="89"/>
      <w:bookmarkEnd w:id="90"/>
    </w:p>
    <w:p>
      <w:pPr>
        <w:pStyle w:val="38"/>
        <w:numPr>
          <w:ilvl w:val="0"/>
          <w:numId w:val="50"/>
        </w:numPr>
        <w:tabs>
          <w:tab w:val="left" w:pos="567"/>
        </w:tabs>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本次谈判，供应商必须就所有内容进行报价，少报无效。</w:t>
      </w:r>
    </w:p>
    <w:p>
      <w:pPr>
        <w:pStyle w:val="38"/>
        <w:numPr>
          <w:ilvl w:val="0"/>
          <w:numId w:val="50"/>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报价应包含完成本次采购所有服务内容的费用，包含各种税务费及合同实施过程中的不可预见费用等全部费用（</w:t>
      </w:r>
      <w:r>
        <w:rPr>
          <w:rFonts w:ascii="黑体" w:hAnsi="黑体" w:eastAsia="黑体"/>
          <w:sz w:val="21"/>
          <w:szCs w:val="21"/>
          <w:highlight w:val="none"/>
        </w:rPr>
        <w:t>含</w:t>
      </w:r>
      <w:r>
        <w:rPr>
          <w:rFonts w:hint="eastAsia" w:ascii="黑体" w:hAnsi="黑体" w:eastAsia="黑体"/>
          <w:sz w:val="21"/>
          <w:szCs w:val="21"/>
          <w:highlight w:val="none"/>
        </w:rPr>
        <w:t>采购文件所要求的</w:t>
      </w:r>
      <w:r>
        <w:rPr>
          <w:rFonts w:ascii="黑体" w:hAnsi="黑体" w:eastAsia="黑体"/>
          <w:sz w:val="21"/>
          <w:szCs w:val="21"/>
          <w:highlight w:val="none"/>
        </w:rPr>
        <w:t>必</w:t>
      </w:r>
      <w:r>
        <w:rPr>
          <w:rFonts w:hint="eastAsia" w:ascii="黑体" w:hAnsi="黑体" w:eastAsia="黑体"/>
          <w:sz w:val="21"/>
          <w:szCs w:val="21"/>
          <w:highlight w:val="none"/>
        </w:rPr>
        <w:t>要</w:t>
      </w:r>
      <w:r>
        <w:rPr>
          <w:rFonts w:ascii="黑体" w:hAnsi="黑体" w:eastAsia="黑体"/>
          <w:sz w:val="21"/>
          <w:szCs w:val="21"/>
          <w:highlight w:val="none"/>
        </w:rPr>
        <w:t>的辅助材料费用)</w:t>
      </w:r>
      <w:r>
        <w:rPr>
          <w:rFonts w:hint="eastAsia" w:ascii="黑体" w:hAnsi="黑体" w:eastAsia="黑体"/>
          <w:sz w:val="21"/>
          <w:szCs w:val="21"/>
          <w:highlight w:val="none"/>
        </w:rPr>
        <w:t>和售后服务费等。</w:t>
      </w:r>
    </w:p>
    <w:p>
      <w:pPr>
        <w:pStyle w:val="38"/>
        <w:numPr>
          <w:ilvl w:val="0"/>
          <w:numId w:val="50"/>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报价应包括所提供货物或服务所需的专利权和版权、设计或其他知识产权而需要向其他方支付的版税。</w:t>
      </w:r>
      <w:bookmarkStart w:id="91" w:name="_Toc232387418"/>
      <w:bookmarkStart w:id="92" w:name="_Toc230774002"/>
      <w:bookmarkStart w:id="93" w:name="_Toc411519074"/>
    </w:p>
    <w:p>
      <w:pPr>
        <w:pStyle w:val="38"/>
        <w:numPr>
          <w:ilvl w:val="0"/>
          <w:numId w:val="50"/>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供应商的谈判报价在合同执行期间是固定不变的，不得以任何理由予以变更。</w:t>
      </w:r>
    </w:p>
    <w:p>
      <w:pPr>
        <w:pStyle w:val="38"/>
        <w:numPr>
          <w:ilvl w:val="0"/>
          <w:numId w:val="50"/>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成交后开出的所有发票必须与成交供应商的名称一致。</w:t>
      </w:r>
    </w:p>
    <w:p>
      <w:pPr>
        <w:pStyle w:val="40"/>
        <w:numPr>
          <w:ilvl w:val="0"/>
          <w:numId w:val="33"/>
        </w:numPr>
        <w:spacing w:before="0" w:after="0" w:line="360" w:lineRule="auto"/>
        <w:rPr>
          <w:rFonts w:ascii="黑体" w:hAnsi="黑体" w:eastAsia="黑体"/>
          <w:sz w:val="21"/>
          <w:szCs w:val="21"/>
          <w:highlight w:val="none"/>
        </w:rPr>
      </w:pPr>
      <w:bookmarkStart w:id="94" w:name="_Toc416446525"/>
      <w:bookmarkStart w:id="95" w:name="_Toc429647633"/>
      <w:bookmarkStart w:id="96" w:name="_Toc26786"/>
      <w:r>
        <w:rPr>
          <w:rFonts w:hint="eastAsia" w:ascii="黑体" w:hAnsi="黑体" w:eastAsia="黑体"/>
          <w:sz w:val="21"/>
          <w:szCs w:val="21"/>
          <w:highlight w:val="none"/>
        </w:rPr>
        <w:t>谈判货币</w:t>
      </w:r>
      <w:bookmarkEnd w:id="91"/>
      <w:bookmarkEnd w:id="92"/>
      <w:bookmarkEnd w:id="93"/>
      <w:bookmarkEnd w:id="94"/>
      <w:bookmarkEnd w:id="95"/>
      <w:bookmarkEnd w:id="96"/>
    </w:p>
    <w:p>
      <w:pPr>
        <w:pStyle w:val="38"/>
        <w:spacing w:line="360" w:lineRule="auto"/>
        <w:ind w:firstLine="433"/>
        <w:rPr>
          <w:rFonts w:ascii="黑体" w:hAnsi="黑体" w:eastAsia="黑体"/>
          <w:sz w:val="21"/>
          <w:szCs w:val="21"/>
          <w:highlight w:val="none"/>
        </w:rPr>
      </w:pPr>
      <w:bookmarkStart w:id="97" w:name="_Toc230774003"/>
      <w:bookmarkStart w:id="98" w:name="_Toc411519075"/>
      <w:bookmarkStart w:id="99" w:name="_Toc232387419"/>
      <w:r>
        <w:rPr>
          <w:rFonts w:hint="eastAsia" w:ascii="黑体" w:hAnsi="黑体" w:eastAsia="黑体"/>
          <w:sz w:val="21"/>
          <w:szCs w:val="21"/>
          <w:highlight w:val="none"/>
        </w:rPr>
        <w:t>供应商所提供的货物或服务均以人民币报价。</w:t>
      </w:r>
    </w:p>
    <w:p>
      <w:pPr>
        <w:pStyle w:val="40"/>
        <w:numPr>
          <w:ilvl w:val="0"/>
          <w:numId w:val="33"/>
        </w:numPr>
        <w:spacing w:before="0" w:after="0" w:line="360" w:lineRule="auto"/>
        <w:rPr>
          <w:rFonts w:ascii="黑体" w:hAnsi="黑体" w:eastAsia="黑体"/>
          <w:sz w:val="21"/>
          <w:szCs w:val="21"/>
          <w:highlight w:val="none"/>
        </w:rPr>
      </w:pPr>
      <w:bookmarkStart w:id="100" w:name="_Toc429647634"/>
      <w:bookmarkStart w:id="101" w:name="_Toc416446526"/>
      <w:bookmarkStart w:id="102" w:name="_Toc10331"/>
      <w:r>
        <w:rPr>
          <w:rFonts w:hint="eastAsia" w:ascii="黑体" w:hAnsi="黑体" w:eastAsia="黑体"/>
          <w:sz w:val="21"/>
          <w:szCs w:val="21"/>
          <w:highlight w:val="none"/>
        </w:rPr>
        <w:t>谈判有效期</w:t>
      </w:r>
      <w:bookmarkEnd w:id="97"/>
      <w:bookmarkEnd w:id="98"/>
      <w:bookmarkEnd w:id="99"/>
      <w:bookmarkEnd w:id="100"/>
      <w:bookmarkEnd w:id="101"/>
      <w:bookmarkEnd w:id="102"/>
    </w:p>
    <w:p>
      <w:pPr>
        <w:pStyle w:val="38"/>
        <w:numPr>
          <w:ilvl w:val="0"/>
          <w:numId w:val="51"/>
        </w:numPr>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谈判应自</w:t>
      </w:r>
      <w:r>
        <w:rPr>
          <w:rFonts w:hint="eastAsia" w:ascii="黑体" w:hAnsi="黑体" w:eastAsia="黑体"/>
          <w:b/>
          <w:sz w:val="21"/>
          <w:szCs w:val="21"/>
          <w:highlight w:val="none"/>
          <w:u w:val="single"/>
        </w:rPr>
        <w:t>谈判邀请函</w:t>
      </w:r>
      <w:r>
        <w:rPr>
          <w:rFonts w:hint="eastAsia" w:ascii="黑体" w:hAnsi="黑体" w:eastAsia="黑体"/>
          <w:sz w:val="21"/>
          <w:szCs w:val="21"/>
          <w:highlight w:val="none"/>
        </w:rPr>
        <w:t>中规定的响应文件递交截止时间起，并在</w:t>
      </w:r>
      <w:r>
        <w:rPr>
          <w:rFonts w:hint="eastAsia" w:ascii="黑体" w:hAnsi="黑体" w:eastAsia="黑体"/>
          <w:b/>
          <w:sz w:val="21"/>
          <w:szCs w:val="21"/>
          <w:highlight w:val="none"/>
          <w:u w:val="single"/>
        </w:rPr>
        <w:t>谈判须知前附表中</w:t>
      </w:r>
      <w:r>
        <w:rPr>
          <w:rFonts w:hint="eastAsia" w:ascii="黑体" w:hAnsi="黑体" w:eastAsia="黑体"/>
          <w:sz w:val="21"/>
          <w:szCs w:val="21"/>
          <w:highlight w:val="none"/>
        </w:rPr>
        <w:t>所述期限保持有效。谈判有效期不足的将被视为非实质性响应，视为无效响应。</w:t>
      </w:r>
    </w:p>
    <w:p>
      <w:pPr>
        <w:pStyle w:val="38"/>
        <w:numPr>
          <w:ilvl w:val="0"/>
          <w:numId w:val="51"/>
        </w:numPr>
        <w:tabs>
          <w:tab w:val="left" w:pos="709"/>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特殊情况下，在原有响应文件提交截止时间之前，采购人可要求谈判供应商同意延长谈判有效期。这种要求与答复均应以书面形式（须加盖采购人公章）递交。谈判供应商可拒绝采购人的这种要求，接受谈判有效期延长的谈判供应商将不会被要求和允许修正其响应文件。</w:t>
      </w:r>
    </w:p>
    <w:p>
      <w:pPr>
        <w:pStyle w:val="40"/>
        <w:numPr>
          <w:ilvl w:val="0"/>
          <w:numId w:val="33"/>
        </w:numPr>
        <w:spacing w:before="0" w:after="0" w:line="360" w:lineRule="auto"/>
        <w:rPr>
          <w:rFonts w:ascii="黑体" w:hAnsi="黑体" w:eastAsia="黑体"/>
          <w:sz w:val="21"/>
          <w:szCs w:val="21"/>
          <w:highlight w:val="none"/>
        </w:rPr>
      </w:pPr>
      <w:bookmarkStart w:id="103" w:name="_Toc28483"/>
      <w:r>
        <w:rPr>
          <w:rFonts w:hint="eastAsia" w:ascii="黑体" w:hAnsi="黑体" w:eastAsia="黑体"/>
          <w:sz w:val="21"/>
          <w:szCs w:val="21"/>
          <w:highlight w:val="none"/>
        </w:rPr>
        <w:t>投标担保：本项目不收取投标保证金。</w:t>
      </w:r>
      <w:bookmarkEnd w:id="103"/>
    </w:p>
    <w:p>
      <w:pPr>
        <w:pStyle w:val="4"/>
        <w:numPr>
          <w:ilvl w:val="0"/>
          <w:numId w:val="32"/>
        </w:numPr>
        <w:spacing w:before="156" w:beforeLines="50" w:after="0" w:line="360" w:lineRule="auto"/>
        <w:ind w:left="284" w:hanging="284"/>
        <w:rPr>
          <w:rFonts w:ascii="黑体" w:hAnsi="黑体" w:eastAsia="黑体"/>
          <w:bCs w:val="0"/>
          <w:sz w:val="21"/>
          <w:szCs w:val="21"/>
          <w:highlight w:val="none"/>
        </w:rPr>
      </w:pPr>
      <w:bookmarkStart w:id="104" w:name="_Toc411519077"/>
      <w:bookmarkStart w:id="105" w:name="_Toc429647635"/>
      <w:bookmarkStart w:id="106" w:name="_Toc230774006"/>
      <w:bookmarkStart w:id="107" w:name="_Toc232387422"/>
      <w:bookmarkStart w:id="108" w:name="_Toc416446527"/>
      <w:bookmarkStart w:id="109" w:name="_Toc29253"/>
      <w:r>
        <w:rPr>
          <w:rFonts w:hint="eastAsia" w:ascii="黑体" w:hAnsi="黑体" w:eastAsia="黑体"/>
          <w:bCs w:val="0"/>
          <w:sz w:val="21"/>
          <w:szCs w:val="21"/>
          <w:highlight w:val="none"/>
        </w:rPr>
        <w:t>响应文件的提交</w:t>
      </w:r>
      <w:bookmarkEnd w:id="104"/>
      <w:bookmarkEnd w:id="105"/>
      <w:bookmarkEnd w:id="106"/>
      <w:bookmarkEnd w:id="107"/>
      <w:bookmarkEnd w:id="108"/>
      <w:bookmarkEnd w:id="109"/>
    </w:p>
    <w:p>
      <w:pPr>
        <w:pStyle w:val="40"/>
        <w:numPr>
          <w:ilvl w:val="0"/>
          <w:numId w:val="33"/>
        </w:numPr>
        <w:spacing w:before="0" w:after="0" w:line="360" w:lineRule="auto"/>
        <w:rPr>
          <w:rFonts w:ascii="黑体" w:hAnsi="黑体" w:eastAsia="黑体"/>
          <w:sz w:val="21"/>
          <w:szCs w:val="21"/>
          <w:highlight w:val="none"/>
        </w:rPr>
      </w:pPr>
      <w:bookmarkStart w:id="110" w:name="_Toc232387424"/>
      <w:bookmarkStart w:id="111" w:name="_Toc230774008"/>
      <w:bookmarkStart w:id="112" w:name="_Toc411519079"/>
      <w:bookmarkStart w:id="113" w:name="_Toc416446529"/>
      <w:bookmarkStart w:id="114" w:name="_Toc411518661"/>
      <w:bookmarkStart w:id="115" w:name="_Toc429647637"/>
      <w:bookmarkStart w:id="116" w:name="_Toc25662"/>
      <w:bookmarkStart w:id="117" w:name="_Toc230774009"/>
      <w:bookmarkStart w:id="118" w:name="_Toc232387425"/>
      <w:r>
        <w:rPr>
          <w:rFonts w:hint="eastAsia" w:ascii="黑体" w:hAnsi="黑体" w:eastAsia="黑体"/>
          <w:sz w:val="21"/>
          <w:szCs w:val="21"/>
          <w:highlight w:val="none"/>
        </w:rPr>
        <w:t>提交响应文件截止</w:t>
      </w:r>
      <w:bookmarkEnd w:id="110"/>
      <w:bookmarkEnd w:id="111"/>
      <w:r>
        <w:rPr>
          <w:rFonts w:hint="eastAsia" w:ascii="黑体" w:hAnsi="黑体" w:eastAsia="黑体"/>
          <w:sz w:val="21"/>
          <w:szCs w:val="21"/>
          <w:highlight w:val="none"/>
        </w:rPr>
        <w:t>时间</w:t>
      </w:r>
      <w:bookmarkEnd w:id="112"/>
      <w:bookmarkEnd w:id="113"/>
      <w:bookmarkEnd w:id="114"/>
      <w:bookmarkEnd w:id="115"/>
      <w:bookmarkEnd w:id="116"/>
    </w:p>
    <w:p>
      <w:pPr>
        <w:pStyle w:val="38"/>
        <w:numPr>
          <w:ilvl w:val="0"/>
          <w:numId w:val="52"/>
        </w:numPr>
        <w:tabs>
          <w:tab w:val="left" w:pos="567"/>
          <w:tab w:val="left" w:pos="709"/>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供应商应在采购文件规定的截止日期和时间前，将响应文件送达到指定地点。</w:t>
      </w:r>
    </w:p>
    <w:p>
      <w:pPr>
        <w:pStyle w:val="38"/>
        <w:numPr>
          <w:ilvl w:val="0"/>
          <w:numId w:val="52"/>
        </w:numPr>
        <w:tabs>
          <w:tab w:val="left" w:pos="567"/>
          <w:tab w:val="left" w:pos="709"/>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采购招标代理可按照采购文件规定以澄清或修改通知的方式，酌情延长提交响应文件的截止时间。在此情况下，供应商的所有权利和义务以及供应商受制约的截止时间，均以延长后新的提交响应文件截止时间为准。</w:t>
      </w:r>
    </w:p>
    <w:p>
      <w:pPr>
        <w:pStyle w:val="40"/>
        <w:numPr>
          <w:ilvl w:val="0"/>
          <w:numId w:val="33"/>
        </w:numPr>
        <w:spacing w:before="0" w:after="0" w:line="360" w:lineRule="auto"/>
        <w:rPr>
          <w:rFonts w:ascii="黑体" w:hAnsi="黑体" w:eastAsia="黑体"/>
          <w:sz w:val="21"/>
          <w:szCs w:val="21"/>
          <w:highlight w:val="none"/>
        </w:rPr>
      </w:pPr>
      <w:bookmarkStart w:id="119" w:name="_Toc411519080"/>
      <w:bookmarkStart w:id="120" w:name="_Toc429647638"/>
      <w:bookmarkStart w:id="121" w:name="_Toc416446530"/>
      <w:bookmarkStart w:id="122" w:name="_Toc22212"/>
      <w:r>
        <w:rPr>
          <w:rFonts w:hint="eastAsia" w:ascii="黑体" w:hAnsi="黑体" w:eastAsia="黑体"/>
          <w:sz w:val="21"/>
          <w:szCs w:val="21"/>
          <w:highlight w:val="none"/>
        </w:rPr>
        <w:t>迟交的响应文件</w:t>
      </w:r>
      <w:bookmarkEnd w:id="117"/>
      <w:bookmarkEnd w:id="118"/>
      <w:bookmarkEnd w:id="119"/>
      <w:bookmarkEnd w:id="120"/>
      <w:bookmarkEnd w:id="121"/>
      <w:bookmarkEnd w:id="122"/>
    </w:p>
    <w:p>
      <w:pPr>
        <w:pStyle w:val="38"/>
        <w:spacing w:line="360" w:lineRule="auto"/>
        <w:ind w:firstLine="433"/>
        <w:rPr>
          <w:rFonts w:ascii="黑体" w:hAnsi="黑体" w:eastAsia="黑体"/>
          <w:sz w:val="21"/>
          <w:szCs w:val="21"/>
          <w:highlight w:val="none"/>
        </w:rPr>
      </w:pPr>
      <w:bookmarkStart w:id="123" w:name="_Toc230774010"/>
      <w:bookmarkStart w:id="124" w:name="_Toc232387426"/>
      <w:bookmarkStart w:id="125" w:name="_Toc411519081"/>
      <w:r>
        <w:rPr>
          <w:rFonts w:hint="eastAsia" w:ascii="黑体" w:hAnsi="黑体" w:eastAsia="黑体"/>
          <w:sz w:val="21"/>
          <w:szCs w:val="21"/>
          <w:highlight w:val="none"/>
        </w:rPr>
        <w:t>供应商在提交响应截止时间之后提交的响应文件，</w:t>
      </w:r>
      <w:r>
        <w:rPr>
          <w:rFonts w:ascii="黑体" w:hAnsi="黑体" w:eastAsia="黑体"/>
          <w:sz w:val="21"/>
          <w:szCs w:val="21"/>
          <w:highlight w:val="none"/>
        </w:rPr>
        <w:t>采购招标代理</w:t>
      </w:r>
      <w:r>
        <w:rPr>
          <w:rFonts w:hint="eastAsia" w:ascii="黑体" w:hAnsi="黑体" w:eastAsia="黑体"/>
          <w:sz w:val="21"/>
          <w:szCs w:val="21"/>
          <w:highlight w:val="none"/>
        </w:rPr>
        <w:t>将拒绝接收。</w:t>
      </w:r>
    </w:p>
    <w:p>
      <w:pPr>
        <w:pStyle w:val="40"/>
        <w:numPr>
          <w:ilvl w:val="0"/>
          <w:numId w:val="33"/>
        </w:numPr>
        <w:spacing w:before="0" w:after="0" w:line="360" w:lineRule="auto"/>
        <w:rPr>
          <w:rFonts w:ascii="黑体" w:hAnsi="黑体" w:eastAsia="黑体"/>
          <w:sz w:val="21"/>
          <w:szCs w:val="21"/>
          <w:highlight w:val="none"/>
        </w:rPr>
      </w:pPr>
      <w:bookmarkStart w:id="126" w:name="_Toc416446528"/>
      <w:bookmarkStart w:id="127" w:name="_Toc411519078"/>
      <w:bookmarkStart w:id="128" w:name="_Toc232387423"/>
      <w:bookmarkStart w:id="129" w:name="_Toc429647636"/>
      <w:bookmarkStart w:id="130" w:name="_Toc230774007"/>
      <w:bookmarkStart w:id="131" w:name="_Toc14736"/>
      <w:bookmarkStart w:id="132" w:name="_Toc416446531"/>
      <w:bookmarkStart w:id="133" w:name="_Toc429647639"/>
      <w:r>
        <w:rPr>
          <w:rFonts w:hint="eastAsia" w:ascii="黑体" w:hAnsi="黑体" w:eastAsia="黑体"/>
          <w:sz w:val="21"/>
          <w:szCs w:val="21"/>
          <w:highlight w:val="none"/>
        </w:rPr>
        <w:t>响应文件的装订、密封和标记</w:t>
      </w:r>
      <w:bookmarkEnd w:id="126"/>
      <w:bookmarkEnd w:id="127"/>
      <w:bookmarkEnd w:id="128"/>
      <w:bookmarkEnd w:id="129"/>
      <w:bookmarkEnd w:id="130"/>
      <w:bookmarkEnd w:id="131"/>
    </w:p>
    <w:p>
      <w:pPr>
        <w:pStyle w:val="38"/>
        <w:numPr>
          <w:ilvl w:val="0"/>
          <w:numId w:val="53"/>
        </w:numPr>
        <w:tabs>
          <w:tab w:val="left" w:pos="567"/>
        </w:tabs>
        <w:spacing w:line="360" w:lineRule="auto"/>
        <w:ind w:left="567" w:hanging="567" w:firstLineChars="0"/>
        <w:rPr>
          <w:rFonts w:ascii="黑体" w:hAnsi="黑体" w:eastAsia="黑体"/>
          <w:sz w:val="21"/>
          <w:szCs w:val="21"/>
          <w:highlight w:val="none"/>
        </w:rPr>
      </w:pPr>
      <w:bookmarkStart w:id="134" w:name="_Toc36971235"/>
      <w:bookmarkStart w:id="135" w:name="_Toc39071059"/>
      <w:r>
        <w:rPr>
          <w:rFonts w:hint="eastAsia" w:ascii="黑体" w:hAnsi="黑体" w:eastAsia="黑体"/>
          <w:sz w:val="21"/>
          <w:szCs w:val="21"/>
          <w:highlight w:val="none"/>
        </w:rPr>
        <w:t>响应文件的装订如下：</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062"/>
        <w:gridCol w:w="2359"/>
        <w:gridCol w:w="3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25"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序号</w:t>
            </w:r>
          </w:p>
        </w:tc>
        <w:tc>
          <w:tcPr>
            <w:tcW w:w="1196"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文件名称</w:t>
            </w:r>
          </w:p>
        </w:tc>
        <w:tc>
          <w:tcPr>
            <w:tcW w:w="1368"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装订</w:t>
            </w:r>
          </w:p>
        </w:tc>
        <w:tc>
          <w:tcPr>
            <w:tcW w:w="2011"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25"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1</w:t>
            </w:r>
          </w:p>
        </w:tc>
        <w:tc>
          <w:tcPr>
            <w:tcW w:w="1196"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价格文件</w:t>
            </w:r>
          </w:p>
        </w:tc>
        <w:tc>
          <w:tcPr>
            <w:tcW w:w="1368" w:type="pct"/>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每份独立装订</w:t>
            </w:r>
          </w:p>
        </w:tc>
        <w:tc>
          <w:tcPr>
            <w:tcW w:w="2011" w:type="pct"/>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正本、副本一起密封包装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25"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2</w:t>
            </w:r>
          </w:p>
        </w:tc>
        <w:tc>
          <w:tcPr>
            <w:tcW w:w="1196" w:type="pct"/>
            <w:vAlign w:val="center"/>
          </w:tcPr>
          <w:p>
            <w:pPr>
              <w:spacing w:line="360" w:lineRule="auto"/>
              <w:jc w:val="center"/>
              <w:rPr>
                <w:rFonts w:ascii="黑体" w:hAnsi="黑体" w:eastAsia="黑体" w:cs="宋体"/>
                <w:szCs w:val="21"/>
                <w:highlight w:val="none"/>
              </w:rPr>
            </w:pPr>
            <w:r>
              <w:rPr>
                <w:rFonts w:hint="eastAsia" w:ascii="黑体" w:hAnsi="黑体" w:eastAsia="黑体" w:cs="宋体"/>
                <w:szCs w:val="21"/>
                <w:highlight w:val="none"/>
              </w:rPr>
              <w:t>商务技术文件</w:t>
            </w:r>
          </w:p>
        </w:tc>
        <w:tc>
          <w:tcPr>
            <w:tcW w:w="1368" w:type="pct"/>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每份独立装订</w:t>
            </w:r>
          </w:p>
        </w:tc>
        <w:tc>
          <w:tcPr>
            <w:tcW w:w="2011" w:type="pct"/>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正本、副本一起密封包装</w:t>
            </w:r>
          </w:p>
        </w:tc>
      </w:tr>
    </w:tbl>
    <w:p>
      <w:pPr>
        <w:pStyle w:val="30"/>
        <w:numPr>
          <w:ilvl w:val="0"/>
          <w:numId w:val="53"/>
        </w:numPr>
        <w:tabs>
          <w:tab w:val="left" w:pos="709"/>
          <w:tab w:val="left" w:pos="851"/>
        </w:tabs>
        <w:autoSpaceDE w:val="0"/>
        <w:autoSpaceDN w:val="0"/>
        <w:spacing w:line="360" w:lineRule="auto"/>
        <w:ind w:left="567" w:hanging="567" w:firstLineChars="0"/>
        <w:jc w:val="left"/>
        <w:rPr>
          <w:rFonts w:ascii="黑体" w:hAnsi="黑体" w:eastAsia="黑体"/>
          <w:bCs/>
          <w:szCs w:val="21"/>
          <w:highlight w:val="none"/>
        </w:rPr>
      </w:pPr>
      <w:r>
        <w:rPr>
          <w:rFonts w:hint="eastAsia" w:ascii="黑体" w:hAnsi="黑体" w:eastAsia="黑体"/>
          <w:bCs/>
          <w:szCs w:val="21"/>
          <w:highlight w:val="none"/>
        </w:rPr>
        <w:t>电子文件</w:t>
      </w:r>
      <w:bookmarkStart w:id="136" w:name="_Hlk86740118"/>
      <w:r>
        <w:rPr>
          <w:rFonts w:hint="eastAsia" w:ascii="黑体" w:hAnsi="黑体" w:eastAsia="黑体"/>
          <w:bCs/>
          <w:szCs w:val="21"/>
          <w:highlight w:val="none"/>
        </w:rPr>
        <w:t>须同时提交以下文件</w:t>
      </w:r>
      <w:bookmarkEnd w:id="136"/>
      <w:r>
        <w:rPr>
          <w:rFonts w:hint="eastAsia" w:ascii="黑体" w:hAnsi="黑体" w:eastAsia="黑体"/>
          <w:bCs/>
          <w:szCs w:val="21"/>
          <w:highlight w:val="none"/>
        </w:rPr>
        <w:t>：</w:t>
      </w:r>
      <w:bookmarkStart w:id="137" w:name="_Hlk86740096"/>
      <w:r>
        <w:rPr>
          <w:rFonts w:hint="eastAsia" w:ascii="黑体" w:hAnsi="黑体" w:eastAsia="黑体"/>
          <w:bCs/>
          <w:szCs w:val="21"/>
          <w:highlight w:val="none"/>
        </w:rPr>
        <w:t>①可编辑的WORD或 EXCEL 格式文件。②按采购文件要求签署、盖章后的正本响应文件扫描成PDF格式文件。</w:t>
      </w:r>
      <w:r>
        <w:rPr>
          <w:rFonts w:ascii="黑体" w:hAnsi="黑体" w:eastAsia="黑体"/>
          <w:bCs/>
          <w:szCs w:val="21"/>
          <w:highlight w:val="none"/>
        </w:rPr>
        <w:t>电子文件</w:t>
      </w:r>
      <w:r>
        <w:rPr>
          <w:rFonts w:hint="eastAsia" w:ascii="黑体" w:hAnsi="黑体" w:eastAsia="黑体"/>
          <w:bCs/>
          <w:szCs w:val="21"/>
          <w:highlight w:val="none"/>
        </w:rPr>
        <w:t>由</w:t>
      </w:r>
      <w:r>
        <w:rPr>
          <w:rFonts w:ascii="黑体" w:hAnsi="黑体" w:eastAsia="黑体"/>
          <w:bCs/>
          <w:szCs w:val="21"/>
          <w:highlight w:val="none"/>
        </w:rPr>
        <w:t>CD-R光盘</w:t>
      </w:r>
      <w:r>
        <w:rPr>
          <w:rFonts w:hint="eastAsia" w:ascii="黑体" w:hAnsi="黑体" w:eastAsia="黑体"/>
          <w:bCs/>
          <w:szCs w:val="21"/>
          <w:highlight w:val="none"/>
        </w:rPr>
        <w:t>或U盘</w:t>
      </w:r>
      <w:r>
        <w:rPr>
          <w:rFonts w:ascii="黑体" w:hAnsi="黑体" w:eastAsia="黑体"/>
          <w:bCs/>
          <w:szCs w:val="21"/>
          <w:highlight w:val="none"/>
        </w:rPr>
        <w:t>储存</w:t>
      </w:r>
      <w:bookmarkEnd w:id="137"/>
      <w:r>
        <w:rPr>
          <w:rFonts w:hint="eastAsia" w:ascii="黑体" w:hAnsi="黑体" w:eastAsia="黑体"/>
          <w:bCs/>
          <w:szCs w:val="21"/>
          <w:highlight w:val="none"/>
        </w:rPr>
        <w:t>。</w:t>
      </w:r>
    </w:p>
    <w:p>
      <w:pPr>
        <w:pStyle w:val="38"/>
        <w:numPr>
          <w:ilvl w:val="0"/>
          <w:numId w:val="53"/>
        </w:numPr>
        <w:tabs>
          <w:tab w:val="left" w:pos="567"/>
        </w:tabs>
        <w:spacing w:before="156" w:beforeLines="50"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在响应文件密封袋上均应标明以下内容：</w:t>
      </w:r>
    </w:p>
    <w:p>
      <w:pPr>
        <w:pStyle w:val="30"/>
        <w:spacing w:line="360" w:lineRule="auto"/>
        <w:ind w:left="420" w:firstLine="0" w:firstLineChars="0"/>
        <w:rPr>
          <w:rFonts w:ascii="黑体" w:hAnsi="黑体" w:eastAsia="黑体"/>
          <w:szCs w:val="21"/>
          <w:highlight w:val="none"/>
          <w:u w:val="single"/>
        </w:rPr>
      </w:pPr>
      <w:r>
        <w:rPr>
          <w:rFonts w:hint="eastAsia" w:ascii="黑体" w:hAnsi="黑体" w:eastAsia="黑体"/>
          <w:bCs/>
          <w:szCs w:val="21"/>
          <w:highlight w:val="none"/>
        </w:rPr>
        <w:t>收件人名称：</w:t>
      </w:r>
      <w:r>
        <w:rPr>
          <w:rFonts w:ascii="黑体" w:hAnsi="黑体" w:eastAsia="黑体"/>
          <w:szCs w:val="21"/>
          <w:highlight w:val="none"/>
          <w:u w:val="single"/>
        </w:rPr>
        <w:t>广东智汇城市招标采购有限公司</w:t>
      </w:r>
      <w:r>
        <w:rPr>
          <w:rFonts w:hint="eastAsia" w:ascii="黑体" w:hAnsi="黑体" w:eastAsia="黑体"/>
          <w:szCs w:val="21"/>
          <w:highlight w:val="none"/>
          <w:u w:val="single"/>
        </w:rPr>
        <w:t xml:space="preserve">  </w:t>
      </w:r>
    </w:p>
    <w:p>
      <w:pPr>
        <w:pStyle w:val="30"/>
        <w:spacing w:line="360" w:lineRule="auto"/>
        <w:ind w:left="420" w:firstLine="0" w:firstLineChars="0"/>
        <w:rPr>
          <w:rFonts w:ascii="黑体" w:hAnsi="黑体" w:eastAsia="黑体"/>
          <w:bCs/>
          <w:szCs w:val="21"/>
          <w:highlight w:val="none"/>
        </w:rPr>
      </w:pPr>
      <w:r>
        <w:rPr>
          <w:rFonts w:hint="eastAsia" w:ascii="黑体" w:hAnsi="黑体" w:eastAsia="黑体"/>
          <w:szCs w:val="21"/>
          <w:highlight w:val="none"/>
        </w:rPr>
        <w:t>供应商名称：</w:t>
      </w:r>
      <w:r>
        <w:rPr>
          <w:rFonts w:hint="eastAsia" w:ascii="黑体" w:hAnsi="黑体" w:eastAsia="黑体"/>
          <w:szCs w:val="21"/>
          <w:highlight w:val="none"/>
          <w:u w:val="single"/>
        </w:rPr>
        <w:t xml:space="preserve">                              </w:t>
      </w:r>
    </w:p>
    <w:p>
      <w:pPr>
        <w:pStyle w:val="30"/>
        <w:spacing w:line="360" w:lineRule="auto"/>
        <w:ind w:left="420" w:firstLine="0" w:firstLineChars="0"/>
        <w:rPr>
          <w:rFonts w:ascii="黑体" w:hAnsi="黑体" w:eastAsia="黑体"/>
          <w:bCs/>
          <w:szCs w:val="21"/>
          <w:highlight w:val="none"/>
        </w:rPr>
      </w:pPr>
      <w:r>
        <w:rPr>
          <w:rFonts w:hint="eastAsia" w:ascii="黑体" w:hAnsi="黑体" w:eastAsia="黑体"/>
          <w:bCs/>
          <w:szCs w:val="21"/>
          <w:highlight w:val="none"/>
        </w:rPr>
        <w:t>项目名称：</w:t>
      </w:r>
      <w:r>
        <w:rPr>
          <w:rFonts w:hint="eastAsia" w:ascii="黑体" w:hAnsi="黑体" w:eastAsia="黑体"/>
          <w:bCs/>
          <w:szCs w:val="21"/>
          <w:highlight w:val="none"/>
          <w:u w:val="single"/>
        </w:rPr>
        <w:t xml:space="preserve">        （详见谈判邀请函）      </w:t>
      </w:r>
    </w:p>
    <w:p>
      <w:pPr>
        <w:pStyle w:val="30"/>
        <w:spacing w:line="360" w:lineRule="auto"/>
        <w:ind w:left="420" w:firstLine="0" w:firstLineChars="0"/>
        <w:rPr>
          <w:rFonts w:ascii="黑体" w:hAnsi="黑体" w:eastAsia="黑体"/>
          <w:bCs/>
          <w:szCs w:val="21"/>
          <w:highlight w:val="none"/>
        </w:rPr>
      </w:pPr>
      <w:r>
        <w:rPr>
          <w:rFonts w:hint="eastAsia" w:ascii="黑体" w:hAnsi="黑体" w:eastAsia="黑体"/>
          <w:bCs/>
          <w:szCs w:val="21"/>
          <w:highlight w:val="none"/>
        </w:rPr>
        <w:t>项目编号：</w:t>
      </w:r>
      <w:r>
        <w:rPr>
          <w:rFonts w:hint="eastAsia" w:ascii="黑体" w:hAnsi="黑体" w:eastAsia="黑体"/>
          <w:bCs/>
          <w:szCs w:val="21"/>
          <w:highlight w:val="none"/>
          <w:u w:val="single"/>
        </w:rPr>
        <w:t xml:space="preserve">        （详见谈判邀请函）     </w:t>
      </w:r>
      <w:r>
        <w:rPr>
          <w:rFonts w:ascii="黑体" w:hAnsi="黑体" w:eastAsia="黑体"/>
          <w:bCs/>
          <w:szCs w:val="21"/>
          <w:highlight w:val="none"/>
          <w:u w:val="single"/>
        </w:rPr>
        <w:t xml:space="preserve"> </w:t>
      </w:r>
    </w:p>
    <w:p>
      <w:pPr>
        <w:spacing w:line="360" w:lineRule="auto"/>
        <w:ind w:firstLine="420" w:firstLineChars="200"/>
        <w:rPr>
          <w:rFonts w:ascii="黑体" w:hAnsi="黑体" w:eastAsia="黑体"/>
          <w:bCs/>
          <w:szCs w:val="21"/>
          <w:highlight w:val="none"/>
        </w:rPr>
      </w:pPr>
      <w:r>
        <w:rPr>
          <w:rFonts w:hint="eastAsia" w:ascii="黑体" w:hAnsi="黑体" w:eastAsia="黑体"/>
          <w:bCs/>
          <w:szCs w:val="21"/>
          <w:highlight w:val="none"/>
        </w:rPr>
        <w:t>注明：</w:t>
      </w:r>
      <w:r>
        <w:rPr>
          <w:rFonts w:hint="eastAsia" w:ascii="黑体" w:hAnsi="黑体" w:eastAsia="黑体"/>
          <w:bCs/>
          <w:szCs w:val="21"/>
          <w:highlight w:val="none"/>
          <w:u w:val="single"/>
        </w:rPr>
        <w:t xml:space="preserve">于   年   月   日北京时间   ：  </w:t>
      </w:r>
      <w:r>
        <w:rPr>
          <w:rFonts w:hint="eastAsia" w:ascii="黑体" w:hAnsi="黑体" w:eastAsia="黑体"/>
          <w:bCs/>
          <w:szCs w:val="21"/>
          <w:highlight w:val="none"/>
        </w:rPr>
        <w:t>（详见谈判邀请函）之前不得启封的字样。</w:t>
      </w:r>
    </w:p>
    <w:p>
      <w:pPr>
        <w:pStyle w:val="38"/>
        <w:numPr>
          <w:ilvl w:val="0"/>
          <w:numId w:val="53"/>
        </w:numPr>
        <w:tabs>
          <w:tab w:val="left" w:pos="567"/>
        </w:tabs>
        <w:spacing w:line="360" w:lineRule="auto"/>
        <w:ind w:left="567" w:hanging="567" w:firstLineChars="0"/>
        <w:rPr>
          <w:rFonts w:ascii="黑体" w:hAnsi="黑体" w:eastAsia="黑体"/>
          <w:sz w:val="21"/>
          <w:szCs w:val="21"/>
          <w:highlight w:val="none"/>
        </w:rPr>
      </w:pPr>
      <w:r>
        <w:rPr>
          <w:rFonts w:ascii="黑体" w:hAnsi="黑体" w:eastAsia="黑体"/>
          <w:sz w:val="21"/>
          <w:szCs w:val="21"/>
          <w:highlight w:val="none"/>
        </w:rPr>
        <w:t>如</w:t>
      </w:r>
      <w:r>
        <w:rPr>
          <w:rFonts w:hint="eastAsia" w:ascii="黑体" w:hAnsi="黑体" w:eastAsia="黑体"/>
          <w:sz w:val="21"/>
          <w:szCs w:val="21"/>
          <w:highlight w:val="none"/>
        </w:rPr>
        <w:t>供应商的响应</w:t>
      </w:r>
      <w:r>
        <w:rPr>
          <w:rFonts w:ascii="黑体" w:hAnsi="黑体" w:eastAsia="黑体"/>
          <w:sz w:val="21"/>
          <w:szCs w:val="21"/>
          <w:highlight w:val="none"/>
        </w:rPr>
        <w:t>文件</w:t>
      </w:r>
      <w:r>
        <w:rPr>
          <w:rFonts w:hint="eastAsia" w:ascii="黑体" w:hAnsi="黑体" w:eastAsia="黑体"/>
          <w:sz w:val="21"/>
          <w:szCs w:val="21"/>
          <w:highlight w:val="none"/>
        </w:rPr>
        <w:t>未</w:t>
      </w:r>
      <w:r>
        <w:rPr>
          <w:rFonts w:ascii="黑体" w:hAnsi="黑体" w:eastAsia="黑体"/>
          <w:sz w:val="21"/>
          <w:szCs w:val="21"/>
          <w:highlight w:val="none"/>
        </w:rPr>
        <w:t>按</w:t>
      </w:r>
      <w:r>
        <w:rPr>
          <w:rFonts w:hint="eastAsia" w:ascii="黑体" w:hAnsi="黑体" w:eastAsia="黑体"/>
          <w:sz w:val="21"/>
          <w:szCs w:val="21"/>
          <w:highlight w:val="none"/>
        </w:rPr>
        <w:t>照采购文件</w:t>
      </w:r>
      <w:r>
        <w:rPr>
          <w:rFonts w:ascii="黑体" w:hAnsi="黑体" w:eastAsia="黑体"/>
          <w:sz w:val="21"/>
          <w:szCs w:val="21"/>
          <w:highlight w:val="none"/>
        </w:rPr>
        <w:t>规定标记</w:t>
      </w:r>
      <w:r>
        <w:rPr>
          <w:rFonts w:hint="eastAsia" w:ascii="黑体" w:hAnsi="黑体" w:eastAsia="黑体"/>
          <w:sz w:val="21"/>
          <w:szCs w:val="21"/>
          <w:highlight w:val="none"/>
        </w:rPr>
        <w:t>和</w:t>
      </w:r>
      <w:r>
        <w:rPr>
          <w:rFonts w:ascii="黑体" w:hAnsi="黑体" w:eastAsia="黑体"/>
          <w:sz w:val="21"/>
          <w:szCs w:val="21"/>
          <w:highlight w:val="none"/>
        </w:rPr>
        <w:t>密</w:t>
      </w:r>
      <w:r>
        <w:rPr>
          <w:rFonts w:hint="eastAsia" w:ascii="黑体" w:hAnsi="黑体" w:eastAsia="黑体"/>
          <w:sz w:val="21"/>
          <w:szCs w:val="21"/>
          <w:highlight w:val="none"/>
        </w:rPr>
        <w:t>封的</w:t>
      </w:r>
      <w:r>
        <w:rPr>
          <w:rFonts w:ascii="黑体" w:hAnsi="黑体" w:eastAsia="黑体"/>
          <w:sz w:val="21"/>
          <w:szCs w:val="21"/>
          <w:highlight w:val="none"/>
        </w:rPr>
        <w:t>，采购招标代理将不承担响应文件提前开封的责任。</w:t>
      </w:r>
    </w:p>
    <w:bookmarkEnd w:id="134"/>
    <w:bookmarkEnd w:id="135"/>
    <w:p>
      <w:pPr>
        <w:pStyle w:val="40"/>
        <w:numPr>
          <w:ilvl w:val="0"/>
          <w:numId w:val="33"/>
        </w:numPr>
        <w:spacing w:before="0" w:after="0" w:line="360" w:lineRule="auto"/>
        <w:rPr>
          <w:rFonts w:ascii="黑体" w:hAnsi="黑体" w:eastAsia="黑体"/>
          <w:sz w:val="21"/>
          <w:szCs w:val="21"/>
          <w:highlight w:val="none"/>
        </w:rPr>
      </w:pPr>
      <w:bookmarkStart w:id="138" w:name="_Toc26375"/>
      <w:r>
        <w:rPr>
          <w:rFonts w:hint="eastAsia" w:ascii="黑体" w:hAnsi="黑体" w:eastAsia="黑体"/>
          <w:sz w:val="21"/>
          <w:szCs w:val="21"/>
          <w:highlight w:val="none"/>
        </w:rPr>
        <w:t>响应文件的补充、修改与撤回</w:t>
      </w:r>
      <w:bookmarkEnd w:id="123"/>
      <w:bookmarkEnd w:id="124"/>
      <w:bookmarkEnd w:id="125"/>
      <w:bookmarkEnd w:id="132"/>
      <w:bookmarkEnd w:id="133"/>
      <w:bookmarkEnd w:id="138"/>
    </w:p>
    <w:p>
      <w:pPr>
        <w:pStyle w:val="38"/>
        <w:numPr>
          <w:ilvl w:val="0"/>
          <w:numId w:val="54"/>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供应商在提交响应文件截止时间前，可以对所提交的响应文件进行补充、修改或撤回，并以书面形式通知采购招标代理。在提交响应文件截止时间之后，供应商不得对其响应文件作出任何的补充和修改。</w:t>
      </w:r>
    </w:p>
    <w:p>
      <w:pPr>
        <w:pStyle w:val="38"/>
        <w:numPr>
          <w:ilvl w:val="0"/>
          <w:numId w:val="54"/>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供应商对响应文件的补充、修改的内容应当按采购文件要求的签署、盖章，作为响应文件的组成部分。并按照采购文件规定密封和标记的要求提交，并在响应文件密封袋上标明“补充、修改”或“撤回”字样。</w:t>
      </w:r>
    </w:p>
    <w:p>
      <w:pPr>
        <w:pStyle w:val="38"/>
        <w:numPr>
          <w:ilvl w:val="0"/>
          <w:numId w:val="54"/>
        </w:numPr>
        <w:tabs>
          <w:tab w:val="left" w:pos="567"/>
          <w:tab w:val="left" w:pos="1134"/>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在提交响应文件截止时间之后，除非在谈判期间按谈判小组的要求外，否则供应商不可以修改其响应文件内容。</w:t>
      </w:r>
    </w:p>
    <w:p>
      <w:pPr>
        <w:pStyle w:val="38"/>
        <w:numPr>
          <w:ilvl w:val="0"/>
          <w:numId w:val="54"/>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已提交响应文件的供应商，在提交最后报价之前，可以根据谈判情况退出谈判。</w:t>
      </w:r>
    </w:p>
    <w:p>
      <w:pPr>
        <w:pStyle w:val="40"/>
        <w:numPr>
          <w:ilvl w:val="0"/>
          <w:numId w:val="33"/>
        </w:numPr>
        <w:spacing w:before="0" w:after="0" w:line="360" w:lineRule="auto"/>
        <w:rPr>
          <w:rFonts w:ascii="黑体" w:hAnsi="黑体" w:eastAsia="黑体"/>
          <w:sz w:val="21"/>
          <w:szCs w:val="21"/>
          <w:highlight w:val="none"/>
        </w:rPr>
      </w:pPr>
      <w:bookmarkStart w:id="139" w:name="_Toc3649"/>
      <w:r>
        <w:rPr>
          <w:rFonts w:hint="eastAsia" w:ascii="黑体" w:hAnsi="黑体" w:eastAsia="黑体"/>
          <w:sz w:val="21"/>
          <w:szCs w:val="21"/>
          <w:highlight w:val="none"/>
        </w:rPr>
        <w:t>谈判</w:t>
      </w:r>
      <w:bookmarkEnd w:id="139"/>
    </w:p>
    <w:p>
      <w:pPr>
        <w:pStyle w:val="38"/>
        <w:numPr>
          <w:ilvl w:val="0"/>
          <w:numId w:val="55"/>
        </w:numPr>
        <w:tabs>
          <w:tab w:val="left" w:pos="567"/>
        </w:tabs>
        <w:spacing w:line="360" w:lineRule="auto"/>
        <w:ind w:left="567" w:hanging="567" w:firstLineChars="0"/>
        <w:rPr>
          <w:rFonts w:ascii="黑体" w:hAnsi="黑体" w:eastAsia="黑体"/>
          <w:sz w:val="21"/>
          <w:szCs w:val="21"/>
          <w:highlight w:val="none"/>
        </w:rPr>
      </w:pPr>
      <w:r>
        <w:rPr>
          <w:rFonts w:ascii="黑体" w:hAnsi="黑体" w:eastAsia="黑体"/>
          <w:sz w:val="21"/>
          <w:szCs w:val="21"/>
          <w:highlight w:val="none"/>
        </w:rPr>
        <w:t>采购招标代理按</w:t>
      </w:r>
      <w:r>
        <w:rPr>
          <w:rFonts w:hint="eastAsia" w:ascii="黑体" w:hAnsi="黑体" w:eastAsia="黑体"/>
          <w:sz w:val="21"/>
          <w:szCs w:val="21"/>
          <w:highlight w:val="none"/>
        </w:rPr>
        <w:t>照采购文件</w:t>
      </w:r>
      <w:r>
        <w:rPr>
          <w:rFonts w:ascii="黑体" w:hAnsi="黑体" w:eastAsia="黑体"/>
          <w:sz w:val="21"/>
          <w:szCs w:val="21"/>
          <w:highlight w:val="none"/>
        </w:rPr>
        <w:t>规定的时间和地点</w:t>
      </w:r>
      <w:r>
        <w:rPr>
          <w:rFonts w:hint="eastAsia" w:ascii="黑体" w:hAnsi="黑体" w:eastAsia="黑体"/>
          <w:sz w:val="21"/>
          <w:szCs w:val="21"/>
          <w:highlight w:val="none"/>
        </w:rPr>
        <w:t>组织谈判</w:t>
      </w:r>
      <w:r>
        <w:rPr>
          <w:rFonts w:ascii="黑体" w:hAnsi="黑体" w:eastAsia="黑体"/>
          <w:sz w:val="21"/>
          <w:szCs w:val="21"/>
          <w:highlight w:val="none"/>
        </w:rPr>
        <w:t>，并邀请所有供应商</w:t>
      </w:r>
      <w:r>
        <w:rPr>
          <w:rFonts w:hint="eastAsia" w:ascii="黑体" w:hAnsi="黑体" w:eastAsia="黑体"/>
          <w:sz w:val="21"/>
          <w:szCs w:val="21"/>
          <w:highlight w:val="none"/>
        </w:rPr>
        <w:t>代表</w:t>
      </w:r>
      <w:r>
        <w:rPr>
          <w:rFonts w:ascii="黑体" w:hAnsi="黑体" w:eastAsia="黑体"/>
          <w:sz w:val="21"/>
          <w:szCs w:val="21"/>
          <w:highlight w:val="none"/>
        </w:rPr>
        <w:t>参加。</w:t>
      </w:r>
    </w:p>
    <w:p>
      <w:pPr>
        <w:pStyle w:val="38"/>
        <w:numPr>
          <w:ilvl w:val="0"/>
          <w:numId w:val="55"/>
        </w:numPr>
        <w:tabs>
          <w:tab w:val="left" w:pos="567"/>
        </w:tabs>
        <w:spacing w:line="360" w:lineRule="auto"/>
        <w:ind w:left="567" w:hanging="567" w:firstLineChars="0"/>
        <w:rPr>
          <w:rFonts w:ascii="黑体" w:hAnsi="黑体" w:eastAsia="黑体"/>
          <w:sz w:val="21"/>
          <w:szCs w:val="21"/>
          <w:highlight w:val="none"/>
        </w:rPr>
      </w:pPr>
      <w:r>
        <w:rPr>
          <w:rFonts w:ascii="黑体" w:hAnsi="黑体" w:eastAsia="黑体"/>
          <w:sz w:val="21"/>
          <w:szCs w:val="21"/>
          <w:highlight w:val="none"/>
        </w:rPr>
        <w:t>按</w:t>
      </w:r>
      <w:r>
        <w:rPr>
          <w:rFonts w:hint="eastAsia" w:ascii="黑体" w:hAnsi="黑体" w:eastAsia="黑体"/>
          <w:sz w:val="21"/>
          <w:szCs w:val="21"/>
          <w:highlight w:val="none"/>
        </w:rPr>
        <w:t>采购文件</w:t>
      </w:r>
      <w:r>
        <w:rPr>
          <w:rFonts w:ascii="黑体" w:hAnsi="黑体" w:eastAsia="黑体"/>
          <w:sz w:val="21"/>
          <w:szCs w:val="21"/>
          <w:highlight w:val="none"/>
        </w:rPr>
        <w:t>规定提交撤回通知的</w:t>
      </w:r>
      <w:r>
        <w:rPr>
          <w:rFonts w:hint="eastAsia" w:ascii="黑体" w:hAnsi="黑体" w:eastAsia="黑体"/>
          <w:sz w:val="21"/>
          <w:szCs w:val="21"/>
          <w:highlight w:val="none"/>
        </w:rPr>
        <w:t>响应</w:t>
      </w:r>
      <w:r>
        <w:rPr>
          <w:rFonts w:ascii="黑体" w:hAnsi="黑体" w:eastAsia="黑体"/>
          <w:sz w:val="21"/>
          <w:szCs w:val="21"/>
          <w:highlight w:val="none"/>
        </w:rPr>
        <w:t>文件不予开封，并退回给供应商。</w:t>
      </w:r>
    </w:p>
    <w:p>
      <w:pPr>
        <w:pStyle w:val="38"/>
        <w:numPr>
          <w:ilvl w:val="0"/>
          <w:numId w:val="55"/>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谈判程序：</w:t>
      </w:r>
    </w:p>
    <w:p>
      <w:pPr>
        <w:pStyle w:val="41"/>
        <w:numPr>
          <w:ilvl w:val="0"/>
          <w:numId w:val="56"/>
        </w:numPr>
        <w:spacing w:line="360" w:lineRule="auto"/>
        <w:ind w:left="851" w:hanging="851" w:firstLineChars="0"/>
        <w:rPr>
          <w:rFonts w:ascii="黑体" w:hAnsi="黑体" w:eastAsia="黑体"/>
          <w:b/>
          <w:color w:val="auto"/>
          <w:sz w:val="21"/>
          <w:szCs w:val="21"/>
          <w:highlight w:val="none"/>
        </w:rPr>
      </w:pPr>
      <w:r>
        <w:rPr>
          <w:rFonts w:hint="eastAsia" w:ascii="黑体" w:hAnsi="黑体" w:eastAsia="黑体"/>
          <w:color w:val="auto"/>
          <w:sz w:val="21"/>
          <w:szCs w:val="21"/>
          <w:highlight w:val="none"/>
        </w:rPr>
        <w:t>谈判会</w:t>
      </w:r>
      <w:r>
        <w:rPr>
          <w:rFonts w:ascii="黑体" w:hAnsi="黑体" w:eastAsia="黑体"/>
          <w:color w:val="auto"/>
          <w:sz w:val="21"/>
          <w:szCs w:val="21"/>
          <w:highlight w:val="none"/>
        </w:rPr>
        <w:t>由采购招标代理主持</w:t>
      </w:r>
      <w:r>
        <w:rPr>
          <w:rFonts w:hint="eastAsia" w:ascii="黑体" w:hAnsi="黑体" w:eastAsia="黑体"/>
          <w:color w:val="auto"/>
          <w:sz w:val="21"/>
          <w:szCs w:val="21"/>
          <w:highlight w:val="none"/>
        </w:rPr>
        <w:t>，供应商的法定代表人或经其正式授权代表务必携带有效身份证明准时参加开标会并签名报到，以证明其出席。</w:t>
      </w:r>
    </w:p>
    <w:p>
      <w:pPr>
        <w:pStyle w:val="41"/>
        <w:numPr>
          <w:ilvl w:val="0"/>
          <w:numId w:val="56"/>
        </w:numPr>
        <w:spacing w:line="360" w:lineRule="auto"/>
        <w:ind w:left="851" w:hanging="851" w:firstLineChars="0"/>
        <w:rPr>
          <w:rFonts w:ascii="黑体" w:hAnsi="黑体" w:eastAsia="黑体"/>
          <w:b/>
          <w:color w:val="auto"/>
          <w:sz w:val="21"/>
          <w:szCs w:val="21"/>
          <w:highlight w:val="none"/>
        </w:rPr>
      </w:pPr>
      <w:r>
        <w:rPr>
          <w:rFonts w:hint="eastAsia" w:ascii="黑体" w:hAnsi="黑体" w:eastAsia="黑体"/>
          <w:color w:val="auto"/>
          <w:sz w:val="21"/>
          <w:szCs w:val="21"/>
          <w:highlight w:val="none"/>
        </w:rPr>
        <w:t>谈判时，应当由供应商或者其推选的代表检查响应文件的密封情况。</w:t>
      </w:r>
    </w:p>
    <w:p>
      <w:pPr>
        <w:pStyle w:val="4"/>
        <w:keepNext w:val="0"/>
        <w:numPr>
          <w:ilvl w:val="0"/>
          <w:numId w:val="32"/>
        </w:numPr>
        <w:spacing w:before="312" w:beforeLines="100" w:after="0" w:line="360" w:lineRule="auto"/>
        <w:rPr>
          <w:rFonts w:ascii="黑体" w:hAnsi="黑体" w:eastAsia="黑体"/>
          <w:bCs w:val="0"/>
          <w:sz w:val="21"/>
          <w:szCs w:val="21"/>
          <w:highlight w:val="none"/>
        </w:rPr>
      </w:pPr>
      <w:bookmarkStart w:id="140" w:name="_Toc429647640"/>
      <w:bookmarkStart w:id="141" w:name="_Toc39368838"/>
      <w:bookmarkStart w:id="142" w:name="_Toc411519082"/>
      <w:bookmarkStart w:id="143" w:name="_Toc416446532"/>
      <w:bookmarkStart w:id="144" w:name="_Toc230774011"/>
      <w:bookmarkStart w:id="145" w:name="_Toc36971238"/>
      <w:bookmarkStart w:id="146" w:name="_Toc39071062"/>
      <w:bookmarkStart w:id="147" w:name="_Toc232387427"/>
      <w:bookmarkStart w:id="148" w:name="_Toc13857"/>
      <w:bookmarkStart w:id="149" w:name="_Toc429647642"/>
      <w:bookmarkStart w:id="150" w:name="_Toc230774013"/>
      <w:bookmarkStart w:id="151" w:name="_Toc411519084"/>
      <w:bookmarkStart w:id="152" w:name="_Toc232387429"/>
      <w:bookmarkStart w:id="153" w:name="_Toc416446534"/>
      <w:r>
        <w:rPr>
          <w:rFonts w:hint="eastAsia" w:ascii="黑体" w:hAnsi="黑体" w:eastAsia="黑体"/>
          <w:bCs w:val="0"/>
          <w:sz w:val="21"/>
          <w:szCs w:val="21"/>
          <w:highlight w:val="none"/>
        </w:rPr>
        <w:t>谈判与评审</w:t>
      </w:r>
      <w:bookmarkEnd w:id="140"/>
      <w:bookmarkEnd w:id="141"/>
      <w:bookmarkEnd w:id="142"/>
      <w:bookmarkEnd w:id="143"/>
      <w:bookmarkEnd w:id="144"/>
      <w:bookmarkEnd w:id="145"/>
      <w:bookmarkEnd w:id="146"/>
      <w:bookmarkEnd w:id="147"/>
      <w:bookmarkEnd w:id="148"/>
    </w:p>
    <w:p>
      <w:pPr>
        <w:pStyle w:val="40"/>
        <w:numPr>
          <w:ilvl w:val="0"/>
          <w:numId w:val="33"/>
        </w:numPr>
        <w:spacing w:before="0" w:after="0" w:line="360" w:lineRule="auto"/>
        <w:rPr>
          <w:rFonts w:ascii="黑体" w:hAnsi="黑体" w:eastAsia="黑体"/>
          <w:sz w:val="21"/>
          <w:szCs w:val="21"/>
          <w:highlight w:val="none"/>
        </w:rPr>
      </w:pPr>
      <w:bookmarkStart w:id="154" w:name="_Toc8325"/>
      <w:r>
        <w:rPr>
          <w:rFonts w:hint="eastAsia" w:ascii="黑体" w:hAnsi="黑体" w:eastAsia="黑体"/>
          <w:sz w:val="21"/>
          <w:szCs w:val="21"/>
          <w:highlight w:val="none"/>
        </w:rPr>
        <w:t>评审过程的保密</w:t>
      </w:r>
      <w:bookmarkEnd w:id="149"/>
      <w:bookmarkEnd w:id="150"/>
      <w:bookmarkEnd w:id="151"/>
      <w:bookmarkEnd w:id="152"/>
      <w:bookmarkEnd w:id="153"/>
      <w:bookmarkEnd w:id="154"/>
    </w:p>
    <w:p>
      <w:pPr>
        <w:pStyle w:val="38"/>
        <w:numPr>
          <w:ilvl w:val="0"/>
          <w:numId w:val="57"/>
        </w:numPr>
        <w:tabs>
          <w:tab w:val="left" w:pos="0"/>
        </w:tabs>
        <w:spacing w:line="360" w:lineRule="auto"/>
        <w:ind w:left="567" w:hanging="567" w:hangingChars="270"/>
        <w:rPr>
          <w:rFonts w:ascii="黑体" w:hAnsi="黑体" w:eastAsia="黑体"/>
          <w:sz w:val="21"/>
          <w:szCs w:val="21"/>
          <w:highlight w:val="none"/>
        </w:rPr>
      </w:pPr>
      <w:r>
        <w:rPr>
          <w:rFonts w:hint="eastAsia" w:ascii="黑体" w:hAnsi="黑体" w:eastAsia="黑体"/>
          <w:sz w:val="21"/>
          <w:szCs w:val="21"/>
          <w:highlight w:val="none"/>
        </w:rPr>
        <w:t>接受谈判后，直至成交供应商与采购人签订合同止，凡与谈判、审查、澄清、评价、比较、确定成交供应商有关的内容，任何人均不得向谈判双方之外的第三方及与评审无关的其他人透露。</w:t>
      </w:r>
    </w:p>
    <w:p>
      <w:pPr>
        <w:pStyle w:val="38"/>
        <w:numPr>
          <w:ilvl w:val="0"/>
          <w:numId w:val="57"/>
        </w:numPr>
        <w:tabs>
          <w:tab w:val="left" w:pos="0"/>
        </w:tabs>
        <w:spacing w:line="360" w:lineRule="auto"/>
        <w:ind w:left="567" w:hanging="567" w:hangingChars="270"/>
        <w:rPr>
          <w:rFonts w:ascii="黑体" w:hAnsi="黑体" w:eastAsia="黑体"/>
          <w:sz w:val="21"/>
          <w:szCs w:val="21"/>
          <w:highlight w:val="none"/>
        </w:rPr>
      </w:pPr>
      <w:r>
        <w:rPr>
          <w:rFonts w:hint="eastAsia" w:ascii="黑体" w:hAnsi="黑体" w:eastAsia="黑体"/>
          <w:sz w:val="21"/>
          <w:szCs w:val="21"/>
          <w:highlight w:val="none"/>
        </w:rPr>
        <w:t>从响应文件递交截止时间起到确定成交供应商止，供应商不得与参加谈判、评审的有关人员私下接触。在评审过程中，如果供应商试图在响应文件审查、澄清、比较及推荐成交供应商方面向参与评审的有关人员和采购人施加任何影响，其谈判将被拒绝。</w:t>
      </w:r>
    </w:p>
    <w:p>
      <w:pPr>
        <w:pStyle w:val="38"/>
        <w:numPr>
          <w:ilvl w:val="0"/>
          <w:numId w:val="57"/>
        </w:numPr>
        <w:tabs>
          <w:tab w:val="left" w:pos="0"/>
        </w:tabs>
        <w:spacing w:line="360" w:lineRule="auto"/>
        <w:ind w:left="567" w:hanging="567" w:hangingChars="270"/>
        <w:rPr>
          <w:rFonts w:ascii="黑体" w:hAnsi="黑体" w:eastAsia="黑体"/>
          <w:sz w:val="21"/>
          <w:szCs w:val="21"/>
          <w:highlight w:val="none"/>
        </w:rPr>
      </w:pPr>
      <w:r>
        <w:rPr>
          <w:rFonts w:hint="eastAsia" w:ascii="黑体" w:hAnsi="黑体" w:eastAsia="黑体"/>
          <w:sz w:val="21"/>
          <w:szCs w:val="21"/>
          <w:highlight w:val="none"/>
        </w:rPr>
        <w:t>成交供应商确定后，采购招标代理和采购人不对未成交供应商就评审过程以及未能成交原因作出任何解释。未成交供应商不得向谈判小组人员或其他有关人员索问评审过程的情况和索取材料。</w:t>
      </w:r>
    </w:p>
    <w:p>
      <w:pPr>
        <w:pStyle w:val="40"/>
        <w:numPr>
          <w:ilvl w:val="0"/>
          <w:numId w:val="33"/>
        </w:numPr>
        <w:spacing w:before="0" w:after="0" w:line="360" w:lineRule="auto"/>
        <w:rPr>
          <w:rFonts w:ascii="黑体" w:hAnsi="黑体" w:eastAsia="黑体"/>
          <w:sz w:val="21"/>
          <w:szCs w:val="21"/>
          <w:highlight w:val="none"/>
        </w:rPr>
      </w:pPr>
      <w:bookmarkStart w:id="155" w:name="_Toc411519085"/>
      <w:bookmarkStart w:id="156" w:name="_Toc232387430"/>
      <w:bookmarkStart w:id="157" w:name="_Toc230774014"/>
      <w:bookmarkStart w:id="158" w:name="_Toc429647643"/>
      <w:bookmarkStart w:id="159" w:name="_Toc416360233"/>
      <w:bookmarkStart w:id="160" w:name="_Toc416446535"/>
      <w:bookmarkStart w:id="161" w:name="_Toc19264"/>
      <w:bookmarkStart w:id="162" w:name="_Toc232387432"/>
      <w:bookmarkStart w:id="163" w:name="_Toc230774016"/>
      <w:r>
        <w:rPr>
          <w:rFonts w:hint="eastAsia" w:ascii="黑体" w:hAnsi="黑体" w:eastAsia="黑体"/>
          <w:sz w:val="21"/>
          <w:szCs w:val="21"/>
          <w:highlight w:val="none"/>
        </w:rPr>
        <w:t>谈判小组与评审</w:t>
      </w:r>
      <w:bookmarkEnd w:id="155"/>
      <w:bookmarkEnd w:id="156"/>
      <w:bookmarkEnd w:id="157"/>
      <w:r>
        <w:rPr>
          <w:rFonts w:hint="eastAsia" w:ascii="黑体" w:hAnsi="黑体" w:eastAsia="黑体"/>
          <w:sz w:val="21"/>
          <w:szCs w:val="21"/>
          <w:highlight w:val="none"/>
        </w:rPr>
        <w:t>方法</w:t>
      </w:r>
      <w:bookmarkEnd w:id="158"/>
      <w:bookmarkEnd w:id="159"/>
      <w:bookmarkEnd w:id="160"/>
      <w:bookmarkEnd w:id="161"/>
    </w:p>
    <w:p>
      <w:pPr>
        <w:pStyle w:val="38"/>
        <w:numPr>
          <w:ilvl w:val="0"/>
          <w:numId w:val="58"/>
        </w:numPr>
        <w:tabs>
          <w:tab w:val="left" w:pos="567"/>
        </w:tabs>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谈判小组</w:t>
      </w:r>
    </w:p>
    <w:p>
      <w:pPr>
        <w:pStyle w:val="38"/>
        <w:numPr>
          <w:ilvl w:val="0"/>
          <w:numId w:val="59"/>
        </w:numPr>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谈判小组依法组建，负责评审活动。</w:t>
      </w:r>
    </w:p>
    <w:p>
      <w:pPr>
        <w:pStyle w:val="38"/>
        <w:numPr>
          <w:ilvl w:val="0"/>
          <w:numId w:val="59"/>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谈判小组将按照采购文件确定的评审方法进行评审。对采购文件中描述有歧义或前后不一致的地方，谈判小组有权按法律、法规的规定进行评判，但对同一条款的评判应适用于各供应商。</w:t>
      </w:r>
    </w:p>
    <w:p>
      <w:pPr>
        <w:pStyle w:val="38"/>
        <w:numPr>
          <w:ilvl w:val="0"/>
          <w:numId w:val="59"/>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评审专家（不含采购人代表）有下列情形之一的，受到邀请应主动提出回避：</w:t>
      </w:r>
    </w:p>
    <w:p>
      <w:pPr>
        <w:pStyle w:val="38"/>
        <w:numPr>
          <w:ilvl w:val="0"/>
          <w:numId w:val="60"/>
        </w:numPr>
        <w:tabs>
          <w:tab w:val="left" w:pos="993"/>
        </w:tabs>
        <w:spacing w:line="360" w:lineRule="auto"/>
        <w:ind w:left="993" w:hanging="993" w:firstLineChars="0"/>
        <w:rPr>
          <w:rFonts w:ascii="黑体" w:hAnsi="黑体" w:eastAsia="黑体"/>
          <w:sz w:val="21"/>
          <w:szCs w:val="21"/>
          <w:highlight w:val="none"/>
        </w:rPr>
      </w:pPr>
      <w:r>
        <w:rPr>
          <w:rFonts w:hint="eastAsia" w:ascii="黑体" w:hAnsi="黑体" w:eastAsia="黑体"/>
          <w:sz w:val="21"/>
          <w:szCs w:val="21"/>
          <w:highlight w:val="none"/>
        </w:rPr>
        <w:t>参加采购活动前三年内，与供应商存在劳动关系，或者担任过供应商的董事、监事，或者是供应商的控股股东或实际控制人。</w:t>
      </w:r>
    </w:p>
    <w:p>
      <w:pPr>
        <w:pStyle w:val="38"/>
        <w:numPr>
          <w:ilvl w:val="0"/>
          <w:numId w:val="60"/>
        </w:numPr>
        <w:tabs>
          <w:tab w:val="left" w:pos="993"/>
        </w:tabs>
        <w:spacing w:line="360" w:lineRule="auto"/>
        <w:ind w:left="993" w:hanging="993" w:firstLineChars="0"/>
        <w:rPr>
          <w:rFonts w:ascii="黑体" w:hAnsi="黑体" w:eastAsia="黑体"/>
          <w:sz w:val="21"/>
          <w:szCs w:val="21"/>
          <w:highlight w:val="none"/>
        </w:rPr>
      </w:pPr>
      <w:r>
        <w:rPr>
          <w:rFonts w:hint="eastAsia" w:ascii="黑体" w:hAnsi="黑体" w:eastAsia="黑体"/>
          <w:sz w:val="21"/>
          <w:szCs w:val="21"/>
          <w:highlight w:val="none"/>
        </w:rPr>
        <w:t>与供应商的法定代表人或者负责人有夫妻、直系血亲、三代以内旁系血亲或者近姻亲关系。</w:t>
      </w:r>
    </w:p>
    <w:p>
      <w:pPr>
        <w:pStyle w:val="38"/>
        <w:numPr>
          <w:ilvl w:val="0"/>
          <w:numId w:val="60"/>
        </w:numPr>
        <w:tabs>
          <w:tab w:val="left" w:pos="993"/>
        </w:tabs>
        <w:spacing w:line="360" w:lineRule="auto"/>
        <w:ind w:left="993" w:hanging="993" w:firstLineChars="0"/>
        <w:rPr>
          <w:rFonts w:ascii="黑体" w:hAnsi="黑体" w:eastAsia="黑体"/>
          <w:sz w:val="21"/>
          <w:szCs w:val="21"/>
          <w:highlight w:val="none"/>
        </w:rPr>
      </w:pPr>
      <w:r>
        <w:rPr>
          <w:rFonts w:hint="eastAsia" w:ascii="黑体" w:hAnsi="黑体" w:eastAsia="黑体"/>
          <w:sz w:val="21"/>
          <w:szCs w:val="21"/>
          <w:highlight w:val="none"/>
        </w:rPr>
        <w:t>与供应商有其他可能影响政府采购活动公平、公正进行的关系。</w:t>
      </w:r>
    </w:p>
    <w:p>
      <w:pPr>
        <w:pStyle w:val="38"/>
        <w:numPr>
          <w:ilvl w:val="0"/>
          <w:numId w:val="60"/>
        </w:numPr>
        <w:tabs>
          <w:tab w:val="left" w:pos="993"/>
        </w:tabs>
        <w:spacing w:line="360" w:lineRule="auto"/>
        <w:ind w:left="993" w:hanging="993" w:firstLineChars="0"/>
        <w:rPr>
          <w:rFonts w:ascii="黑体" w:hAnsi="黑体" w:eastAsia="黑体"/>
          <w:sz w:val="21"/>
          <w:szCs w:val="21"/>
          <w:highlight w:val="none"/>
        </w:rPr>
      </w:pPr>
      <w:r>
        <w:rPr>
          <w:rFonts w:hint="eastAsia" w:ascii="黑体" w:hAnsi="黑体" w:eastAsia="黑体"/>
          <w:sz w:val="21"/>
          <w:szCs w:val="21"/>
          <w:highlight w:val="none"/>
        </w:rPr>
        <w:t>就该采购项目采购文件征询过意见的。</w:t>
      </w:r>
    </w:p>
    <w:p>
      <w:pPr>
        <w:pStyle w:val="38"/>
        <w:numPr>
          <w:ilvl w:val="0"/>
          <w:numId w:val="59"/>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pPr>
        <w:pStyle w:val="38"/>
        <w:numPr>
          <w:ilvl w:val="0"/>
          <w:numId w:val="59"/>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谈判小组将以供应商签到顺序确定供应商的谈判顺序。</w:t>
      </w:r>
    </w:p>
    <w:p>
      <w:pPr>
        <w:pStyle w:val="38"/>
        <w:numPr>
          <w:ilvl w:val="0"/>
          <w:numId w:val="59"/>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谈判小组根据与供应商谈判情况可能实质性变动的内容，包括采购需求中的技术、服务要求以及合同草案条款。</w:t>
      </w:r>
    </w:p>
    <w:p>
      <w:pPr>
        <w:pStyle w:val="38"/>
        <w:numPr>
          <w:ilvl w:val="0"/>
          <w:numId w:val="58"/>
        </w:numPr>
        <w:tabs>
          <w:tab w:val="left" w:pos="567"/>
        </w:tabs>
        <w:spacing w:line="360" w:lineRule="auto"/>
        <w:ind w:firstLineChars="0"/>
        <w:rPr>
          <w:rFonts w:ascii="黑体" w:hAnsi="黑体" w:eastAsia="黑体"/>
          <w:sz w:val="21"/>
          <w:szCs w:val="21"/>
          <w:highlight w:val="none"/>
        </w:rPr>
      </w:pPr>
      <w:r>
        <w:rPr>
          <w:rFonts w:hint="eastAsia" w:ascii="黑体" w:hAnsi="黑体" w:eastAsia="黑体"/>
          <w:sz w:val="21"/>
          <w:szCs w:val="21"/>
          <w:highlight w:val="none"/>
        </w:rPr>
        <w:t>评审原则</w:t>
      </w:r>
    </w:p>
    <w:p>
      <w:pPr>
        <w:pStyle w:val="38"/>
        <w:numPr>
          <w:ilvl w:val="0"/>
          <w:numId w:val="61"/>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评审原则：评审工作应参考《中华人民共和国政府采购法》及其实施条例、《政府采购非招标采购方式管理办法》等相关法律、法规的规定，遵循“公开、公平、公正、择优、诚实信用”的原则进行。谈判小组将按照规定只对通过初步评审的响应文件进行评审和比较。</w:t>
      </w:r>
    </w:p>
    <w:p>
      <w:pPr>
        <w:pStyle w:val="38"/>
        <w:numPr>
          <w:ilvl w:val="0"/>
          <w:numId w:val="61"/>
        </w:numPr>
        <w:spacing w:line="360" w:lineRule="auto"/>
        <w:ind w:left="851" w:hanging="851" w:firstLineChars="0"/>
        <w:rPr>
          <w:rFonts w:ascii="黑体" w:hAnsi="黑体" w:eastAsia="黑体"/>
          <w:sz w:val="21"/>
          <w:szCs w:val="21"/>
          <w:highlight w:val="none"/>
        </w:rPr>
      </w:pPr>
      <w:r>
        <w:rPr>
          <w:rFonts w:hint="eastAsia" w:ascii="黑体" w:hAnsi="黑体" w:eastAsia="黑体"/>
          <w:sz w:val="21"/>
          <w:szCs w:val="21"/>
          <w:highlight w:val="none"/>
        </w:rPr>
        <w:t>参加谈判工作的所有人员应遵守《中华人民共和国政府采购法》及其实施条例、《政府采购非招标采购方式管理办法》以及国家和地方政府有关的规定，严格保密，确保评审工作公平、公正，任何单位和个人不得无理干预谈判小组的评审工作。</w:t>
      </w:r>
    </w:p>
    <w:p>
      <w:pPr>
        <w:pStyle w:val="38"/>
        <w:numPr>
          <w:ilvl w:val="0"/>
          <w:numId w:val="58"/>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评审方法：比照最低评标价法确定成交供应商，即在符合采购需求、质量和服务相等的前提下，以提出最后报价（即评审价）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pPr>
        <w:pStyle w:val="38"/>
        <w:numPr>
          <w:ilvl w:val="0"/>
          <w:numId w:val="58"/>
        </w:numPr>
        <w:tabs>
          <w:tab w:val="left" w:pos="567"/>
        </w:tabs>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谈判程序</w:t>
      </w:r>
    </w:p>
    <w:p>
      <w:pPr>
        <w:pStyle w:val="30"/>
        <w:numPr>
          <w:ilvl w:val="0"/>
          <w:numId w:val="62"/>
        </w:numPr>
        <w:spacing w:line="360" w:lineRule="auto"/>
        <w:ind w:firstLineChars="0"/>
        <w:rPr>
          <w:rFonts w:ascii="黑体" w:hAnsi="黑体" w:eastAsia="黑体"/>
          <w:szCs w:val="21"/>
          <w:highlight w:val="none"/>
        </w:rPr>
      </w:pPr>
      <w:r>
        <w:rPr>
          <w:rFonts w:hint="eastAsia" w:ascii="黑体" w:hAnsi="黑体" w:eastAsia="黑体"/>
          <w:szCs w:val="21"/>
          <w:highlight w:val="none"/>
        </w:rPr>
        <w:t>初步评审</w:t>
      </w:r>
    </w:p>
    <w:p>
      <w:pPr>
        <w:pStyle w:val="38"/>
        <w:numPr>
          <w:ilvl w:val="0"/>
          <w:numId w:val="63"/>
        </w:numPr>
        <w:tabs>
          <w:tab w:val="left" w:pos="1560"/>
        </w:tabs>
        <w:spacing w:line="360" w:lineRule="auto"/>
        <w:ind w:left="993" w:hanging="993" w:firstLineChars="0"/>
        <w:rPr>
          <w:rFonts w:ascii="黑体" w:hAnsi="黑体" w:eastAsia="黑体"/>
          <w:sz w:val="21"/>
          <w:szCs w:val="21"/>
          <w:highlight w:val="none"/>
        </w:rPr>
      </w:pPr>
      <w:r>
        <w:rPr>
          <w:rFonts w:hint="eastAsia" w:ascii="黑体" w:hAnsi="黑体" w:eastAsia="黑体"/>
          <w:sz w:val="21"/>
          <w:szCs w:val="21"/>
          <w:highlight w:val="none"/>
        </w:rPr>
        <w:t>资格性与符合性检查，谈判小组依据采购文件规定，从响应文件的有效性、完整性和对采购文件的响应程度进行审查，以确定是否对采购文件的实质性要求作出响应。</w:t>
      </w:r>
    </w:p>
    <w:p>
      <w:pPr>
        <w:pStyle w:val="30"/>
        <w:numPr>
          <w:ilvl w:val="0"/>
          <w:numId w:val="62"/>
        </w:numPr>
        <w:spacing w:line="360" w:lineRule="auto"/>
        <w:ind w:left="851" w:hanging="851" w:firstLineChars="0"/>
        <w:rPr>
          <w:rFonts w:ascii="黑体" w:hAnsi="黑体" w:eastAsia="黑体"/>
          <w:szCs w:val="21"/>
          <w:highlight w:val="none"/>
        </w:rPr>
      </w:pPr>
      <w:r>
        <w:rPr>
          <w:rFonts w:hint="eastAsia" w:ascii="黑体" w:hAnsi="黑体" w:eastAsia="黑体"/>
          <w:szCs w:val="21"/>
          <w:highlight w:val="none"/>
        </w:rPr>
        <w:t>《资格性与符合性审查表》（附表一）所列各项，供应商响应文件不满足采购文件要求的，将被认定为无效谈判。</w:t>
      </w:r>
    </w:p>
    <w:p>
      <w:pPr>
        <w:pStyle w:val="30"/>
        <w:numPr>
          <w:ilvl w:val="0"/>
          <w:numId w:val="62"/>
        </w:numPr>
        <w:spacing w:line="360" w:lineRule="auto"/>
        <w:ind w:left="851" w:hanging="851" w:firstLineChars="0"/>
        <w:rPr>
          <w:rFonts w:ascii="黑体" w:hAnsi="黑体" w:eastAsia="黑体"/>
          <w:szCs w:val="21"/>
          <w:highlight w:val="none"/>
        </w:rPr>
      </w:pPr>
      <w:bookmarkStart w:id="164" w:name="_Toc429647644"/>
      <w:bookmarkStart w:id="165" w:name="_Toc416446536"/>
      <w:bookmarkStart w:id="166" w:name="_Toc416360234"/>
      <w:r>
        <w:rPr>
          <w:rFonts w:hint="eastAsia" w:ascii="黑体" w:hAnsi="黑体" w:eastAsia="黑体"/>
          <w:szCs w:val="21"/>
          <w:highlight w:val="none"/>
        </w:rPr>
        <w:t>当通过符合性检查的供应商数量不足3家时，根据《中华人民共和国政府采购法》第三十六条规定，符合专业条件或者对采购文件作实质响应的供应商不足3家的，应当终止竞争性谈判采购活动，本项目采购失败。</w:t>
      </w:r>
    </w:p>
    <w:p>
      <w:pPr>
        <w:pStyle w:val="40"/>
        <w:numPr>
          <w:ilvl w:val="0"/>
          <w:numId w:val="33"/>
        </w:numPr>
        <w:spacing w:before="0" w:after="0" w:line="360" w:lineRule="auto"/>
        <w:rPr>
          <w:rFonts w:ascii="黑体" w:hAnsi="黑体" w:eastAsia="黑体"/>
          <w:sz w:val="21"/>
          <w:szCs w:val="21"/>
          <w:highlight w:val="none"/>
        </w:rPr>
      </w:pPr>
      <w:bookmarkStart w:id="167" w:name="_Toc7564"/>
      <w:r>
        <w:rPr>
          <w:rFonts w:hint="eastAsia" w:ascii="黑体" w:hAnsi="黑体" w:eastAsia="黑体"/>
          <w:sz w:val="21"/>
          <w:szCs w:val="21"/>
          <w:highlight w:val="none"/>
        </w:rPr>
        <w:t>评审与谈判</w:t>
      </w:r>
      <w:bookmarkEnd w:id="164"/>
      <w:bookmarkEnd w:id="165"/>
      <w:bookmarkEnd w:id="166"/>
      <w:bookmarkEnd w:id="167"/>
    </w:p>
    <w:p>
      <w:pPr>
        <w:pStyle w:val="30"/>
        <w:numPr>
          <w:ilvl w:val="0"/>
          <w:numId w:val="64"/>
        </w:numPr>
        <w:tabs>
          <w:tab w:val="left" w:pos="567"/>
        </w:tabs>
        <w:spacing w:line="360" w:lineRule="auto"/>
        <w:ind w:firstLineChars="0"/>
        <w:rPr>
          <w:rFonts w:ascii="黑体" w:hAnsi="黑体" w:eastAsia="黑体"/>
          <w:szCs w:val="21"/>
          <w:highlight w:val="none"/>
        </w:rPr>
      </w:pPr>
      <w:r>
        <w:rPr>
          <w:rFonts w:hint="eastAsia" w:ascii="黑体" w:hAnsi="黑体" w:eastAsia="黑体"/>
          <w:szCs w:val="21"/>
          <w:highlight w:val="none"/>
        </w:rPr>
        <w:t>评审</w:t>
      </w:r>
    </w:p>
    <w:p>
      <w:pPr>
        <w:pStyle w:val="41"/>
        <w:spacing w:line="360" w:lineRule="auto"/>
        <w:ind w:firstLine="420"/>
        <w:rPr>
          <w:rFonts w:ascii="黑体" w:hAnsi="黑体" w:eastAsia="黑体"/>
          <w:color w:val="auto"/>
          <w:sz w:val="21"/>
          <w:szCs w:val="21"/>
          <w:highlight w:val="none"/>
        </w:rPr>
      </w:pPr>
      <w:r>
        <w:rPr>
          <w:rFonts w:hint="eastAsia" w:ascii="黑体" w:hAnsi="黑体" w:eastAsia="黑体"/>
          <w:color w:val="auto"/>
          <w:sz w:val="21"/>
          <w:szCs w:val="21"/>
          <w:highlight w:val="none"/>
        </w:rPr>
        <w:t>谈判小组对响应文件的有效性、完整性和响应性进行审查时，可以要求供应商对响应文件中含义不明确、同类问题表述不一致或者明显文件计算错误的内容等作出必要的澄清、说明或者更正不得超出响应文件的范围或改变响应文件的实质性内容。</w:t>
      </w:r>
    </w:p>
    <w:p>
      <w:pPr>
        <w:tabs>
          <w:tab w:val="left" w:pos="900"/>
        </w:tabs>
        <w:spacing w:line="360" w:lineRule="auto"/>
        <w:ind w:firstLine="420" w:firstLineChars="200"/>
        <w:jc w:val="left"/>
        <w:rPr>
          <w:rFonts w:ascii="黑体" w:hAnsi="黑体" w:eastAsia="黑体"/>
          <w:szCs w:val="21"/>
          <w:highlight w:val="none"/>
        </w:rPr>
      </w:pPr>
      <w:r>
        <w:rPr>
          <w:rFonts w:hint="eastAsia" w:ascii="黑体" w:hAnsi="黑体" w:eastAsia="黑体"/>
          <w:szCs w:val="21"/>
          <w:highlight w:val="none"/>
        </w:rPr>
        <w:t>谈判小组要求供应商澄清、说明或者更正响应文件应当书面形式作出。供应商的澄清、说明或更正应当由法定代表人或其授权代表签字或者加盖公章。由授权代表签字的，应当附法定代表人授权书。供应商为自然人的，应当由本人签字并附身份证明。</w:t>
      </w:r>
    </w:p>
    <w:p>
      <w:pPr>
        <w:pStyle w:val="30"/>
        <w:numPr>
          <w:ilvl w:val="0"/>
          <w:numId w:val="64"/>
        </w:numPr>
        <w:tabs>
          <w:tab w:val="left" w:pos="567"/>
        </w:tabs>
        <w:spacing w:line="360" w:lineRule="auto"/>
        <w:ind w:firstLineChars="0"/>
        <w:rPr>
          <w:rFonts w:ascii="黑体" w:hAnsi="黑体" w:eastAsia="黑体"/>
          <w:szCs w:val="21"/>
          <w:highlight w:val="none"/>
        </w:rPr>
      </w:pPr>
      <w:r>
        <w:rPr>
          <w:rFonts w:hint="eastAsia" w:ascii="黑体" w:hAnsi="黑体" w:eastAsia="黑体"/>
          <w:szCs w:val="21"/>
          <w:highlight w:val="none"/>
        </w:rPr>
        <w:t>谈判</w:t>
      </w:r>
    </w:p>
    <w:p>
      <w:pPr>
        <w:pStyle w:val="30"/>
        <w:numPr>
          <w:ilvl w:val="0"/>
          <w:numId w:val="65"/>
        </w:numPr>
        <w:spacing w:line="360" w:lineRule="auto"/>
        <w:ind w:firstLineChars="0"/>
        <w:rPr>
          <w:rFonts w:ascii="黑体" w:hAnsi="黑体" w:eastAsia="黑体"/>
          <w:szCs w:val="21"/>
          <w:highlight w:val="none"/>
        </w:rPr>
      </w:pPr>
      <w:r>
        <w:rPr>
          <w:rFonts w:hint="eastAsia" w:ascii="黑体" w:hAnsi="黑体" w:eastAsia="黑体"/>
          <w:szCs w:val="21"/>
          <w:highlight w:val="none"/>
        </w:rPr>
        <w:t>第一阶段：谈判小组对通过资格性与符合性的响应文件进行审核。</w:t>
      </w:r>
    </w:p>
    <w:p>
      <w:pPr>
        <w:pStyle w:val="30"/>
        <w:numPr>
          <w:ilvl w:val="0"/>
          <w:numId w:val="65"/>
        </w:numPr>
        <w:spacing w:line="360" w:lineRule="auto"/>
        <w:ind w:left="851" w:hanging="851" w:firstLineChars="0"/>
        <w:rPr>
          <w:rFonts w:ascii="黑体" w:hAnsi="黑体" w:eastAsia="黑体"/>
          <w:szCs w:val="21"/>
          <w:highlight w:val="none"/>
        </w:rPr>
      </w:pPr>
      <w:r>
        <w:rPr>
          <w:rFonts w:hint="eastAsia" w:ascii="黑体" w:hAnsi="黑体" w:eastAsia="黑体"/>
          <w:szCs w:val="21"/>
          <w:highlight w:val="none"/>
        </w:rPr>
        <w:t>第二阶段：谈判小组所有成员集中与单一供应商分别进行谈判。采购文件有实质性变动的，谈判小组应当以书面形式通知所有谈判的供应商。如谈判小组认为有必要，可进行二轮及以上轮次的谈判。</w:t>
      </w:r>
    </w:p>
    <w:p>
      <w:pPr>
        <w:pStyle w:val="30"/>
        <w:numPr>
          <w:ilvl w:val="0"/>
          <w:numId w:val="65"/>
        </w:numPr>
        <w:spacing w:line="360" w:lineRule="auto"/>
        <w:ind w:left="851" w:hanging="851" w:firstLineChars="0"/>
        <w:rPr>
          <w:rFonts w:ascii="黑体" w:hAnsi="黑体" w:eastAsia="黑体"/>
          <w:szCs w:val="21"/>
          <w:highlight w:val="none"/>
        </w:rPr>
      </w:pPr>
      <w:r>
        <w:rPr>
          <w:rFonts w:hint="eastAsia" w:ascii="黑体" w:hAnsi="黑体" w:eastAsia="黑体"/>
          <w:szCs w:val="21"/>
          <w:highlight w:val="none"/>
        </w:rPr>
        <w:t>第三阶段：谈判小组要求所有谈判的供应商在规定的时间内提出最后报价及承诺，包括：最新方案、最后报价及有关承诺等。</w:t>
      </w:r>
    </w:p>
    <w:p>
      <w:pPr>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在谈判过程中，谈判小组可以根据采购文件和谈判情况实质性变动采购需求中的技术、服务要求以及合同草案条款，但不得变动采购文件的其他内容。实质性变动的内容，须经采购人代表确认。</w:t>
      </w:r>
    </w:p>
    <w:p>
      <w:pPr>
        <w:pStyle w:val="38"/>
        <w:spacing w:line="360" w:lineRule="auto"/>
        <w:ind w:firstLine="433"/>
        <w:rPr>
          <w:rFonts w:ascii="黑体" w:hAnsi="黑体" w:eastAsia="黑体"/>
          <w:sz w:val="21"/>
          <w:szCs w:val="21"/>
          <w:highlight w:val="none"/>
        </w:rPr>
      </w:pPr>
      <w:r>
        <w:rPr>
          <w:rFonts w:hint="eastAsia" w:ascii="黑体" w:hAnsi="黑体" w:eastAsia="黑体"/>
          <w:sz w:val="21"/>
          <w:szCs w:val="21"/>
          <w:highlight w:val="none"/>
        </w:rPr>
        <w:t>供应商应在谈判小组规定的时间内密封提交最后报价，最后报价时间由谈判小组决定。谈判小组对通过详细商务、技术评审的谈判供应商的最后报价进行复核，看其是否有计算上的错误，修正错误的原则如下：</w:t>
      </w:r>
    </w:p>
    <w:p>
      <w:pPr>
        <w:pStyle w:val="41"/>
        <w:spacing w:line="360" w:lineRule="auto"/>
        <w:ind w:firstLine="420"/>
        <w:rPr>
          <w:rFonts w:ascii="黑体" w:hAnsi="黑体" w:eastAsia="黑体"/>
          <w:color w:val="auto"/>
          <w:sz w:val="21"/>
          <w:szCs w:val="21"/>
          <w:highlight w:val="none"/>
        </w:rPr>
      </w:pPr>
      <w:r>
        <w:rPr>
          <w:rFonts w:hint="eastAsia" w:ascii="黑体" w:hAnsi="黑体" w:eastAsia="黑体"/>
          <w:color w:val="auto"/>
          <w:sz w:val="21"/>
          <w:szCs w:val="21"/>
          <w:highlight w:val="none"/>
        </w:rPr>
        <w:t>谈判报价的总价金额与按单价汇总金额不一致的，以单价金额计算结果为准；单价金额小数点有明显错位的，应以总价为准，并修改单价；对不同文字文本响应文件的解释发生异议的，以中文文本为准。</w:t>
      </w:r>
    </w:p>
    <w:p>
      <w:pPr>
        <w:pStyle w:val="41"/>
        <w:spacing w:line="360" w:lineRule="auto"/>
        <w:ind w:firstLine="420"/>
        <w:rPr>
          <w:rFonts w:ascii="黑体" w:hAnsi="黑体" w:eastAsia="黑体"/>
          <w:color w:val="auto"/>
          <w:sz w:val="21"/>
          <w:szCs w:val="21"/>
          <w:highlight w:val="none"/>
        </w:rPr>
      </w:pPr>
      <w:r>
        <w:rPr>
          <w:rFonts w:hint="eastAsia" w:ascii="黑体" w:hAnsi="黑体" w:eastAsia="黑体"/>
          <w:color w:val="auto"/>
          <w:sz w:val="21"/>
          <w:szCs w:val="21"/>
          <w:highlight w:val="none"/>
        </w:rPr>
        <w:t>谈判小组将按上述修正错误的方法调整响应文件中的报价，调整后的价格对供应商具有约束力。如果供应商不接受修正后的价格，则其报价将被拒绝。</w:t>
      </w:r>
    </w:p>
    <w:p>
      <w:pPr>
        <w:pStyle w:val="41"/>
        <w:spacing w:line="360" w:lineRule="auto"/>
        <w:ind w:firstLine="420"/>
        <w:rPr>
          <w:rFonts w:ascii="黑体" w:hAnsi="黑体" w:eastAsia="黑体"/>
          <w:color w:val="auto"/>
          <w:sz w:val="21"/>
          <w:szCs w:val="21"/>
          <w:highlight w:val="none"/>
        </w:rPr>
      </w:pPr>
      <w:r>
        <w:rPr>
          <w:rFonts w:hint="eastAsia" w:ascii="黑体" w:hAnsi="黑体" w:eastAsia="黑体"/>
          <w:color w:val="auto"/>
          <w:sz w:val="21"/>
          <w:szCs w:val="21"/>
          <w:highlight w:val="none"/>
        </w:rPr>
        <w:t>谈判小组对供应商的响应文件、澄清、说明或者更正响应文件及最后报价等方面进行评审。谈判小组将校核后各供应商的最后报价从低到高排序。</w:t>
      </w:r>
    </w:p>
    <w:p>
      <w:pPr>
        <w:pStyle w:val="30"/>
        <w:numPr>
          <w:ilvl w:val="0"/>
          <w:numId w:val="64"/>
        </w:numPr>
        <w:tabs>
          <w:tab w:val="left" w:pos="567"/>
        </w:tabs>
        <w:spacing w:before="156" w:beforeLines="50"/>
        <w:ind w:firstLineChars="0"/>
        <w:rPr>
          <w:rFonts w:ascii="黑体" w:hAnsi="黑体" w:eastAsia="黑体"/>
          <w:b/>
          <w:bCs/>
          <w:szCs w:val="21"/>
          <w:highlight w:val="none"/>
        </w:rPr>
      </w:pPr>
      <w:r>
        <w:rPr>
          <w:rFonts w:hint="eastAsia" w:ascii="黑体" w:hAnsi="黑体" w:eastAsia="黑体"/>
          <w:b/>
          <w:bCs/>
          <w:szCs w:val="21"/>
          <w:highlight w:val="none"/>
        </w:rPr>
        <w:t>政府采购政策</w:t>
      </w:r>
    </w:p>
    <w:p>
      <w:pPr>
        <w:pStyle w:val="30"/>
        <w:numPr>
          <w:ilvl w:val="0"/>
          <w:numId w:val="66"/>
        </w:numPr>
        <w:spacing w:line="360" w:lineRule="auto"/>
        <w:ind w:firstLineChars="0"/>
        <w:rPr>
          <w:rFonts w:ascii="黑体" w:hAnsi="黑体" w:eastAsia="黑体" w:cs="Times New Roman"/>
          <w:b/>
          <w:bCs/>
          <w:szCs w:val="21"/>
          <w:highlight w:val="none"/>
        </w:rPr>
      </w:pPr>
      <w:r>
        <w:rPr>
          <w:rFonts w:hint="eastAsia" w:ascii="黑体" w:hAnsi="黑体" w:eastAsia="黑体" w:cs="Times New Roman"/>
          <w:b/>
          <w:bCs/>
          <w:szCs w:val="21"/>
          <w:highlight w:val="none"/>
        </w:rPr>
        <w:t>对小型或微型企业投标的扶持</w:t>
      </w:r>
    </w:p>
    <w:p>
      <w:pPr>
        <w:pStyle w:val="30"/>
        <w:numPr>
          <w:ilvl w:val="0"/>
          <w:numId w:val="67"/>
        </w:numPr>
        <w:tabs>
          <w:tab w:val="left" w:pos="993"/>
        </w:tabs>
        <w:spacing w:line="360" w:lineRule="auto"/>
        <w:ind w:left="0" w:firstLine="0" w:firstLineChars="0"/>
        <w:rPr>
          <w:rFonts w:ascii="黑体" w:hAnsi="黑体" w:eastAsia="黑体" w:cs="Times New Roman"/>
          <w:bCs/>
          <w:szCs w:val="21"/>
          <w:highlight w:val="none"/>
        </w:rPr>
      </w:pPr>
      <w:r>
        <w:rPr>
          <w:rFonts w:hint="eastAsia" w:ascii="黑体" w:hAnsi="黑体" w:eastAsia="黑体" w:cs="Times New Roman"/>
          <w:bCs/>
          <w:szCs w:val="21"/>
          <w:highlight w:val="none"/>
        </w:rPr>
        <w:t xml:space="preserve">根据财政部、工业和信息化部制定《政府采购促进中小企业发展管理办法》的规定，对小微企业报价给予 </w:t>
      </w:r>
      <w:r>
        <w:rPr>
          <w:rFonts w:ascii="黑体" w:hAnsi="黑体" w:eastAsia="黑体" w:cs="Times New Roman"/>
          <w:bCs/>
          <w:szCs w:val="21"/>
          <w:highlight w:val="none"/>
        </w:rPr>
        <w:t>10</w:t>
      </w:r>
      <w:r>
        <w:rPr>
          <w:rFonts w:hint="eastAsia" w:ascii="黑体" w:hAnsi="黑体" w:eastAsia="黑体" w:cs="Times New Roman"/>
          <w:bCs/>
          <w:szCs w:val="21"/>
          <w:highlight w:val="none"/>
        </w:rPr>
        <w:t>%的扣除，用扣除后的价格参与评审。参加政府采购活动的中小企业应当提供《中小企业声明函》（格式详见响应文件格式）；</w:t>
      </w:r>
    </w:p>
    <w:p>
      <w:pPr>
        <w:pStyle w:val="30"/>
        <w:numPr>
          <w:ilvl w:val="0"/>
          <w:numId w:val="66"/>
        </w:numPr>
        <w:spacing w:line="360" w:lineRule="auto"/>
        <w:ind w:firstLineChars="0"/>
        <w:rPr>
          <w:rFonts w:ascii="黑体" w:hAnsi="黑体" w:eastAsia="黑体" w:cs="Times New Roman"/>
          <w:b/>
          <w:bCs/>
          <w:szCs w:val="21"/>
          <w:highlight w:val="none"/>
        </w:rPr>
      </w:pPr>
      <w:r>
        <w:rPr>
          <w:rFonts w:hint="eastAsia" w:ascii="黑体" w:hAnsi="黑体" w:eastAsia="黑体" w:cs="Times New Roman"/>
          <w:b/>
          <w:bCs/>
          <w:szCs w:val="21"/>
          <w:highlight w:val="none"/>
        </w:rPr>
        <w:t>对监狱企业投标的扶持</w:t>
      </w:r>
    </w:p>
    <w:p>
      <w:pPr>
        <w:pStyle w:val="30"/>
        <w:numPr>
          <w:ilvl w:val="0"/>
          <w:numId w:val="68"/>
        </w:numPr>
        <w:tabs>
          <w:tab w:val="left" w:pos="993"/>
        </w:tabs>
        <w:spacing w:line="360" w:lineRule="auto"/>
        <w:ind w:left="0" w:firstLine="0" w:firstLineChars="0"/>
        <w:rPr>
          <w:rFonts w:ascii="黑体" w:hAnsi="黑体" w:eastAsia="黑体" w:cs="Times New Roman"/>
          <w:bCs/>
          <w:szCs w:val="21"/>
          <w:highlight w:val="none"/>
        </w:rPr>
      </w:pPr>
      <w:r>
        <w:rPr>
          <w:rFonts w:hint="eastAsia" w:ascii="黑体" w:hAnsi="黑体" w:eastAsia="黑体" w:cs="Times New Roman"/>
          <w:bCs/>
          <w:szCs w:val="21"/>
          <w:highlight w:val="none"/>
        </w:rPr>
        <w:t>为发挥政府采购支持监狱企业发展的作用，根据《关于政府采购支持监狱企业发展有关问题的通知》（财库</w:t>
      </w:r>
      <w:r>
        <w:rPr>
          <w:rFonts w:ascii="黑体" w:hAnsi="黑体" w:eastAsia="黑体" w:cs="Times New Roman"/>
          <w:bCs/>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黑体" w:hAnsi="黑体" w:eastAsia="黑体" w:cs="Times New Roman"/>
          <w:bCs/>
          <w:szCs w:val="21"/>
          <w:highlight w:val="none"/>
        </w:rPr>
        <w:t>格式详见响应文件格式）；</w:t>
      </w:r>
    </w:p>
    <w:p>
      <w:pPr>
        <w:pStyle w:val="30"/>
        <w:numPr>
          <w:ilvl w:val="0"/>
          <w:numId w:val="66"/>
        </w:numPr>
        <w:spacing w:line="360" w:lineRule="auto"/>
        <w:ind w:firstLineChars="0"/>
        <w:rPr>
          <w:rFonts w:ascii="黑体" w:hAnsi="黑体" w:eastAsia="黑体" w:cs="Times New Roman"/>
          <w:b/>
          <w:bCs/>
          <w:szCs w:val="21"/>
          <w:highlight w:val="none"/>
        </w:rPr>
      </w:pPr>
      <w:r>
        <w:rPr>
          <w:rFonts w:hint="eastAsia" w:ascii="黑体" w:hAnsi="黑体" w:eastAsia="黑体" w:cs="Times New Roman"/>
          <w:b/>
          <w:bCs/>
          <w:szCs w:val="21"/>
          <w:highlight w:val="none"/>
        </w:rPr>
        <w:t>对残疾人福利性单位投标的扶持</w:t>
      </w:r>
    </w:p>
    <w:p>
      <w:pPr>
        <w:pStyle w:val="30"/>
        <w:numPr>
          <w:ilvl w:val="0"/>
          <w:numId w:val="69"/>
        </w:numPr>
        <w:tabs>
          <w:tab w:val="left" w:pos="709"/>
          <w:tab w:val="left" w:pos="993"/>
        </w:tabs>
        <w:spacing w:line="360" w:lineRule="auto"/>
        <w:ind w:left="0" w:firstLine="0" w:firstLineChars="0"/>
        <w:rPr>
          <w:rFonts w:ascii="黑体" w:hAnsi="黑体" w:eastAsia="黑体" w:cs="Times New Roman"/>
          <w:bCs/>
          <w:szCs w:val="21"/>
          <w:highlight w:val="none"/>
        </w:rPr>
      </w:pPr>
      <w:r>
        <w:rPr>
          <w:rFonts w:hint="eastAsia" w:ascii="黑体" w:hAnsi="黑体" w:eastAsia="黑体" w:cs="Times New Roman"/>
          <w:bCs/>
          <w:szCs w:val="21"/>
          <w:highlight w:val="none"/>
        </w:rPr>
        <w:t>为了发挥政府采购促进残疾人就业的作用，根据财政部</w:t>
      </w:r>
      <w:r>
        <w:rPr>
          <w:rFonts w:ascii="黑体" w:hAnsi="黑体" w:eastAsia="黑体" w:cs="Times New Roman"/>
          <w:bCs/>
          <w:szCs w:val="21"/>
          <w:highlight w:val="none"/>
        </w:rPr>
        <w:t xml:space="preserve"> </w:t>
      </w:r>
      <w:r>
        <w:rPr>
          <w:rFonts w:hint="eastAsia" w:ascii="黑体" w:hAnsi="黑体" w:eastAsia="黑体" w:cs="Times New Roman"/>
          <w:bCs/>
          <w:szCs w:val="21"/>
          <w:highlight w:val="none"/>
        </w:rPr>
        <w:t>民政部</w:t>
      </w:r>
      <w:r>
        <w:rPr>
          <w:rFonts w:ascii="黑体" w:hAnsi="黑体" w:eastAsia="黑体" w:cs="Times New Roman"/>
          <w:bCs/>
          <w:szCs w:val="21"/>
          <w:highlight w:val="none"/>
        </w:rPr>
        <w:t xml:space="preserve"> </w:t>
      </w:r>
      <w:r>
        <w:rPr>
          <w:rFonts w:hint="eastAsia" w:ascii="黑体" w:hAnsi="黑体" w:eastAsia="黑体" w:cs="Times New Roman"/>
          <w:bCs/>
          <w:szCs w:val="21"/>
          <w:highlight w:val="none"/>
        </w:rPr>
        <w:t>中国残疾人联合会《关于促进残疾人就业政府采购政策的通知》（财库</w:t>
      </w:r>
      <w:r>
        <w:rPr>
          <w:rFonts w:ascii="黑体" w:hAnsi="黑体" w:eastAsia="黑体" w:cs="Times New Roman"/>
          <w:bCs/>
          <w:szCs w:val="21"/>
          <w:highlight w:val="none"/>
        </w:rPr>
        <w:t>[2017]</w:t>
      </w:r>
      <w:r>
        <w:rPr>
          <w:rFonts w:hint="eastAsia" w:ascii="黑体" w:hAnsi="黑体" w:eastAsia="黑体" w:cs="Times New Roman"/>
          <w:bCs/>
          <w:szCs w:val="21"/>
          <w:highlight w:val="none"/>
        </w:rPr>
        <w:t>1</w:t>
      </w:r>
      <w:r>
        <w:rPr>
          <w:rFonts w:ascii="黑体" w:hAnsi="黑体" w:eastAsia="黑体" w:cs="Times New Roman"/>
          <w:bCs/>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黑体" w:hAnsi="黑体" w:eastAsia="黑体" w:cs="Times New Roman"/>
          <w:bCs/>
          <w:szCs w:val="21"/>
          <w:highlight w:val="none"/>
        </w:rPr>
        <w:t>格式详见响应文件格式）；</w:t>
      </w:r>
    </w:p>
    <w:p>
      <w:pPr>
        <w:pStyle w:val="30"/>
        <w:numPr>
          <w:ilvl w:val="0"/>
          <w:numId w:val="66"/>
        </w:numPr>
        <w:spacing w:line="360" w:lineRule="auto"/>
        <w:ind w:left="0" w:firstLine="0" w:firstLineChars="0"/>
        <w:rPr>
          <w:rFonts w:ascii="黑体" w:hAnsi="黑体" w:eastAsia="黑体" w:cs="Times New Roman"/>
          <w:bCs/>
          <w:szCs w:val="21"/>
          <w:highlight w:val="none"/>
        </w:rPr>
      </w:pPr>
      <w:r>
        <w:rPr>
          <w:rFonts w:hint="eastAsia" w:ascii="黑体" w:hAnsi="黑体" w:eastAsia="黑体" w:cs="Times New Roman"/>
          <w:bCs/>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黑体" w:hAnsi="黑体" w:eastAsia="黑体" w:cs="Times New Roman"/>
          <w:bCs/>
          <w:szCs w:val="21"/>
          <w:highlight w:val="none"/>
        </w:rPr>
        <w:t>4</w:t>
      </w:r>
      <w:r>
        <w:rPr>
          <w:rFonts w:hint="eastAsia" w:ascii="黑体" w:hAnsi="黑体" w:eastAsia="黑体" w:cs="Times New Roman"/>
          <w:bCs/>
          <w:szCs w:val="21"/>
          <w:highlight w:val="none"/>
        </w:rPr>
        <w:t>%的扣除</w:t>
      </w:r>
      <w:r>
        <w:rPr>
          <w:rFonts w:ascii="黑体" w:hAnsi="黑体" w:eastAsia="黑体" w:cs="Times New Roman"/>
          <w:bCs/>
          <w:szCs w:val="21"/>
          <w:highlight w:val="none"/>
        </w:rPr>
        <w:t>。</w:t>
      </w:r>
    </w:p>
    <w:p>
      <w:pPr>
        <w:pStyle w:val="30"/>
        <w:numPr>
          <w:ilvl w:val="0"/>
          <w:numId w:val="66"/>
        </w:numPr>
        <w:spacing w:line="360" w:lineRule="auto"/>
        <w:ind w:left="0" w:firstLine="0" w:firstLineChars="0"/>
        <w:rPr>
          <w:rFonts w:ascii="黑体" w:hAnsi="黑体" w:eastAsia="黑体" w:cs="Times New Roman"/>
          <w:b/>
          <w:bCs/>
          <w:szCs w:val="21"/>
          <w:highlight w:val="none"/>
        </w:rPr>
      </w:pPr>
      <w:bookmarkStart w:id="168" w:name="_Hlk86745708"/>
      <w:r>
        <w:rPr>
          <w:rFonts w:hint="eastAsia" w:ascii="黑体" w:hAnsi="黑体" w:eastAsia="黑体" w:cs="Times New Roman"/>
          <w:b/>
          <w:bCs/>
          <w:szCs w:val="21"/>
          <w:highlight w:val="none"/>
        </w:rPr>
        <w:t>监狱企业产品、残疾人福利性单位产品价格扣除</w:t>
      </w:r>
    </w:p>
    <w:p>
      <w:pPr>
        <w:spacing w:line="360" w:lineRule="auto"/>
        <w:ind w:left="-141" w:leftChars="-67" w:firstLine="567" w:firstLineChars="270"/>
        <w:rPr>
          <w:rFonts w:ascii="黑体" w:hAnsi="黑体" w:eastAsia="黑体" w:cs="Times New Roman"/>
          <w:bCs/>
          <w:szCs w:val="21"/>
          <w:highlight w:val="none"/>
        </w:rPr>
      </w:pPr>
      <w:r>
        <w:rPr>
          <w:rFonts w:hint="eastAsia" w:ascii="黑体" w:hAnsi="黑体" w:eastAsia="黑体" w:cs="Times New Roman"/>
          <w:bCs/>
          <w:szCs w:val="21"/>
          <w:highlight w:val="none"/>
        </w:rPr>
        <w:t>监狱企业、</w:t>
      </w:r>
      <w:r>
        <w:rPr>
          <w:rFonts w:ascii="黑体" w:hAnsi="黑体" w:eastAsia="黑体" w:cs="Times New Roman"/>
          <w:bCs/>
          <w:szCs w:val="21"/>
          <w:highlight w:val="none"/>
        </w:rPr>
        <w:t>残疾人福利性单位视同小微企业</w:t>
      </w:r>
      <w:r>
        <w:rPr>
          <w:rFonts w:hint="eastAsia" w:ascii="黑体" w:hAnsi="黑体" w:eastAsia="黑体" w:cs="Times New Roman"/>
          <w:bCs/>
          <w:szCs w:val="21"/>
          <w:highlight w:val="none"/>
        </w:rPr>
        <w:t>，按上述第</w:t>
      </w:r>
      <w:r>
        <w:rPr>
          <w:rFonts w:ascii="黑体" w:hAnsi="黑体" w:eastAsia="黑体" w:cs="Times New Roman"/>
          <w:bCs/>
          <w:szCs w:val="21"/>
          <w:highlight w:val="none"/>
        </w:rPr>
        <w:t>24.3.1.1</w:t>
      </w:r>
      <w:r>
        <w:rPr>
          <w:rFonts w:hint="eastAsia" w:ascii="黑体" w:hAnsi="黑体" w:eastAsia="黑体" w:cs="Times New Roman"/>
          <w:bCs/>
          <w:szCs w:val="21"/>
          <w:highlight w:val="none"/>
        </w:rPr>
        <w:t>、</w:t>
      </w:r>
      <w:r>
        <w:rPr>
          <w:rFonts w:ascii="黑体" w:hAnsi="黑体" w:eastAsia="黑体" w:cs="Times New Roman"/>
          <w:bCs/>
          <w:szCs w:val="21"/>
          <w:highlight w:val="none"/>
        </w:rPr>
        <w:t>24.3.4</w:t>
      </w:r>
      <w:r>
        <w:rPr>
          <w:rFonts w:hint="eastAsia" w:ascii="黑体" w:hAnsi="黑体" w:eastAsia="黑体" w:cs="Times New Roman"/>
          <w:bCs/>
          <w:szCs w:val="21"/>
          <w:highlight w:val="none"/>
        </w:rPr>
        <w:t>条款享受评审中价格扣除。</w:t>
      </w:r>
    </w:p>
    <w:bookmarkEnd w:id="168"/>
    <w:p>
      <w:pPr>
        <w:pStyle w:val="30"/>
        <w:numPr>
          <w:ilvl w:val="0"/>
          <w:numId w:val="66"/>
        </w:numPr>
        <w:spacing w:line="360" w:lineRule="auto"/>
        <w:ind w:left="0" w:firstLine="0" w:firstLineChars="0"/>
        <w:rPr>
          <w:rFonts w:ascii="黑体" w:hAnsi="黑体" w:eastAsia="黑体" w:cs="Times New Roman"/>
          <w:b/>
          <w:bCs/>
          <w:szCs w:val="21"/>
          <w:highlight w:val="none"/>
        </w:rPr>
      </w:pPr>
      <w:r>
        <w:rPr>
          <w:rFonts w:hint="eastAsia" w:ascii="黑体" w:hAnsi="黑体" w:eastAsia="黑体" w:cs="Times New Roman"/>
          <w:b/>
          <w:bCs/>
          <w:szCs w:val="21"/>
          <w:highlight w:val="none"/>
        </w:rPr>
        <w:t>供应商同时为小型、微型企业、监狱企业、残疾人福利性单位任两种或以上情况的，评审中只享受一次价格扣除，不重复进行价格扣除。</w:t>
      </w:r>
    </w:p>
    <w:p>
      <w:pPr>
        <w:pStyle w:val="30"/>
        <w:numPr>
          <w:ilvl w:val="0"/>
          <w:numId w:val="66"/>
        </w:numPr>
        <w:spacing w:line="360" w:lineRule="auto"/>
        <w:ind w:left="0" w:firstLine="0" w:firstLineChars="0"/>
        <w:rPr>
          <w:rFonts w:ascii="黑体" w:hAnsi="黑体" w:eastAsia="黑体" w:cs="Times New Roman"/>
          <w:highlight w:val="none"/>
        </w:rPr>
      </w:pPr>
      <w:r>
        <w:rPr>
          <w:rFonts w:hint="eastAsia" w:ascii="黑体" w:hAnsi="黑体" w:eastAsia="黑体" w:cs="Times New Roman"/>
          <w:highlight w:val="none"/>
        </w:rPr>
        <w:t>节能产品、环境标志产品价格扣除：</w:t>
      </w:r>
    </w:p>
    <w:p>
      <w:pPr>
        <w:pStyle w:val="30"/>
        <w:numPr>
          <w:ilvl w:val="0"/>
          <w:numId w:val="70"/>
        </w:numPr>
        <w:tabs>
          <w:tab w:val="left" w:pos="851"/>
        </w:tabs>
        <w:spacing w:line="360" w:lineRule="auto"/>
        <w:ind w:left="0" w:firstLine="0" w:firstLineChars="0"/>
        <w:rPr>
          <w:rFonts w:ascii="黑体" w:hAnsi="黑体" w:eastAsia="黑体" w:cs="Times New Roman"/>
          <w:szCs w:val="21"/>
          <w:highlight w:val="none"/>
        </w:rPr>
      </w:pPr>
      <w:r>
        <w:rPr>
          <w:rFonts w:hint="eastAsia" w:ascii="黑体" w:hAnsi="黑体" w:eastAsia="黑体" w:cs="Times New Roman"/>
          <w:szCs w:val="21"/>
          <w:highlight w:val="none"/>
        </w:rPr>
        <w:t>产品(针对非政府强制采购产品)纳入财政部发展改革委颁发最新节能产品政府采购品目清单的，</w:t>
      </w:r>
      <w:r>
        <w:rPr>
          <w:rFonts w:hint="eastAsia" w:ascii="黑体" w:hAnsi="黑体" w:eastAsia="黑体" w:cs="Times New Roman"/>
          <w:bCs/>
          <w:highlight w:val="none"/>
        </w:rPr>
        <w:t>对</w:t>
      </w:r>
      <w:r>
        <w:rPr>
          <w:rFonts w:hint="eastAsia" w:ascii="黑体" w:hAnsi="黑体" w:eastAsia="黑体" w:cs="Times New Roman"/>
          <w:szCs w:val="21"/>
          <w:highlight w:val="none"/>
        </w:rPr>
        <w:t>节能</w:t>
      </w:r>
      <w:r>
        <w:rPr>
          <w:rFonts w:hint="eastAsia" w:ascii="黑体" w:hAnsi="黑体" w:eastAsia="黑体" w:cs="Times New Roman"/>
          <w:bCs/>
          <w:highlight w:val="none"/>
        </w:rPr>
        <w:t>产品的价格给予1%的扣除，用扣除后的价格参与评审。（</w:t>
      </w:r>
      <w:r>
        <w:rPr>
          <w:rFonts w:hint="eastAsia" w:ascii="黑体" w:hAnsi="黑体" w:eastAsia="黑体" w:cs="Times New Roman"/>
          <w:szCs w:val="21"/>
          <w:highlight w:val="none"/>
        </w:rPr>
        <w:t>提供产品有效期内的节能产品认证证书复印件加盖供应商公章）。</w:t>
      </w:r>
    </w:p>
    <w:p>
      <w:pPr>
        <w:pStyle w:val="30"/>
        <w:numPr>
          <w:ilvl w:val="0"/>
          <w:numId w:val="70"/>
        </w:numPr>
        <w:tabs>
          <w:tab w:val="left" w:pos="851"/>
        </w:tabs>
        <w:spacing w:line="360" w:lineRule="auto"/>
        <w:ind w:left="0" w:firstLine="0" w:firstLineChars="0"/>
        <w:rPr>
          <w:rFonts w:ascii="黑体" w:hAnsi="黑体" w:eastAsia="黑体" w:cs="Times New Roman"/>
          <w:szCs w:val="21"/>
          <w:highlight w:val="none"/>
        </w:rPr>
      </w:pPr>
      <w:r>
        <w:rPr>
          <w:rFonts w:hint="eastAsia" w:ascii="黑体" w:hAnsi="黑体" w:eastAsia="黑体" w:cs="Times New Roman"/>
          <w:szCs w:val="21"/>
          <w:highlight w:val="none"/>
        </w:rPr>
        <w:t>产品纳入财政部环境保护部颁布最新环境标志产品政府采购品目清单的，</w:t>
      </w:r>
      <w:r>
        <w:rPr>
          <w:rFonts w:hint="eastAsia" w:ascii="黑体" w:hAnsi="黑体" w:eastAsia="黑体" w:cs="Times New Roman"/>
          <w:bCs/>
          <w:highlight w:val="none"/>
        </w:rPr>
        <w:t>对</w:t>
      </w:r>
      <w:r>
        <w:rPr>
          <w:rFonts w:hint="eastAsia" w:ascii="黑体" w:hAnsi="黑体" w:eastAsia="黑体" w:cs="Times New Roman"/>
          <w:szCs w:val="21"/>
          <w:highlight w:val="none"/>
        </w:rPr>
        <w:t>环境标志产品</w:t>
      </w:r>
      <w:r>
        <w:rPr>
          <w:rFonts w:hint="eastAsia" w:ascii="黑体" w:hAnsi="黑体" w:eastAsia="黑体" w:cs="Times New Roman"/>
          <w:bCs/>
          <w:highlight w:val="none"/>
        </w:rPr>
        <w:t>的价格给予1%的扣除，用扣除后的价格参与评审。（</w:t>
      </w:r>
      <w:r>
        <w:rPr>
          <w:rFonts w:hint="eastAsia" w:ascii="黑体" w:hAnsi="黑体" w:eastAsia="黑体" w:cs="Times New Roman"/>
          <w:szCs w:val="21"/>
          <w:highlight w:val="none"/>
        </w:rPr>
        <w:t>提供产品有效期内的环境标志产品认证证书复印件加盖供应商公章）。</w:t>
      </w:r>
    </w:p>
    <w:p>
      <w:pPr>
        <w:pStyle w:val="30"/>
        <w:numPr>
          <w:ilvl w:val="0"/>
          <w:numId w:val="64"/>
        </w:numPr>
        <w:tabs>
          <w:tab w:val="left" w:pos="567"/>
        </w:tabs>
        <w:spacing w:line="360" w:lineRule="auto"/>
        <w:ind w:firstLineChars="0"/>
        <w:rPr>
          <w:rFonts w:ascii="黑体" w:hAnsi="黑体" w:eastAsia="黑体"/>
          <w:szCs w:val="21"/>
          <w:highlight w:val="none"/>
        </w:rPr>
      </w:pPr>
      <w:r>
        <w:rPr>
          <w:rFonts w:hint="eastAsia" w:ascii="黑体" w:hAnsi="黑体" w:eastAsia="黑体"/>
          <w:szCs w:val="21"/>
          <w:highlight w:val="none"/>
        </w:rPr>
        <w:t>推荐成交候选人</w:t>
      </w:r>
    </w:p>
    <w:p>
      <w:pPr>
        <w:pStyle w:val="41"/>
        <w:spacing w:line="360" w:lineRule="auto"/>
        <w:ind w:firstLine="420"/>
        <w:rPr>
          <w:rFonts w:ascii="黑体" w:hAnsi="黑体" w:eastAsia="黑体"/>
          <w:color w:val="auto"/>
          <w:sz w:val="21"/>
          <w:szCs w:val="21"/>
          <w:highlight w:val="none"/>
        </w:rPr>
      </w:pPr>
      <w:r>
        <w:rPr>
          <w:rFonts w:hint="eastAsia" w:ascii="黑体" w:hAnsi="黑体" w:eastAsia="黑体"/>
          <w:color w:val="auto"/>
          <w:sz w:val="21"/>
          <w:szCs w:val="21"/>
          <w:highlight w:val="none"/>
        </w:rPr>
        <w:t>谈判小组应从质量和服务均能满足采购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pPr>
        <w:pStyle w:val="40"/>
        <w:numPr>
          <w:ilvl w:val="0"/>
          <w:numId w:val="33"/>
        </w:numPr>
        <w:spacing w:before="0" w:after="0" w:line="360" w:lineRule="auto"/>
        <w:rPr>
          <w:rFonts w:ascii="黑体" w:hAnsi="黑体" w:eastAsia="黑体"/>
          <w:sz w:val="21"/>
          <w:szCs w:val="21"/>
          <w:highlight w:val="none"/>
        </w:rPr>
      </w:pPr>
      <w:bookmarkStart w:id="169" w:name="_Toc416360235"/>
      <w:bookmarkStart w:id="170" w:name="_Toc230774015"/>
      <w:bookmarkStart w:id="171" w:name="_Toc232387431"/>
      <w:bookmarkStart w:id="172" w:name="_Toc429647645"/>
      <w:bookmarkStart w:id="173" w:name="_Toc416446537"/>
      <w:bookmarkStart w:id="174" w:name="_Toc411519086"/>
      <w:bookmarkStart w:id="175" w:name="_Toc16032"/>
      <w:r>
        <w:rPr>
          <w:rFonts w:hint="eastAsia" w:ascii="黑体" w:hAnsi="黑体" w:eastAsia="黑体"/>
          <w:sz w:val="21"/>
          <w:szCs w:val="21"/>
          <w:highlight w:val="none"/>
        </w:rPr>
        <w:t>实质性变动的权利</w:t>
      </w:r>
      <w:bookmarkEnd w:id="169"/>
      <w:bookmarkEnd w:id="170"/>
      <w:bookmarkEnd w:id="171"/>
      <w:bookmarkEnd w:id="172"/>
      <w:bookmarkEnd w:id="173"/>
      <w:bookmarkEnd w:id="174"/>
      <w:bookmarkEnd w:id="175"/>
    </w:p>
    <w:p>
      <w:pPr>
        <w:spacing w:line="360" w:lineRule="auto"/>
        <w:ind w:firstLine="500"/>
        <w:rPr>
          <w:rFonts w:ascii="黑体" w:hAnsi="黑体" w:eastAsia="黑体"/>
          <w:szCs w:val="21"/>
          <w:highlight w:val="none"/>
        </w:rPr>
      </w:pPr>
      <w:bookmarkStart w:id="176" w:name="_Toc201119931"/>
      <w:r>
        <w:rPr>
          <w:rFonts w:hint="eastAsia" w:ascii="黑体" w:hAnsi="黑体" w:eastAsia="黑体"/>
          <w:szCs w:val="21"/>
          <w:highlight w:val="none"/>
        </w:rPr>
        <w:t>在谈判过程中，谈判小组可以根据采购文件和谈判情况实质性变动采购需求中的技术、服务要求以及合同草案条款。</w:t>
      </w:r>
      <w:bookmarkEnd w:id="176"/>
    </w:p>
    <w:p>
      <w:pPr>
        <w:pStyle w:val="4"/>
        <w:numPr>
          <w:ilvl w:val="0"/>
          <w:numId w:val="32"/>
        </w:numPr>
        <w:spacing w:before="312" w:beforeLines="100" w:after="0" w:line="360" w:lineRule="auto"/>
        <w:ind w:left="426" w:hanging="426"/>
        <w:rPr>
          <w:rFonts w:ascii="黑体" w:hAnsi="黑体" w:eastAsia="黑体"/>
          <w:bCs w:val="0"/>
          <w:sz w:val="21"/>
          <w:szCs w:val="21"/>
          <w:highlight w:val="none"/>
        </w:rPr>
      </w:pPr>
      <w:bookmarkStart w:id="177" w:name="_Toc416446538"/>
      <w:bookmarkStart w:id="178" w:name="_Toc411519087"/>
      <w:bookmarkStart w:id="179" w:name="_Toc429647646"/>
      <w:bookmarkStart w:id="180" w:name="_Toc9515"/>
      <w:r>
        <w:rPr>
          <w:rFonts w:hint="eastAsia" w:ascii="黑体" w:hAnsi="黑体" w:eastAsia="黑体"/>
          <w:bCs w:val="0"/>
          <w:sz w:val="21"/>
          <w:szCs w:val="21"/>
          <w:highlight w:val="none"/>
        </w:rPr>
        <w:t>合同的授予</w:t>
      </w:r>
      <w:bookmarkEnd w:id="162"/>
      <w:bookmarkEnd w:id="163"/>
      <w:bookmarkEnd w:id="177"/>
      <w:bookmarkEnd w:id="178"/>
      <w:bookmarkEnd w:id="179"/>
      <w:bookmarkEnd w:id="180"/>
    </w:p>
    <w:p>
      <w:pPr>
        <w:pStyle w:val="40"/>
        <w:numPr>
          <w:ilvl w:val="0"/>
          <w:numId w:val="33"/>
        </w:numPr>
        <w:spacing w:before="0" w:after="0" w:line="360" w:lineRule="auto"/>
        <w:rPr>
          <w:rFonts w:ascii="黑体" w:hAnsi="黑体" w:eastAsia="黑体"/>
          <w:sz w:val="21"/>
          <w:szCs w:val="21"/>
          <w:highlight w:val="none"/>
        </w:rPr>
      </w:pPr>
      <w:bookmarkStart w:id="181" w:name="_Toc411519088"/>
      <w:bookmarkStart w:id="182" w:name="_Toc416446539"/>
      <w:bookmarkStart w:id="183" w:name="_Toc232387433"/>
      <w:bookmarkStart w:id="184" w:name="_Toc230774017"/>
      <w:bookmarkStart w:id="185" w:name="_Toc429647647"/>
      <w:bookmarkStart w:id="186" w:name="_Toc7974"/>
      <w:r>
        <w:rPr>
          <w:rFonts w:hint="eastAsia" w:ascii="黑体" w:hAnsi="黑体" w:eastAsia="黑体"/>
          <w:sz w:val="21"/>
          <w:szCs w:val="21"/>
          <w:highlight w:val="none"/>
        </w:rPr>
        <w:t>合同授予标准</w:t>
      </w:r>
      <w:bookmarkEnd w:id="181"/>
      <w:bookmarkEnd w:id="182"/>
      <w:bookmarkEnd w:id="183"/>
      <w:bookmarkEnd w:id="184"/>
      <w:bookmarkEnd w:id="185"/>
      <w:bookmarkEnd w:id="186"/>
    </w:p>
    <w:p>
      <w:pPr>
        <w:pStyle w:val="38"/>
        <w:spacing w:line="360" w:lineRule="auto"/>
        <w:ind w:firstLine="433"/>
        <w:rPr>
          <w:rFonts w:ascii="黑体" w:hAnsi="黑体" w:eastAsia="黑体"/>
          <w:sz w:val="21"/>
          <w:szCs w:val="21"/>
          <w:highlight w:val="none"/>
        </w:rPr>
      </w:pPr>
      <w:r>
        <w:rPr>
          <w:rFonts w:hint="eastAsia" w:ascii="黑体" w:hAnsi="黑体" w:eastAsia="黑体"/>
          <w:sz w:val="21"/>
          <w:szCs w:val="21"/>
          <w:highlight w:val="none"/>
        </w:rPr>
        <w:t>采购人将按谈判小组推荐的结果确定成交供应商，并将合同授予之。</w:t>
      </w:r>
    </w:p>
    <w:p>
      <w:pPr>
        <w:pStyle w:val="40"/>
        <w:numPr>
          <w:ilvl w:val="0"/>
          <w:numId w:val="33"/>
        </w:numPr>
        <w:spacing w:before="0" w:after="0" w:line="360" w:lineRule="auto"/>
        <w:rPr>
          <w:rFonts w:ascii="黑体" w:hAnsi="黑体" w:eastAsia="黑体"/>
          <w:sz w:val="21"/>
          <w:szCs w:val="21"/>
          <w:highlight w:val="none"/>
        </w:rPr>
      </w:pPr>
      <w:bookmarkStart w:id="187" w:name="_Toc411519090"/>
      <w:bookmarkStart w:id="188" w:name="_Toc416446541"/>
      <w:bookmarkStart w:id="189" w:name="_Toc429647649"/>
      <w:bookmarkStart w:id="190" w:name="_Toc18316"/>
      <w:r>
        <w:rPr>
          <w:rFonts w:hint="eastAsia" w:ascii="黑体" w:hAnsi="黑体" w:eastAsia="黑体"/>
          <w:sz w:val="21"/>
          <w:szCs w:val="21"/>
          <w:highlight w:val="none"/>
        </w:rPr>
        <w:t>发布成交结果公告</w:t>
      </w:r>
      <w:bookmarkEnd w:id="187"/>
      <w:bookmarkEnd w:id="188"/>
      <w:bookmarkEnd w:id="189"/>
      <w:bookmarkEnd w:id="190"/>
    </w:p>
    <w:p>
      <w:pPr>
        <w:pStyle w:val="38"/>
        <w:numPr>
          <w:ilvl w:val="0"/>
          <w:numId w:val="71"/>
        </w:numPr>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采购招标代理自成交供应商确定之日起2个工作日内，发出成交通知书，并在指定的政府采购信息媒体上公告成交结果及采购文件。</w:t>
      </w:r>
      <w:bookmarkStart w:id="191" w:name="_Toc375221269"/>
      <w:bookmarkStart w:id="192" w:name="_Toc411519091"/>
    </w:p>
    <w:p>
      <w:pPr>
        <w:pStyle w:val="38"/>
        <w:numPr>
          <w:ilvl w:val="0"/>
          <w:numId w:val="71"/>
        </w:numPr>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《成交通知书》是合同的一个组成部分，《成交通知书》对采购人和成交供应商均具有同等法律效力；《成交通知书》发出后，采购人改变成交结果，或者成交供应商放弃成交，应当承担相应的法律责任。</w:t>
      </w:r>
    </w:p>
    <w:bookmarkEnd w:id="191"/>
    <w:bookmarkEnd w:id="192"/>
    <w:p>
      <w:pPr>
        <w:pStyle w:val="4"/>
        <w:numPr>
          <w:ilvl w:val="0"/>
          <w:numId w:val="32"/>
        </w:numPr>
        <w:spacing w:before="156" w:beforeLines="50" w:after="0" w:line="360" w:lineRule="auto"/>
        <w:rPr>
          <w:rFonts w:ascii="黑体" w:hAnsi="黑体" w:eastAsia="黑体"/>
          <w:bCs w:val="0"/>
          <w:sz w:val="21"/>
          <w:szCs w:val="21"/>
          <w:highlight w:val="none"/>
        </w:rPr>
      </w:pPr>
      <w:bookmarkStart w:id="193" w:name="_Toc416446542"/>
      <w:bookmarkStart w:id="194" w:name="_Toc429647650"/>
      <w:bookmarkStart w:id="195" w:name="_Toc28104"/>
      <w:r>
        <w:rPr>
          <w:rFonts w:hint="eastAsia" w:ascii="黑体" w:hAnsi="黑体" w:eastAsia="黑体"/>
          <w:bCs w:val="0"/>
          <w:sz w:val="21"/>
          <w:szCs w:val="21"/>
          <w:highlight w:val="none"/>
        </w:rPr>
        <w:t>合同签订和履行</w:t>
      </w:r>
      <w:bookmarkEnd w:id="193"/>
      <w:bookmarkEnd w:id="194"/>
      <w:bookmarkEnd w:id="195"/>
    </w:p>
    <w:p>
      <w:pPr>
        <w:pStyle w:val="40"/>
        <w:numPr>
          <w:ilvl w:val="0"/>
          <w:numId w:val="33"/>
        </w:numPr>
        <w:spacing w:before="0" w:after="0" w:line="360" w:lineRule="auto"/>
        <w:rPr>
          <w:rFonts w:ascii="黑体" w:hAnsi="黑体" w:eastAsia="黑体"/>
          <w:sz w:val="21"/>
          <w:szCs w:val="21"/>
          <w:highlight w:val="none"/>
        </w:rPr>
      </w:pPr>
      <w:bookmarkStart w:id="196" w:name="_Toc429647651"/>
      <w:bookmarkStart w:id="197" w:name="_Toc416446543"/>
      <w:bookmarkStart w:id="198" w:name="_Toc13690"/>
      <w:r>
        <w:rPr>
          <w:rFonts w:ascii="黑体" w:hAnsi="黑体" w:eastAsia="黑体"/>
          <w:sz w:val="21"/>
          <w:szCs w:val="21"/>
          <w:highlight w:val="none"/>
        </w:rPr>
        <w:t>合同的签订</w:t>
      </w:r>
      <w:bookmarkEnd w:id="196"/>
      <w:bookmarkEnd w:id="197"/>
      <w:bookmarkEnd w:id="198"/>
    </w:p>
    <w:p>
      <w:pPr>
        <w:pStyle w:val="38"/>
        <w:numPr>
          <w:ilvl w:val="0"/>
          <w:numId w:val="72"/>
        </w:numPr>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采购人</w:t>
      </w:r>
      <w:r>
        <w:rPr>
          <w:rFonts w:ascii="黑体" w:hAnsi="黑体" w:eastAsia="黑体"/>
          <w:sz w:val="21"/>
          <w:szCs w:val="21"/>
          <w:highlight w:val="none"/>
        </w:rPr>
        <w:t>与</w:t>
      </w:r>
      <w:r>
        <w:rPr>
          <w:rFonts w:hint="eastAsia" w:ascii="黑体" w:hAnsi="黑体" w:eastAsia="黑体"/>
          <w:sz w:val="21"/>
          <w:szCs w:val="21"/>
          <w:highlight w:val="none"/>
        </w:rPr>
        <w:t>成交</w:t>
      </w:r>
      <w:r>
        <w:rPr>
          <w:rFonts w:ascii="黑体" w:hAnsi="黑体" w:eastAsia="黑体"/>
          <w:sz w:val="21"/>
          <w:szCs w:val="21"/>
          <w:highlight w:val="none"/>
        </w:rPr>
        <w:t>供应商</w:t>
      </w:r>
      <w:r>
        <w:rPr>
          <w:rFonts w:hint="eastAsia" w:ascii="黑体" w:hAnsi="黑体" w:eastAsia="黑体"/>
          <w:sz w:val="21"/>
          <w:szCs w:val="21"/>
          <w:highlight w:val="none"/>
        </w:rPr>
        <w:t>自成交</w:t>
      </w:r>
      <w:r>
        <w:rPr>
          <w:rFonts w:ascii="黑体" w:hAnsi="黑体" w:eastAsia="黑体"/>
          <w:sz w:val="21"/>
          <w:szCs w:val="21"/>
          <w:highlight w:val="none"/>
        </w:rPr>
        <w:t>通知书</w:t>
      </w:r>
      <w:r>
        <w:rPr>
          <w:rFonts w:hint="eastAsia" w:ascii="黑体" w:hAnsi="黑体" w:eastAsia="黑体"/>
          <w:sz w:val="21"/>
          <w:szCs w:val="21"/>
          <w:highlight w:val="none"/>
        </w:rPr>
        <w:t>发出之日起30日</w:t>
      </w:r>
      <w:r>
        <w:rPr>
          <w:rFonts w:ascii="黑体" w:hAnsi="黑体" w:eastAsia="黑体"/>
          <w:sz w:val="21"/>
          <w:szCs w:val="21"/>
          <w:highlight w:val="none"/>
        </w:rPr>
        <w:t>内，按照</w:t>
      </w:r>
      <w:r>
        <w:rPr>
          <w:rFonts w:hint="eastAsia" w:ascii="黑体" w:hAnsi="黑体" w:eastAsia="黑体"/>
          <w:sz w:val="21"/>
          <w:szCs w:val="21"/>
          <w:highlight w:val="none"/>
        </w:rPr>
        <w:t>采购文件</w:t>
      </w:r>
      <w:r>
        <w:rPr>
          <w:rFonts w:ascii="黑体" w:hAnsi="黑体" w:eastAsia="黑体"/>
          <w:sz w:val="21"/>
          <w:szCs w:val="21"/>
          <w:highlight w:val="none"/>
        </w:rPr>
        <w:t>和</w:t>
      </w:r>
      <w:r>
        <w:rPr>
          <w:rFonts w:hint="eastAsia" w:ascii="黑体" w:hAnsi="黑体" w:eastAsia="黑体"/>
          <w:sz w:val="21"/>
          <w:szCs w:val="21"/>
          <w:highlight w:val="none"/>
        </w:rPr>
        <w:t>成交</w:t>
      </w:r>
      <w:r>
        <w:rPr>
          <w:rFonts w:ascii="黑体" w:hAnsi="黑体" w:eastAsia="黑体"/>
          <w:sz w:val="21"/>
          <w:szCs w:val="21"/>
          <w:highlight w:val="none"/>
        </w:rPr>
        <w:t>供应商的</w:t>
      </w:r>
      <w:r>
        <w:rPr>
          <w:rFonts w:hint="eastAsia" w:ascii="黑体" w:hAnsi="黑体" w:eastAsia="黑体"/>
          <w:sz w:val="21"/>
          <w:szCs w:val="21"/>
          <w:highlight w:val="none"/>
        </w:rPr>
        <w:t>响应</w:t>
      </w:r>
      <w:r>
        <w:rPr>
          <w:rFonts w:ascii="黑体" w:hAnsi="黑体" w:eastAsia="黑体"/>
          <w:sz w:val="21"/>
          <w:szCs w:val="21"/>
          <w:highlight w:val="none"/>
        </w:rPr>
        <w:t>文件</w:t>
      </w:r>
      <w:r>
        <w:rPr>
          <w:rFonts w:hint="eastAsia" w:ascii="黑体" w:hAnsi="黑体" w:eastAsia="黑体"/>
          <w:sz w:val="21"/>
          <w:szCs w:val="21"/>
          <w:highlight w:val="none"/>
        </w:rPr>
        <w:t>承诺签订政府采购</w:t>
      </w:r>
      <w:r>
        <w:rPr>
          <w:rFonts w:ascii="黑体" w:hAnsi="黑体" w:eastAsia="黑体"/>
          <w:sz w:val="21"/>
          <w:szCs w:val="21"/>
          <w:highlight w:val="none"/>
        </w:rPr>
        <w:t>合同，</w:t>
      </w:r>
      <w:r>
        <w:rPr>
          <w:rFonts w:hint="eastAsia" w:ascii="黑体" w:hAnsi="黑体" w:eastAsia="黑体"/>
          <w:sz w:val="21"/>
          <w:szCs w:val="21"/>
          <w:highlight w:val="none"/>
        </w:rPr>
        <w:t>但不得超出采购文件和成交供应商响应文件的范围、也不得再行订立</w:t>
      </w:r>
      <w:r>
        <w:rPr>
          <w:rFonts w:ascii="黑体" w:hAnsi="黑体" w:eastAsia="黑体"/>
          <w:sz w:val="21"/>
          <w:szCs w:val="21"/>
          <w:highlight w:val="none"/>
        </w:rPr>
        <w:t>背离合同实质性内容的其他协议。</w:t>
      </w:r>
    </w:p>
    <w:p>
      <w:pPr>
        <w:pStyle w:val="30"/>
        <w:numPr>
          <w:ilvl w:val="0"/>
          <w:numId w:val="72"/>
        </w:numPr>
        <w:tabs>
          <w:tab w:val="left" w:pos="567"/>
          <w:tab w:val="left" w:pos="851"/>
        </w:tabs>
        <w:spacing w:line="360" w:lineRule="auto"/>
        <w:ind w:left="567" w:hanging="567" w:firstLineChars="0"/>
        <w:rPr>
          <w:rFonts w:ascii="黑体" w:hAnsi="黑体" w:eastAsia="黑体" w:cs="宋体"/>
          <w:szCs w:val="21"/>
          <w:highlight w:val="none"/>
        </w:rPr>
      </w:pPr>
      <w:r>
        <w:rPr>
          <w:rFonts w:hint="eastAsia" w:ascii="黑体" w:hAnsi="黑体" w:eastAsia="黑体"/>
          <w:bCs/>
          <w:szCs w:val="21"/>
          <w:highlight w:val="none"/>
        </w:rPr>
        <w:t>合同签订之日起</w:t>
      </w:r>
      <w:r>
        <w:rPr>
          <w:rFonts w:ascii="黑体" w:hAnsi="黑体" w:eastAsia="黑体"/>
          <w:bCs/>
          <w:szCs w:val="21"/>
          <w:highlight w:val="none"/>
        </w:rPr>
        <w:t>2个工作日内，成交供应商须将所签订的合同原件或者副本交采购代理机构处归档。</w:t>
      </w:r>
    </w:p>
    <w:p>
      <w:pPr>
        <w:pStyle w:val="38"/>
        <w:numPr>
          <w:ilvl w:val="0"/>
          <w:numId w:val="72"/>
        </w:numPr>
        <w:spacing w:line="360" w:lineRule="auto"/>
        <w:ind w:left="567" w:hanging="567" w:firstLineChars="0"/>
        <w:rPr>
          <w:rFonts w:ascii="黑体" w:hAnsi="黑体" w:eastAsia="黑体"/>
          <w:sz w:val="21"/>
          <w:szCs w:val="21"/>
          <w:highlight w:val="none"/>
        </w:rPr>
      </w:pPr>
      <w:r>
        <w:rPr>
          <w:rFonts w:hint="eastAsia" w:ascii="黑体" w:hAnsi="黑体" w:eastAsia="黑体"/>
          <w:sz w:val="21"/>
          <w:szCs w:val="21"/>
          <w:highlight w:val="none"/>
        </w:rPr>
        <w:t>成交供应商不能把成交项目分包给其他单位实施。</w:t>
      </w:r>
    </w:p>
    <w:p>
      <w:pPr>
        <w:pStyle w:val="40"/>
        <w:numPr>
          <w:ilvl w:val="0"/>
          <w:numId w:val="33"/>
        </w:numPr>
        <w:spacing w:before="0" w:after="0" w:line="360" w:lineRule="auto"/>
        <w:rPr>
          <w:rFonts w:ascii="黑体" w:hAnsi="黑体" w:eastAsia="黑体"/>
          <w:sz w:val="21"/>
          <w:szCs w:val="21"/>
          <w:highlight w:val="none"/>
        </w:rPr>
      </w:pPr>
      <w:bookmarkStart w:id="199" w:name="_Toc429645581"/>
      <w:bookmarkStart w:id="200" w:name="_Toc429647652"/>
      <w:bookmarkStart w:id="201" w:name="_Toc9509"/>
      <w:bookmarkStart w:id="202" w:name="_Toc416446546"/>
      <w:r>
        <w:rPr>
          <w:rFonts w:ascii="黑体" w:hAnsi="黑体" w:eastAsia="黑体"/>
          <w:sz w:val="21"/>
          <w:szCs w:val="21"/>
          <w:highlight w:val="none"/>
        </w:rPr>
        <w:t>履约</w:t>
      </w:r>
      <w:bookmarkEnd w:id="199"/>
      <w:bookmarkEnd w:id="200"/>
      <w:r>
        <w:rPr>
          <w:rFonts w:hint="eastAsia" w:ascii="黑体" w:hAnsi="黑体" w:eastAsia="黑体"/>
          <w:sz w:val="21"/>
          <w:szCs w:val="21"/>
          <w:highlight w:val="none"/>
        </w:rPr>
        <w:t>担保：本项目不收取履约保证金。</w:t>
      </w:r>
      <w:bookmarkEnd w:id="201"/>
    </w:p>
    <w:p>
      <w:pPr>
        <w:pStyle w:val="4"/>
        <w:spacing w:before="312" w:beforeLines="100" w:after="0" w:line="360" w:lineRule="auto"/>
        <w:rPr>
          <w:rFonts w:ascii="黑体" w:hAnsi="黑体" w:eastAsia="黑体"/>
          <w:bCs w:val="0"/>
          <w:sz w:val="21"/>
          <w:szCs w:val="21"/>
          <w:highlight w:val="none"/>
        </w:rPr>
      </w:pPr>
      <w:bookmarkStart w:id="203" w:name="_Toc429647654"/>
      <w:bookmarkStart w:id="204" w:name="_Toc24591"/>
      <w:r>
        <w:rPr>
          <w:rFonts w:hint="eastAsia" w:ascii="黑体" w:hAnsi="黑体" w:eastAsia="黑体"/>
          <w:bCs w:val="0"/>
          <w:sz w:val="21"/>
          <w:szCs w:val="21"/>
          <w:highlight w:val="none"/>
        </w:rPr>
        <w:t>八、询问、质疑、投诉</w:t>
      </w:r>
      <w:bookmarkEnd w:id="202"/>
      <w:bookmarkEnd w:id="203"/>
      <w:bookmarkEnd w:id="204"/>
    </w:p>
    <w:p>
      <w:pPr>
        <w:pStyle w:val="40"/>
        <w:numPr>
          <w:ilvl w:val="0"/>
          <w:numId w:val="33"/>
        </w:numPr>
        <w:spacing w:before="0" w:after="0" w:line="360" w:lineRule="auto"/>
        <w:rPr>
          <w:rFonts w:ascii="黑体" w:hAnsi="黑体" w:eastAsia="黑体"/>
          <w:bCs w:val="0"/>
          <w:sz w:val="21"/>
          <w:szCs w:val="21"/>
          <w:highlight w:val="none"/>
        </w:rPr>
      </w:pPr>
      <w:bookmarkStart w:id="205" w:name="_Toc14081"/>
      <w:bookmarkStart w:id="206" w:name="_Toc429647658"/>
      <w:bookmarkStart w:id="207" w:name="_Toc416446550"/>
      <w:r>
        <w:rPr>
          <w:rFonts w:hint="eastAsia" w:ascii="黑体" w:hAnsi="黑体" w:eastAsia="黑体"/>
          <w:bCs w:val="0"/>
          <w:sz w:val="21"/>
          <w:szCs w:val="21"/>
          <w:highlight w:val="none"/>
        </w:rPr>
        <w:t>询问</w:t>
      </w:r>
      <w:bookmarkEnd w:id="205"/>
    </w:p>
    <w:p>
      <w:pPr>
        <w:pStyle w:val="30"/>
        <w:numPr>
          <w:ilvl w:val="0"/>
          <w:numId w:val="73"/>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供应商对政府采购活动事项有疑问的，可以向采购人或者采购代理机构提出询问，询问可以口头方式提出，也可以书面方式提出。</w:t>
      </w:r>
    </w:p>
    <w:p>
      <w:pPr>
        <w:pStyle w:val="30"/>
        <w:numPr>
          <w:ilvl w:val="0"/>
          <w:numId w:val="73"/>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如采用书面方式提出询问，供应商为自然人的，询问函应当由本人签字；供应商为法人或者其他组织的，应当由法定代表人、主要负责人或授权代表签字（或盖私章），并加盖公章。供应商递交询问函时非法定代表人亲自办理的需提供法定代表人授权委托书（应载明授权代表的姓名或者名称、代理事项、具体权限、期限和相关事项）及授权代表身份证复印件。</w:t>
      </w:r>
    </w:p>
    <w:p>
      <w:pPr>
        <w:pStyle w:val="30"/>
        <w:numPr>
          <w:ilvl w:val="0"/>
          <w:numId w:val="73"/>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采购人或者采购代理机构在三个工作日内对供应商依法提出的询问作出答复。</w:t>
      </w:r>
    </w:p>
    <w:p>
      <w:pPr>
        <w:pStyle w:val="40"/>
        <w:numPr>
          <w:ilvl w:val="0"/>
          <w:numId w:val="33"/>
        </w:numPr>
        <w:spacing w:before="0" w:after="0" w:line="360" w:lineRule="auto"/>
        <w:rPr>
          <w:rFonts w:ascii="黑体" w:hAnsi="黑体" w:eastAsia="黑体"/>
          <w:bCs w:val="0"/>
          <w:sz w:val="21"/>
          <w:szCs w:val="21"/>
          <w:highlight w:val="none"/>
        </w:rPr>
      </w:pPr>
      <w:bookmarkStart w:id="208" w:name="_Toc27338"/>
      <w:r>
        <w:rPr>
          <w:rFonts w:hint="eastAsia" w:ascii="黑体" w:hAnsi="黑体" w:eastAsia="黑体"/>
          <w:bCs w:val="0"/>
          <w:sz w:val="21"/>
          <w:szCs w:val="21"/>
          <w:highlight w:val="none"/>
        </w:rPr>
        <w:t>质疑</w:t>
      </w:r>
      <w:bookmarkEnd w:id="208"/>
    </w:p>
    <w:p>
      <w:pPr>
        <w:pStyle w:val="30"/>
        <w:numPr>
          <w:ilvl w:val="0"/>
          <w:numId w:val="74"/>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供应商认为响应文件、采购过程、成交或者成交结果使自己的权益受到损害的，可以在知道或者应知其权益受到损害之日起7个工作日内，以书面形式向采购人、采购代理机构提出质疑。</w:t>
      </w:r>
    </w:p>
    <w:p>
      <w:pPr>
        <w:pStyle w:val="30"/>
        <w:numPr>
          <w:ilvl w:val="0"/>
          <w:numId w:val="74"/>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提出质疑的供应商应当是参与所质疑项目采购活动的供应商。</w:t>
      </w:r>
    </w:p>
    <w:p>
      <w:pPr>
        <w:pStyle w:val="30"/>
        <w:numPr>
          <w:ilvl w:val="0"/>
          <w:numId w:val="74"/>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提交要求：</w:t>
      </w:r>
    </w:p>
    <w:p>
      <w:pPr>
        <w:pStyle w:val="30"/>
        <w:numPr>
          <w:ilvl w:val="0"/>
          <w:numId w:val="75"/>
        </w:numPr>
        <w:tabs>
          <w:tab w:val="left" w:pos="709"/>
        </w:tabs>
        <w:spacing w:line="360" w:lineRule="auto"/>
        <w:ind w:firstLineChars="0"/>
        <w:rPr>
          <w:rFonts w:ascii="黑体" w:hAnsi="黑体" w:eastAsia="黑体"/>
          <w:bCs/>
          <w:szCs w:val="21"/>
          <w:highlight w:val="none"/>
        </w:rPr>
      </w:pPr>
      <w:r>
        <w:rPr>
          <w:rFonts w:hint="eastAsia" w:ascii="黑体" w:hAnsi="黑体" w:eastAsia="黑体"/>
          <w:bCs/>
          <w:szCs w:val="21"/>
          <w:highlight w:val="none"/>
        </w:rPr>
        <w:t>以书面形式向采购人或者采购代理机构一次性提出针对同一采购程序环节的质疑</w:t>
      </w:r>
    </w:p>
    <w:p>
      <w:pPr>
        <w:pStyle w:val="30"/>
        <w:numPr>
          <w:ilvl w:val="0"/>
          <w:numId w:val="75"/>
        </w:numPr>
        <w:tabs>
          <w:tab w:val="left" w:pos="709"/>
        </w:tabs>
        <w:spacing w:line="360" w:lineRule="auto"/>
        <w:ind w:firstLineChars="0"/>
        <w:rPr>
          <w:rFonts w:ascii="黑体" w:hAnsi="黑体" w:eastAsia="黑体"/>
          <w:bCs/>
          <w:szCs w:val="21"/>
          <w:highlight w:val="none"/>
        </w:rPr>
      </w:pPr>
      <w:r>
        <w:rPr>
          <w:rFonts w:hint="eastAsia" w:ascii="黑体" w:hAnsi="黑体" w:eastAsia="黑体"/>
          <w:bCs/>
          <w:spacing w:val="-4"/>
          <w:szCs w:val="21"/>
          <w:highlight w:val="none"/>
        </w:rPr>
        <w:t>以联合体形式参加政府采购活动的，其质疑应当由组成联合体的所有供应商共同提出</w:t>
      </w:r>
      <w:r>
        <w:rPr>
          <w:rFonts w:hint="eastAsia" w:ascii="黑体" w:hAnsi="黑体" w:eastAsia="黑体"/>
          <w:bCs/>
          <w:szCs w:val="21"/>
          <w:highlight w:val="none"/>
        </w:rPr>
        <w:t>。</w:t>
      </w:r>
    </w:p>
    <w:p>
      <w:pPr>
        <w:pStyle w:val="30"/>
        <w:numPr>
          <w:ilvl w:val="0"/>
          <w:numId w:val="75"/>
        </w:numPr>
        <w:tabs>
          <w:tab w:val="left" w:pos="709"/>
        </w:tabs>
        <w:spacing w:line="360" w:lineRule="auto"/>
        <w:ind w:left="709" w:hanging="709" w:firstLineChars="0"/>
        <w:rPr>
          <w:rFonts w:ascii="黑体" w:hAnsi="黑体" w:eastAsia="黑体"/>
          <w:bCs/>
          <w:szCs w:val="21"/>
          <w:highlight w:val="none"/>
        </w:rPr>
      </w:pPr>
      <w:r>
        <w:rPr>
          <w:rFonts w:hint="eastAsia" w:ascii="黑体" w:hAnsi="黑体" w:eastAsia="黑体"/>
          <w:bCs/>
          <w:szCs w:val="21"/>
          <w:highlight w:val="none"/>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pStyle w:val="30"/>
        <w:numPr>
          <w:ilvl w:val="0"/>
          <w:numId w:val="75"/>
        </w:numPr>
        <w:tabs>
          <w:tab w:val="left" w:pos="709"/>
        </w:tabs>
        <w:spacing w:line="360" w:lineRule="auto"/>
        <w:ind w:left="709" w:hanging="709" w:firstLineChars="0"/>
        <w:rPr>
          <w:rFonts w:ascii="黑体" w:hAnsi="黑体" w:eastAsia="黑体"/>
          <w:bCs/>
          <w:szCs w:val="21"/>
          <w:highlight w:val="none"/>
        </w:rPr>
      </w:pPr>
      <w:r>
        <w:rPr>
          <w:rFonts w:hint="eastAsia" w:ascii="黑体" w:hAnsi="黑体" w:eastAsia="黑体"/>
          <w:bCs/>
          <w:szCs w:val="21"/>
          <w:highlight w:val="none"/>
        </w:rPr>
        <w:t>供应商捏造事实、提供虚假材料或者以非法手段取得证明材料不能作为质疑的证明材料。采购人或者采购代理机构在收到供应商的书面质疑后</w:t>
      </w:r>
      <w:r>
        <w:rPr>
          <w:rFonts w:ascii="黑体" w:hAnsi="黑体" w:eastAsia="黑体"/>
          <w:bCs/>
          <w:szCs w:val="21"/>
          <w:highlight w:val="none"/>
        </w:rPr>
        <w:t>7个工作日内作出答复，并以书面形式通知质疑</w:t>
      </w:r>
      <w:r>
        <w:rPr>
          <w:rFonts w:hint="eastAsia" w:ascii="黑体" w:hAnsi="黑体" w:eastAsia="黑体"/>
          <w:bCs/>
          <w:szCs w:val="21"/>
          <w:highlight w:val="none"/>
        </w:rPr>
        <w:t>谈判</w:t>
      </w:r>
      <w:r>
        <w:rPr>
          <w:rFonts w:ascii="黑体" w:hAnsi="黑体" w:eastAsia="黑体"/>
          <w:bCs/>
          <w:szCs w:val="21"/>
          <w:highlight w:val="none"/>
        </w:rPr>
        <w:t>人和其他有关</w:t>
      </w:r>
      <w:r>
        <w:rPr>
          <w:rFonts w:hint="eastAsia" w:ascii="黑体" w:hAnsi="黑体" w:eastAsia="黑体"/>
          <w:bCs/>
          <w:szCs w:val="21"/>
          <w:highlight w:val="none"/>
        </w:rPr>
        <w:t>谈判</w:t>
      </w:r>
      <w:r>
        <w:rPr>
          <w:rFonts w:ascii="黑体" w:hAnsi="黑体" w:eastAsia="黑体"/>
          <w:bCs/>
          <w:szCs w:val="21"/>
          <w:highlight w:val="none"/>
        </w:rPr>
        <w:t>人，但答复内容不涉及商业秘密。质疑</w:t>
      </w:r>
      <w:r>
        <w:rPr>
          <w:rFonts w:hint="eastAsia" w:ascii="黑体" w:hAnsi="黑体" w:eastAsia="黑体"/>
          <w:bCs/>
          <w:szCs w:val="21"/>
          <w:highlight w:val="none"/>
        </w:rPr>
        <w:t>谈判</w:t>
      </w:r>
      <w:r>
        <w:rPr>
          <w:rFonts w:ascii="黑体" w:hAnsi="黑体" w:eastAsia="黑体"/>
          <w:bCs/>
          <w:szCs w:val="21"/>
          <w:highlight w:val="none"/>
        </w:rPr>
        <w:t>人须提供相关证明材料，包括但不限于权益受损害的情况说明及受损害的原因、证据内容等，并对质疑内容的真实性承担责任。</w:t>
      </w:r>
    </w:p>
    <w:p>
      <w:pPr>
        <w:pStyle w:val="30"/>
        <w:numPr>
          <w:ilvl w:val="0"/>
          <w:numId w:val="75"/>
        </w:numPr>
        <w:tabs>
          <w:tab w:val="left" w:pos="709"/>
        </w:tabs>
        <w:spacing w:line="360" w:lineRule="auto"/>
        <w:ind w:left="709" w:hanging="709" w:firstLineChars="0"/>
        <w:rPr>
          <w:rFonts w:ascii="黑体" w:hAnsi="黑体" w:eastAsia="黑体"/>
          <w:bCs/>
          <w:szCs w:val="21"/>
          <w:highlight w:val="none"/>
        </w:rPr>
      </w:pPr>
      <w:r>
        <w:rPr>
          <w:rFonts w:hint="eastAsia" w:ascii="黑体" w:hAnsi="黑体" w:eastAsia="黑体"/>
          <w:bCs/>
          <w:szCs w:val="21"/>
          <w:highlight w:val="none"/>
        </w:rPr>
        <w:t>采购人或采购代理机构接收以书面形式递交的质疑函，接收质疑函的联系人、联系方式和通讯地址：</w:t>
      </w:r>
    </w:p>
    <w:p>
      <w:pPr>
        <w:ind w:firstLine="735" w:firstLineChars="350"/>
        <w:rPr>
          <w:rFonts w:ascii="黑体" w:hAnsi="黑体" w:eastAsia="黑体"/>
          <w:szCs w:val="21"/>
          <w:highlight w:val="none"/>
        </w:rPr>
      </w:pPr>
      <w:r>
        <w:rPr>
          <w:rFonts w:hint="eastAsia" w:ascii="黑体" w:hAnsi="黑体" w:eastAsia="黑体"/>
          <w:szCs w:val="21"/>
          <w:highlight w:val="none"/>
        </w:rPr>
        <w:t>联系人：袁小姐</w:t>
      </w:r>
      <w:r>
        <w:rPr>
          <w:rFonts w:ascii="黑体" w:hAnsi="黑体" w:eastAsia="黑体"/>
          <w:szCs w:val="21"/>
          <w:highlight w:val="none"/>
        </w:rPr>
        <w:t xml:space="preserve">       </w:t>
      </w:r>
      <w:r>
        <w:rPr>
          <w:rFonts w:hint="eastAsia" w:ascii="黑体" w:hAnsi="黑体" w:eastAsia="黑体"/>
          <w:szCs w:val="21"/>
          <w:highlight w:val="none"/>
        </w:rPr>
        <w:t>联系电话：0754-82770125</w:t>
      </w:r>
    </w:p>
    <w:p>
      <w:pPr>
        <w:spacing w:line="360" w:lineRule="auto"/>
        <w:ind w:firstLine="707" w:firstLineChars="337"/>
        <w:rPr>
          <w:rFonts w:ascii="黑体" w:hAnsi="黑体" w:eastAsia="黑体"/>
          <w:szCs w:val="21"/>
          <w:highlight w:val="none"/>
        </w:rPr>
      </w:pPr>
      <w:r>
        <w:rPr>
          <w:rFonts w:hint="eastAsia" w:ascii="黑体" w:hAnsi="黑体" w:eastAsia="黑体"/>
          <w:szCs w:val="21"/>
          <w:highlight w:val="none"/>
        </w:rPr>
        <w:t>联系地址：汕头市龙湖区黄山路65号诚融大厦8楼809号房</w:t>
      </w:r>
    </w:p>
    <w:p>
      <w:pPr>
        <w:pStyle w:val="40"/>
        <w:numPr>
          <w:ilvl w:val="0"/>
          <w:numId w:val="33"/>
        </w:numPr>
        <w:spacing w:before="0" w:after="0" w:line="360" w:lineRule="auto"/>
        <w:rPr>
          <w:rFonts w:ascii="黑体" w:hAnsi="黑体" w:eastAsia="黑体"/>
          <w:bCs w:val="0"/>
          <w:sz w:val="21"/>
          <w:szCs w:val="21"/>
          <w:highlight w:val="none"/>
        </w:rPr>
      </w:pPr>
      <w:bookmarkStart w:id="209" w:name="_Toc30338"/>
      <w:r>
        <w:rPr>
          <w:rFonts w:hint="eastAsia" w:ascii="黑体" w:hAnsi="黑体" w:eastAsia="黑体"/>
          <w:bCs w:val="0"/>
          <w:sz w:val="21"/>
          <w:szCs w:val="21"/>
          <w:highlight w:val="none"/>
        </w:rPr>
        <w:t>投诉</w:t>
      </w:r>
      <w:bookmarkEnd w:id="209"/>
    </w:p>
    <w:p>
      <w:pPr>
        <w:pStyle w:val="30"/>
        <w:numPr>
          <w:ilvl w:val="0"/>
          <w:numId w:val="76"/>
        </w:numPr>
        <w:tabs>
          <w:tab w:val="left" w:pos="567"/>
        </w:tabs>
        <w:spacing w:line="360" w:lineRule="auto"/>
        <w:ind w:firstLineChars="0"/>
        <w:rPr>
          <w:rFonts w:ascii="黑体" w:hAnsi="黑体" w:eastAsia="黑体" w:cs="宋体"/>
          <w:kern w:val="0"/>
          <w:szCs w:val="21"/>
          <w:highlight w:val="none"/>
        </w:rPr>
      </w:pPr>
      <w:r>
        <w:rPr>
          <w:rFonts w:hint="eastAsia" w:ascii="黑体" w:hAnsi="黑体" w:eastAsia="黑体" w:cs="宋体"/>
          <w:kern w:val="0"/>
          <w:szCs w:val="21"/>
          <w:highlight w:val="none"/>
        </w:rPr>
        <w:t>质疑供应商对采购人、采购代理机构的答复不满意，或者采购人、采购代理机构未在规定时间内作出答复的，可以在答复期满后15个工作日内向采购人相关部门提起投诉。</w:t>
      </w:r>
    </w:p>
    <w:p>
      <w:pPr>
        <w:pStyle w:val="30"/>
        <w:numPr>
          <w:ilvl w:val="0"/>
          <w:numId w:val="76"/>
        </w:numPr>
        <w:tabs>
          <w:tab w:val="left" w:pos="567"/>
        </w:tabs>
        <w:spacing w:line="360" w:lineRule="auto"/>
        <w:ind w:left="567" w:hanging="567" w:firstLineChars="0"/>
        <w:rPr>
          <w:rFonts w:ascii="黑体" w:hAnsi="黑体" w:eastAsia="黑体" w:cs="宋体"/>
          <w:kern w:val="0"/>
          <w:szCs w:val="21"/>
          <w:highlight w:val="none"/>
        </w:rPr>
      </w:pPr>
      <w:r>
        <w:rPr>
          <w:rFonts w:hint="eastAsia" w:ascii="黑体" w:hAnsi="黑体" w:eastAsia="黑体" w:cs="宋体"/>
          <w:spacing w:val="-4"/>
          <w:kern w:val="0"/>
          <w:szCs w:val="21"/>
          <w:highlight w:val="none"/>
        </w:rPr>
        <w:t>以联合体形式参加政府采购活动的，其投诉应当由组成联合体的所有供应商共同提出。</w:t>
      </w:r>
    </w:p>
    <w:p>
      <w:pPr>
        <w:pStyle w:val="4"/>
        <w:spacing w:before="0" w:after="0" w:line="360" w:lineRule="auto"/>
        <w:rPr>
          <w:rFonts w:ascii="黑体" w:hAnsi="黑体" w:eastAsia="黑体"/>
          <w:bCs w:val="0"/>
          <w:sz w:val="21"/>
          <w:szCs w:val="21"/>
          <w:highlight w:val="none"/>
        </w:rPr>
      </w:pPr>
      <w:bookmarkStart w:id="210" w:name="_Toc11094"/>
      <w:r>
        <w:rPr>
          <w:rFonts w:hint="eastAsia" w:ascii="黑体" w:hAnsi="黑体" w:eastAsia="黑体"/>
          <w:bCs w:val="0"/>
          <w:sz w:val="21"/>
          <w:szCs w:val="21"/>
          <w:highlight w:val="none"/>
        </w:rPr>
        <w:t>九、其他</w:t>
      </w:r>
      <w:bookmarkEnd w:id="206"/>
      <w:bookmarkEnd w:id="207"/>
      <w:bookmarkEnd w:id="210"/>
    </w:p>
    <w:p>
      <w:pPr>
        <w:pStyle w:val="40"/>
        <w:numPr>
          <w:ilvl w:val="0"/>
          <w:numId w:val="33"/>
        </w:numPr>
        <w:spacing w:before="0" w:after="0" w:line="360" w:lineRule="auto"/>
        <w:rPr>
          <w:rFonts w:ascii="黑体" w:hAnsi="黑体" w:eastAsia="黑体"/>
          <w:bCs w:val="0"/>
          <w:sz w:val="21"/>
          <w:szCs w:val="21"/>
          <w:highlight w:val="none"/>
        </w:rPr>
      </w:pPr>
      <w:bookmarkStart w:id="211" w:name="_Toc23895"/>
      <w:bookmarkStart w:id="212" w:name="_Toc429647659"/>
      <w:bookmarkStart w:id="213" w:name="_Toc416446551"/>
      <w:r>
        <w:rPr>
          <w:rFonts w:hint="eastAsia" w:ascii="黑体" w:hAnsi="黑体" w:eastAsia="黑体"/>
          <w:bCs w:val="0"/>
          <w:sz w:val="21"/>
          <w:szCs w:val="21"/>
          <w:highlight w:val="none"/>
        </w:rPr>
        <w:t>采购代理服务费</w:t>
      </w:r>
      <w:bookmarkEnd w:id="211"/>
    </w:p>
    <w:p>
      <w:pPr>
        <w:pStyle w:val="30"/>
        <w:numPr>
          <w:ilvl w:val="0"/>
          <w:numId w:val="77"/>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成交供应商应在领取《成交通知书》原件时向招标代理机构一次性支付采购代理服务费</w:t>
      </w:r>
      <w:r>
        <w:rPr>
          <w:rFonts w:ascii="黑体" w:hAnsi="黑体" w:eastAsia="黑体"/>
          <w:bCs/>
          <w:szCs w:val="21"/>
          <w:highlight w:val="none"/>
        </w:rPr>
        <w:t>(</w:t>
      </w:r>
      <w:r>
        <w:rPr>
          <w:rFonts w:hint="eastAsia" w:ascii="黑体" w:hAnsi="黑体" w:eastAsia="黑体"/>
          <w:bCs/>
          <w:szCs w:val="21"/>
          <w:highlight w:val="none"/>
        </w:rPr>
        <w:t>参照国家计委文件</w:t>
      </w:r>
      <w:r>
        <w:rPr>
          <w:rFonts w:ascii="黑体" w:hAnsi="黑体" w:eastAsia="黑体"/>
          <w:bCs/>
          <w:szCs w:val="21"/>
          <w:highlight w:val="none"/>
        </w:rPr>
        <w:t>“</w:t>
      </w:r>
      <w:r>
        <w:rPr>
          <w:rFonts w:hint="eastAsia" w:ascii="黑体" w:hAnsi="黑体" w:eastAsia="黑体"/>
          <w:bCs/>
          <w:szCs w:val="21"/>
          <w:highlight w:val="none"/>
        </w:rPr>
        <w:t>计价格</w:t>
      </w:r>
      <w:r>
        <w:rPr>
          <w:rFonts w:ascii="黑体" w:hAnsi="黑体" w:eastAsia="黑体"/>
          <w:bCs/>
          <w:szCs w:val="21"/>
          <w:highlight w:val="none"/>
        </w:rPr>
        <w:t>[2002]1980</w:t>
      </w:r>
      <w:r>
        <w:rPr>
          <w:rFonts w:hint="eastAsia" w:ascii="黑体" w:hAnsi="黑体" w:eastAsia="黑体"/>
          <w:bCs/>
          <w:szCs w:val="21"/>
          <w:highlight w:val="none"/>
        </w:rPr>
        <w:t>号文</w:t>
      </w:r>
      <w:r>
        <w:rPr>
          <w:rFonts w:ascii="黑体" w:hAnsi="黑体" w:eastAsia="黑体"/>
          <w:bCs/>
          <w:szCs w:val="21"/>
          <w:highlight w:val="none"/>
        </w:rPr>
        <w:t>”</w:t>
      </w:r>
      <w:r>
        <w:rPr>
          <w:rFonts w:hint="eastAsia" w:ascii="黑体" w:hAnsi="黑体" w:eastAsia="黑体"/>
          <w:bCs/>
          <w:szCs w:val="21"/>
          <w:highlight w:val="none"/>
        </w:rPr>
        <w:t>、“发改办价格</w:t>
      </w:r>
      <w:r>
        <w:rPr>
          <w:rFonts w:ascii="黑体" w:hAnsi="黑体" w:eastAsia="黑体"/>
          <w:bCs/>
          <w:szCs w:val="21"/>
          <w:highlight w:val="none"/>
        </w:rPr>
        <w:t>[2003]857</w:t>
      </w:r>
      <w:r>
        <w:rPr>
          <w:rFonts w:hint="eastAsia" w:ascii="黑体" w:hAnsi="黑体" w:eastAsia="黑体"/>
          <w:bCs/>
          <w:szCs w:val="21"/>
          <w:highlight w:val="none"/>
        </w:rPr>
        <w:t>号文”和“发改价格</w:t>
      </w:r>
      <w:r>
        <w:rPr>
          <w:rFonts w:ascii="黑体" w:hAnsi="黑体" w:eastAsia="黑体"/>
          <w:bCs/>
          <w:szCs w:val="21"/>
          <w:highlight w:val="none"/>
        </w:rPr>
        <w:t>[2011]534号文</w:t>
      </w:r>
      <w:r>
        <w:rPr>
          <w:rFonts w:hint="eastAsia" w:ascii="黑体" w:hAnsi="黑体" w:eastAsia="黑体"/>
          <w:bCs/>
          <w:szCs w:val="21"/>
          <w:highlight w:val="none"/>
        </w:rPr>
        <w:t>”的规定标准执行</w:t>
      </w:r>
      <w:r>
        <w:rPr>
          <w:rFonts w:ascii="黑体" w:hAnsi="黑体" w:eastAsia="黑体"/>
          <w:bCs/>
          <w:szCs w:val="21"/>
          <w:highlight w:val="none"/>
        </w:rPr>
        <w:t>)</w:t>
      </w:r>
      <w:r>
        <w:rPr>
          <w:rFonts w:hint="eastAsia" w:ascii="黑体" w:hAnsi="黑体" w:eastAsia="黑体"/>
          <w:bCs/>
          <w:szCs w:val="21"/>
          <w:highlight w:val="none"/>
        </w:rPr>
        <w:t>。</w:t>
      </w:r>
    </w:p>
    <w:p>
      <w:pPr>
        <w:pStyle w:val="30"/>
        <w:numPr>
          <w:ilvl w:val="0"/>
          <w:numId w:val="77"/>
        </w:numPr>
        <w:spacing w:line="360" w:lineRule="auto"/>
        <w:ind w:left="567" w:hanging="567" w:firstLineChars="0"/>
        <w:rPr>
          <w:rFonts w:ascii="黑体" w:hAnsi="黑体" w:eastAsia="黑体"/>
          <w:bCs/>
          <w:szCs w:val="21"/>
          <w:highlight w:val="none"/>
        </w:rPr>
      </w:pPr>
      <w:r>
        <w:rPr>
          <w:rFonts w:hint="eastAsia" w:ascii="黑体" w:hAnsi="黑体" w:eastAsia="黑体"/>
          <w:bCs/>
          <w:szCs w:val="21"/>
          <w:highlight w:val="none"/>
        </w:rPr>
        <w:t>本项目类型为</w:t>
      </w:r>
      <w:r>
        <w:rPr>
          <w:rFonts w:hint="eastAsia" w:ascii="黑体" w:hAnsi="黑体" w:eastAsia="黑体"/>
          <w:bCs/>
          <w:szCs w:val="21"/>
          <w:highlight w:val="none"/>
          <w:u w:val="single"/>
        </w:rPr>
        <w:t>（</w:t>
      </w:r>
      <w:r>
        <w:rPr>
          <w:rFonts w:hint="eastAsia" w:ascii="黑体" w:hAnsi="黑体" w:eastAsia="黑体"/>
          <w:b/>
          <w:bCs/>
          <w:szCs w:val="21"/>
          <w:highlight w:val="none"/>
          <w:u w:val="single"/>
        </w:rPr>
        <w:t>详见谈判须知前附表</w:t>
      </w:r>
      <w:r>
        <w:rPr>
          <w:rFonts w:hint="eastAsia" w:ascii="黑体" w:hAnsi="黑体" w:eastAsia="黑体"/>
          <w:bCs/>
          <w:szCs w:val="21"/>
          <w:highlight w:val="none"/>
          <w:u w:val="single"/>
        </w:rPr>
        <w:t>）</w:t>
      </w:r>
      <w:r>
        <w:rPr>
          <w:rFonts w:hint="eastAsia" w:ascii="黑体" w:hAnsi="黑体" w:eastAsia="黑体"/>
          <w:b/>
          <w:bCs/>
          <w:szCs w:val="21"/>
          <w:highlight w:val="none"/>
        </w:rPr>
        <w:t>。</w:t>
      </w:r>
    </w:p>
    <w:p>
      <w:pPr>
        <w:pStyle w:val="30"/>
        <w:numPr>
          <w:ilvl w:val="0"/>
          <w:numId w:val="77"/>
        </w:numPr>
        <w:spacing w:line="360" w:lineRule="auto"/>
        <w:ind w:left="567" w:hanging="567" w:firstLineChars="0"/>
        <w:rPr>
          <w:rFonts w:ascii="黑体" w:hAnsi="黑体" w:eastAsia="黑体"/>
          <w:bCs/>
          <w:szCs w:val="21"/>
          <w:highlight w:val="none"/>
        </w:rPr>
      </w:pPr>
      <w:r>
        <w:rPr>
          <w:rFonts w:ascii="黑体" w:hAnsi="黑体" w:eastAsia="黑体"/>
          <w:bCs/>
          <w:szCs w:val="21"/>
          <w:highlight w:val="none"/>
        </w:rPr>
        <w:t>招标代理服务收</w:t>
      </w:r>
      <w:r>
        <w:rPr>
          <w:rFonts w:hint="eastAsia" w:ascii="黑体" w:hAnsi="黑体" w:eastAsia="黑体"/>
          <w:bCs/>
          <w:szCs w:val="21"/>
          <w:highlight w:val="none"/>
        </w:rPr>
        <w:t>费</w:t>
      </w:r>
      <w:r>
        <w:rPr>
          <w:rFonts w:ascii="黑体" w:hAnsi="黑体" w:eastAsia="黑体"/>
          <w:bCs/>
          <w:szCs w:val="21"/>
          <w:highlight w:val="none"/>
        </w:rPr>
        <w:t>标准</w:t>
      </w:r>
      <w:r>
        <w:rPr>
          <w:rFonts w:hint="eastAsia" w:ascii="黑体" w:hAnsi="黑体" w:eastAsia="黑体"/>
          <w:bCs/>
          <w:szCs w:val="21"/>
          <w:highlight w:val="none"/>
        </w:rPr>
        <w:t>：</w:t>
      </w:r>
    </w:p>
    <w:tbl>
      <w:tblPr>
        <w:tblStyle w:val="18"/>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404"/>
        <w:gridCol w:w="1433"/>
        <w:gridCol w:w="2293"/>
        <w:gridCol w:w="249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1394" w:type="pct"/>
            <w:tcBorders>
              <w:tl2br w:val="single" w:color="000000" w:sz="8" w:space="0"/>
            </w:tcBorders>
            <w:shd w:val="clear" w:color="auto" w:fill="auto"/>
          </w:tcPr>
          <w:p>
            <w:pPr>
              <w:rPr>
                <w:rFonts w:ascii="黑体" w:hAnsi="黑体" w:eastAsia="黑体"/>
                <w:szCs w:val="21"/>
                <w:highlight w:val="none"/>
              </w:rPr>
            </w:pPr>
            <w:r>
              <w:rPr>
                <w:rFonts w:ascii="黑体" w:hAnsi="黑体" w:eastAsia="黑体"/>
                <w:szCs w:val="21"/>
                <w:highlight w:val="none"/>
              </w:rPr>
              <w:t xml:space="preserve">              费率</w:t>
            </w:r>
          </w:p>
          <w:p>
            <w:pPr>
              <w:rPr>
                <w:rFonts w:ascii="黑体" w:hAnsi="黑体" w:eastAsia="黑体"/>
                <w:szCs w:val="21"/>
                <w:highlight w:val="none"/>
              </w:rPr>
            </w:pPr>
            <w:r>
              <w:rPr>
                <w:rFonts w:hint="eastAsia" w:ascii="黑体" w:hAnsi="黑体" w:eastAsia="黑体"/>
                <w:szCs w:val="21"/>
                <w:highlight w:val="none"/>
              </w:rPr>
              <w:t>成交金额</w:t>
            </w:r>
          </w:p>
        </w:tc>
        <w:tc>
          <w:tcPr>
            <w:tcW w:w="831" w:type="pct"/>
            <w:shd w:val="clear" w:color="auto" w:fill="auto"/>
            <w:vAlign w:val="center"/>
          </w:tcPr>
          <w:p>
            <w:pPr>
              <w:jc w:val="center"/>
              <w:rPr>
                <w:rFonts w:ascii="黑体" w:hAnsi="黑体" w:eastAsia="黑体"/>
                <w:szCs w:val="21"/>
                <w:highlight w:val="none"/>
              </w:rPr>
            </w:pPr>
            <w:r>
              <w:rPr>
                <w:rFonts w:hint="eastAsia" w:ascii="黑体" w:hAnsi="黑体" w:eastAsia="黑体"/>
                <w:szCs w:val="21"/>
                <w:highlight w:val="none"/>
              </w:rPr>
              <w:t>货物招标</w:t>
            </w:r>
          </w:p>
        </w:tc>
        <w:tc>
          <w:tcPr>
            <w:tcW w:w="1330" w:type="pct"/>
            <w:shd w:val="clear" w:color="auto" w:fill="auto"/>
            <w:vAlign w:val="center"/>
          </w:tcPr>
          <w:p>
            <w:pPr>
              <w:jc w:val="center"/>
              <w:rPr>
                <w:rFonts w:ascii="黑体" w:hAnsi="黑体" w:eastAsia="黑体"/>
                <w:szCs w:val="21"/>
                <w:highlight w:val="none"/>
              </w:rPr>
            </w:pPr>
            <w:r>
              <w:rPr>
                <w:rFonts w:hint="eastAsia" w:ascii="黑体" w:hAnsi="黑体" w:eastAsia="黑体"/>
                <w:szCs w:val="21"/>
                <w:highlight w:val="none"/>
              </w:rPr>
              <w:t>服务招标</w:t>
            </w:r>
          </w:p>
        </w:tc>
        <w:tc>
          <w:tcPr>
            <w:tcW w:w="1446" w:type="pct"/>
            <w:shd w:val="clear" w:color="auto" w:fill="auto"/>
            <w:vAlign w:val="center"/>
          </w:tcPr>
          <w:p>
            <w:pPr>
              <w:jc w:val="center"/>
              <w:rPr>
                <w:rFonts w:ascii="黑体" w:hAnsi="黑体" w:eastAsia="黑体"/>
                <w:szCs w:val="21"/>
                <w:highlight w:val="none"/>
              </w:rPr>
            </w:pPr>
            <w:r>
              <w:rPr>
                <w:rFonts w:hint="eastAsia" w:ascii="黑体" w:hAnsi="黑体" w:eastAsia="黑体"/>
                <w:szCs w:val="21"/>
                <w:highlight w:val="none"/>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100万元以下</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1.5%</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1.5%</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100-500万元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1.1%</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0.8%</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500-1000万元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0.8%</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0.45%</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1000-5000万元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 xml:space="preserve">0.5%                </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0.25%</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5000万元-1亿元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 xml:space="preserve">0.25%                 </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0.1%</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1-5亿元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0.05%</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0.05%</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5-10亿元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0.035%</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0.035%</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10-50亿元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0.008%</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0.008%</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pPr>
              <w:jc w:val="center"/>
              <w:rPr>
                <w:rFonts w:ascii="黑体" w:hAnsi="黑体" w:eastAsia="黑体"/>
                <w:szCs w:val="21"/>
                <w:highlight w:val="none"/>
              </w:rPr>
            </w:pPr>
            <w:r>
              <w:rPr>
                <w:rFonts w:ascii="黑体" w:hAnsi="黑体" w:eastAsia="黑体"/>
                <w:szCs w:val="21"/>
                <w:highlight w:val="none"/>
              </w:rPr>
              <w:t>50-100亿元</w:t>
            </w:r>
          </w:p>
        </w:tc>
        <w:tc>
          <w:tcPr>
            <w:tcW w:w="831" w:type="pct"/>
            <w:vAlign w:val="center"/>
          </w:tcPr>
          <w:p>
            <w:pPr>
              <w:jc w:val="center"/>
              <w:rPr>
                <w:rFonts w:ascii="黑体" w:hAnsi="黑体" w:eastAsia="黑体"/>
                <w:szCs w:val="21"/>
                <w:highlight w:val="none"/>
              </w:rPr>
            </w:pPr>
            <w:r>
              <w:rPr>
                <w:rFonts w:ascii="黑体" w:hAnsi="黑体" w:eastAsia="黑体"/>
                <w:szCs w:val="21"/>
                <w:highlight w:val="none"/>
              </w:rPr>
              <w:t>0.006%</w:t>
            </w:r>
          </w:p>
        </w:tc>
        <w:tc>
          <w:tcPr>
            <w:tcW w:w="1330" w:type="pct"/>
            <w:vAlign w:val="center"/>
          </w:tcPr>
          <w:p>
            <w:pPr>
              <w:jc w:val="center"/>
              <w:rPr>
                <w:rFonts w:ascii="黑体" w:hAnsi="黑体" w:eastAsia="黑体"/>
                <w:szCs w:val="21"/>
                <w:highlight w:val="none"/>
              </w:rPr>
            </w:pPr>
            <w:r>
              <w:rPr>
                <w:rFonts w:ascii="黑体" w:hAnsi="黑体" w:eastAsia="黑体"/>
                <w:szCs w:val="21"/>
                <w:highlight w:val="none"/>
              </w:rPr>
              <w:t>0.006%</w:t>
            </w:r>
          </w:p>
        </w:tc>
        <w:tc>
          <w:tcPr>
            <w:tcW w:w="1446" w:type="pct"/>
            <w:vAlign w:val="center"/>
          </w:tcPr>
          <w:p>
            <w:pPr>
              <w:jc w:val="center"/>
              <w:rPr>
                <w:rFonts w:ascii="黑体" w:hAnsi="黑体" w:eastAsia="黑体"/>
                <w:szCs w:val="21"/>
                <w:highlight w:val="none"/>
              </w:rPr>
            </w:pPr>
            <w:r>
              <w:rPr>
                <w:rFonts w:ascii="黑体" w:hAnsi="黑体" w:eastAsia="黑体"/>
                <w:szCs w:val="21"/>
                <w:highlight w:val="none"/>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1394" w:type="pct"/>
            <w:vAlign w:val="center"/>
          </w:tcPr>
          <w:p>
            <w:pPr>
              <w:jc w:val="center"/>
              <w:rPr>
                <w:rFonts w:ascii="黑体" w:hAnsi="黑体" w:eastAsia="黑体"/>
                <w:highlight w:val="none"/>
              </w:rPr>
            </w:pPr>
            <w:r>
              <w:rPr>
                <w:rFonts w:ascii="黑体" w:hAnsi="黑体" w:eastAsia="黑体"/>
                <w:highlight w:val="none"/>
              </w:rPr>
              <w:t>100亿以上</w:t>
            </w:r>
          </w:p>
        </w:tc>
        <w:tc>
          <w:tcPr>
            <w:tcW w:w="831" w:type="pct"/>
            <w:vAlign w:val="center"/>
          </w:tcPr>
          <w:p>
            <w:pPr>
              <w:jc w:val="center"/>
              <w:rPr>
                <w:rFonts w:ascii="黑体" w:hAnsi="黑体" w:eastAsia="黑体"/>
                <w:highlight w:val="none"/>
              </w:rPr>
            </w:pPr>
            <w:r>
              <w:rPr>
                <w:rFonts w:ascii="黑体" w:hAnsi="黑体" w:eastAsia="黑体"/>
                <w:highlight w:val="none"/>
              </w:rPr>
              <w:t>0.004%</w:t>
            </w:r>
          </w:p>
        </w:tc>
        <w:tc>
          <w:tcPr>
            <w:tcW w:w="1330" w:type="pct"/>
            <w:vAlign w:val="center"/>
          </w:tcPr>
          <w:p>
            <w:pPr>
              <w:jc w:val="center"/>
              <w:rPr>
                <w:rFonts w:ascii="黑体" w:hAnsi="黑体" w:eastAsia="黑体"/>
                <w:highlight w:val="none"/>
              </w:rPr>
            </w:pPr>
            <w:r>
              <w:rPr>
                <w:rFonts w:ascii="黑体" w:hAnsi="黑体" w:eastAsia="黑体"/>
                <w:highlight w:val="none"/>
              </w:rPr>
              <w:t>0.004%</w:t>
            </w:r>
          </w:p>
        </w:tc>
        <w:tc>
          <w:tcPr>
            <w:tcW w:w="1446" w:type="pct"/>
            <w:vAlign w:val="center"/>
          </w:tcPr>
          <w:p>
            <w:pPr>
              <w:jc w:val="center"/>
              <w:rPr>
                <w:rFonts w:ascii="黑体" w:hAnsi="黑体" w:eastAsia="黑体"/>
                <w:highlight w:val="none"/>
              </w:rPr>
            </w:pPr>
            <w:r>
              <w:rPr>
                <w:rFonts w:ascii="黑体" w:hAnsi="黑体" w:eastAsia="黑体"/>
                <w:highlight w:val="none"/>
              </w:rPr>
              <w:t>0.004%</w:t>
            </w:r>
          </w:p>
        </w:tc>
      </w:tr>
    </w:tbl>
    <w:p>
      <w:pPr>
        <w:pStyle w:val="30"/>
        <w:numPr>
          <w:ilvl w:val="1"/>
          <w:numId w:val="33"/>
        </w:numPr>
        <w:tabs>
          <w:tab w:val="left" w:pos="1134"/>
        </w:tabs>
        <w:spacing w:before="156" w:beforeLines="50" w:line="360" w:lineRule="auto"/>
        <w:ind w:left="851" w:hanging="840" w:firstLineChars="0"/>
        <w:rPr>
          <w:rFonts w:ascii="黑体" w:hAnsi="黑体" w:eastAsia="黑体"/>
          <w:bCs/>
          <w:szCs w:val="21"/>
          <w:highlight w:val="none"/>
        </w:rPr>
      </w:pPr>
      <w:r>
        <w:rPr>
          <w:rFonts w:ascii="黑体" w:hAnsi="黑体" w:eastAsia="黑体"/>
          <w:bCs/>
          <w:szCs w:val="21"/>
          <w:highlight w:val="none"/>
        </w:rPr>
        <w:t>采购代理服务费按差额定率累进法计算</w:t>
      </w:r>
      <w:r>
        <w:rPr>
          <w:rFonts w:hint="eastAsia" w:ascii="黑体" w:hAnsi="黑体" w:eastAsia="黑体"/>
          <w:bCs/>
          <w:szCs w:val="21"/>
          <w:highlight w:val="none"/>
        </w:rPr>
        <w:t>。</w:t>
      </w:r>
    </w:p>
    <w:p>
      <w:pPr>
        <w:pStyle w:val="30"/>
        <w:numPr>
          <w:ilvl w:val="1"/>
          <w:numId w:val="33"/>
        </w:numPr>
        <w:tabs>
          <w:tab w:val="left" w:pos="1134"/>
        </w:tabs>
        <w:spacing w:line="360" w:lineRule="auto"/>
        <w:ind w:left="851" w:hanging="840" w:firstLineChars="0"/>
        <w:rPr>
          <w:rFonts w:ascii="黑体" w:hAnsi="黑体" w:eastAsia="黑体"/>
          <w:bCs/>
          <w:szCs w:val="21"/>
          <w:highlight w:val="none"/>
        </w:rPr>
      </w:pPr>
      <w:r>
        <w:rPr>
          <w:rFonts w:ascii="黑体" w:hAnsi="黑体" w:eastAsia="黑体"/>
          <w:bCs/>
          <w:szCs w:val="21"/>
          <w:highlight w:val="none"/>
        </w:rPr>
        <w:t>采购代理服务费币种为人民币</w:t>
      </w:r>
      <w:r>
        <w:rPr>
          <w:rFonts w:hint="eastAsia" w:ascii="黑体" w:hAnsi="黑体" w:eastAsia="黑体"/>
          <w:bCs/>
          <w:szCs w:val="21"/>
          <w:highlight w:val="none"/>
        </w:rPr>
        <w:t>。</w:t>
      </w:r>
    </w:p>
    <w:p>
      <w:pPr>
        <w:pStyle w:val="30"/>
        <w:numPr>
          <w:ilvl w:val="1"/>
          <w:numId w:val="33"/>
        </w:numPr>
        <w:tabs>
          <w:tab w:val="left" w:pos="1134"/>
        </w:tabs>
        <w:spacing w:line="360" w:lineRule="auto"/>
        <w:ind w:left="851" w:hanging="840" w:firstLineChars="0"/>
        <w:rPr>
          <w:rFonts w:ascii="黑体" w:hAnsi="黑体" w:eastAsia="黑体"/>
          <w:bCs/>
          <w:szCs w:val="21"/>
          <w:highlight w:val="none"/>
        </w:rPr>
      </w:pPr>
      <w:r>
        <w:rPr>
          <w:rFonts w:hint="eastAsia" w:ascii="黑体" w:hAnsi="黑体" w:eastAsia="黑体"/>
          <w:bCs/>
          <w:szCs w:val="21"/>
          <w:highlight w:val="none"/>
        </w:rPr>
        <w:t>成交服务费只收现金、银行转账或电汇。</w:t>
      </w:r>
    </w:p>
    <w:p>
      <w:pPr>
        <w:pStyle w:val="30"/>
        <w:numPr>
          <w:ilvl w:val="1"/>
          <w:numId w:val="33"/>
        </w:numPr>
        <w:tabs>
          <w:tab w:val="left" w:pos="1134"/>
        </w:tabs>
        <w:spacing w:line="360" w:lineRule="auto"/>
        <w:ind w:left="851" w:hanging="840" w:firstLineChars="0"/>
        <w:rPr>
          <w:rFonts w:ascii="黑体" w:hAnsi="黑体" w:eastAsia="黑体"/>
          <w:bCs/>
          <w:szCs w:val="21"/>
          <w:highlight w:val="none"/>
        </w:rPr>
      </w:pPr>
      <w:r>
        <w:rPr>
          <w:rFonts w:ascii="黑体" w:hAnsi="黑体" w:eastAsia="黑体"/>
          <w:bCs/>
          <w:szCs w:val="21"/>
          <w:highlight w:val="none"/>
        </w:rPr>
        <w:t>采购代理服务费收取</w:t>
      </w:r>
      <w:r>
        <w:rPr>
          <w:rFonts w:hint="eastAsia" w:ascii="黑体" w:hAnsi="黑体" w:eastAsia="黑体"/>
          <w:bCs/>
          <w:szCs w:val="21"/>
          <w:highlight w:val="none"/>
        </w:rPr>
        <w:t>账户：</w:t>
      </w:r>
    </w:p>
    <w:p>
      <w:pPr>
        <w:pStyle w:val="30"/>
        <w:spacing w:line="360" w:lineRule="auto"/>
        <w:ind w:left="851" w:firstLine="140" w:firstLineChars="67"/>
        <w:rPr>
          <w:rFonts w:ascii="黑体" w:hAnsi="黑体" w:eastAsia="黑体"/>
          <w:bCs/>
          <w:szCs w:val="21"/>
          <w:highlight w:val="none"/>
        </w:rPr>
      </w:pPr>
      <w:r>
        <w:rPr>
          <w:rFonts w:ascii="黑体" w:hAnsi="黑体" w:eastAsia="黑体"/>
          <w:bCs/>
          <w:szCs w:val="21"/>
          <w:highlight w:val="none"/>
        </w:rPr>
        <w:t>收款单位名称：</w:t>
      </w:r>
      <w:r>
        <w:rPr>
          <w:rFonts w:hint="eastAsia" w:ascii="黑体" w:hAnsi="黑体" w:eastAsia="黑体"/>
          <w:bCs/>
          <w:szCs w:val="21"/>
          <w:highlight w:val="none"/>
        </w:rPr>
        <w:t>广东智汇城市招标采购有限公司汕头分公司</w:t>
      </w:r>
    </w:p>
    <w:p>
      <w:pPr>
        <w:pStyle w:val="30"/>
        <w:spacing w:line="360" w:lineRule="auto"/>
        <w:ind w:left="851" w:firstLine="140" w:firstLineChars="67"/>
        <w:rPr>
          <w:rFonts w:ascii="黑体" w:hAnsi="黑体" w:eastAsia="黑体"/>
          <w:bCs/>
          <w:szCs w:val="21"/>
          <w:highlight w:val="none"/>
        </w:rPr>
      </w:pPr>
      <w:r>
        <w:rPr>
          <w:rFonts w:ascii="黑体" w:hAnsi="黑体" w:eastAsia="黑体"/>
          <w:bCs/>
          <w:szCs w:val="21"/>
          <w:highlight w:val="none"/>
        </w:rPr>
        <w:t>开户银行：</w:t>
      </w:r>
      <w:r>
        <w:rPr>
          <w:rFonts w:hint="eastAsia" w:ascii="黑体" w:hAnsi="黑体" w:eastAsia="黑体" w:cs="宋体"/>
          <w:szCs w:val="21"/>
          <w:highlight w:val="none"/>
        </w:rPr>
        <w:t>中国民生银行汕头分行</w:t>
      </w:r>
    </w:p>
    <w:p>
      <w:pPr>
        <w:pStyle w:val="30"/>
        <w:spacing w:line="360" w:lineRule="auto"/>
        <w:ind w:left="851" w:firstLine="140" w:firstLineChars="67"/>
        <w:rPr>
          <w:rFonts w:ascii="黑体" w:hAnsi="黑体" w:eastAsia="黑体"/>
          <w:bCs/>
          <w:szCs w:val="21"/>
          <w:highlight w:val="none"/>
        </w:rPr>
      </w:pPr>
      <w:r>
        <w:rPr>
          <w:rFonts w:ascii="黑体" w:hAnsi="黑体" w:eastAsia="黑体"/>
          <w:bCs/>
          <w:szCs w:val="21"/>
          <w:highlight w:val="none"/>
        </w:rPr>
        <w:t>收款账号：155985908</w:t>
      </w:r>
    </w:p>
    <w:p>
      <w:pPr>
        <w:pStyle w:val="40"/>
        <w:numPr>
          <w:ilvl w:val="0"/>
          <w:numId w:val="33"/>
        </w:numPr>
        <w:spacing w:before="156" w:beforeLines="50" w:after="0" w:line="360" w:lineRule="auto"/>
        <w:rPr>
          <w:rFonts w:ascii="黑体" w:hAnsi="黑体" w:eastAsia="黑体"/>
          <w:bCs w:val="0"/>
          <w:sz w:val="21"/>
          <w:szCs w:val="21"/>
          <w:highlight w:val="none"/>
        </w:rPr>
      </w:pPr>
      <w:bookmarkStart w:id="214" w:name="_Toc3210"/>
      <w:r>
        <w:rPr>
          <w:rFonts w:hint="eastAsia" w:ascii="黑体" w:hAnsi="黑体" w:eastAsia="黑体"/>
          <w:bCs w:val="0"/>
          <w:sz w:val="21"/>
          <w:szCs w:val="21"/>
          <w:highlight w:val="none"/>
        </w:rPr>
        <w:t>采购文件符号说明</w:t>
      </w:r>
      <w:bookmarkEnd w:id="214"/>
    </w:p>
    <w:p>
      <w:pPr>
        <w:spacing w:line="360" w:lineRule="auto"/>
        <w:ind w:firstLine="420" w:firstLineChars="200"/>
        <w:rPr>
          <w:rFonts w:ascii="黑体" w:hAnsi="黑体" w:eastAsia="黑体"/>
          <w:bCs/>
          <w:szCs w:val="21"/>
          <w:highlight w:val="none"/>
        </w:rPr>
      </w:pPr>
      <w:r>
        <w:rPr>
          <w:rFonts w:hint="eastAsia" w:ascii="黑体" w:hAnsi="黑体" w:eastAsia="黑体"/>
          <w:bCs/>
          <w:szCs w:val="21"/>
          <w:highlight w:val="none"/>
        </w:rPr>
        <w:t>采购文件中，带“★”符号的内容为必须响应条款，偏离将导致废标；带“▲”符号的内容为采购需求重点技术参数。带“◆</w:t>
      </w:r>
      <w:r>
        <w:rPr>
          <w:rFonts w:ascii="黑体" w:hAnsi="黑体" w:eastAsia="黑体"/>
          <w:bCs/>
          <w:szCs w:val="21"/>
          <w:highlight w:val="none"/>
        </w:rPr>
        <w:t>”</w:t>
      </w:r>
      <w:r>
        <w:rPr>
          <w:rFonts w:hint="eastAsia" w:ascii="黑体" w:hAnsi="黑体" w:eastAsia="黑体"/>
          <w:bCs/>
          <w:szCs w:val="21"/>
          <w:highlight w:val="none"/>
        </w:rPr>
        <w:t>号的内容为核心产品。</w:t>
      </w:r>
    </w:p>
    <w:bookmarkEnd w:id="212"/>
    <w:bookmarkEnd w:id="213"/>
    <w:p>
      <w:pPr>
        <w:pStyle w:val="40"/>
        <w:numPr>
          <w:ilvl w:val="0"/>
          <w:numId w:val="33"/>
        </w:numPr>
        <w:spacing w:before="156" w:beforeLines="50" w:after="0" w:line="360" w:lineRule="auto"/>
        <w:rPr>
          <w:rFonts w:ascii="黑体" w:hAnsi="黑体" w:eastAsia="黑体"/>
          <w:sz w:val="21"/>
          <w:szCs w:val="21"/>
          <w:highlight w:val="none"/>
        </w:rPr>
      </w:pPr>
      <w:bookmarkStart w:id="215" w:name="_Toc429647660"/>
      <w:bookmarkStart w:id="216" w:name="_Toc416446552"/>
      <w:bookmarkStart w:id="217" w:name="_Toc19262"/>
      <w:r>
        <w:rPr>
          <w:rFonts w:hint="eastAsia" w:ascii="黑体" w:hAnsi="黑体" w:eastAsia="黑体"/>
          <w:sz w:val="21"/>
          <w:szCs w:val="21"/>
          <w:highlight w:val="none"/>
        </w:rPr>
        <w:t>采购文件解释权</w:t>
      </w:r>
      <w:bookmarkEnd w:id="215"/>
      <w:bookmarkEnd w:id="216"/>
      <w:bookmarkEnd w:id="217"/>
    </w:p>
    <w:p>
      <w:pPr>
        <w:pStyle w:val="38"/>
        <w:spacing w:line="360" w:lineRule="auto"/>
        <w:ind w:firstLine="433"/>
        <w:rPr>
          <w:rFonts w:ascii="黑体" w:hAnsi="黑体" w:eastAsia="黑体"/>
          <w:sz w:val="21"/>
          <w:szCs w:val="21"/>
          <w:highlight w:val="none"/>
        </w:rPr>
      </w:pPr>
      <w:r>
        <w:rPr>
          <w:rFonts w:hint="eastAsia" w:ascii="黑体" w:hAnsi="黑体" w:eastAsia="黑体"/>
          <w:sz w:val="21"/>
          <w:szCs w:val="21"/>
          <w:highlight w:val="none"/>
        </w:rPr>
        <w:t>本采购文件的解释权</w:t>
      </w:r>
      <w:bookmarkStart w:id="218" w:name="_Hlk46774208"/>
      <w:r>
        <w:rPr>
          <w:rFonts w:hint="eastAsia" w:ascii="黑体" w:hAnsi="黑体" w:eastAsia="黑体"/>
          <w:sz w:val="21"/>
          <w:szCs w:val="21"/>
          <w:highlight w:val="none"/>
        </w:rPr>
        <w:t>在采购人及采购人委托的采购代理机构。</w:t>
      </w:r>
    </w:p>
    <w:bookmarkEnd w:id="218"/>
    <w:p>
      <w:pPr>
        <w:pageBreakBefore/>
        <w:rPr>
          <w:highlight w:val="none"/>
        </w:rPr>
      </w:pPr>
      <w:bookmarkStart w:id="219" w:name="_Toc515363625"/>
      <w:bookmarkStart w:id="220" w:name="_Toc521951133"/>
      <w:bookmarkStart w:id="221" w:name="_Toc515040753"/>
      <w:bookmarkStart w:id="222" w:name="_Toc13821080"/>
      <w:r>
        <w:rPr>
          <w:rStyle w:val="21"/>
          <w:rFonts w:hint="eastAsia" w:ascii="黑体" w:hAnsi="黑体" w:eastAsia="黑体"/>
          <w:bCs w:val="0"/>
          <w:szCs w:val="21"/>
          <w:highlight w:val="none"/>
        </w:rPr>
        <w:t>附件1  询问函格式</w:t>
      </w:r>
      <w:bookmarkEnd w:id="219"/>
      <w:bookmarkEnd w:id="220"/>
      <w:bookmarkEnd w:id="221"/>
      <w:bookmarkEnd w:id="222"/>
    </w:p>
    <w:p>
      <w:pPr>
        <w:spacing w:before="312" w:beforeLines="100" w:after="312" w:afterLines="100"/>
        <w:jc w:val="center"/>
        <w:rPr>
          <w:rFonts w:ascii="黑体" w:hAnsi="黑体" w:eastAsia="黑体"/>
          <w:b/>
          <w:bCs/>
          <w:spacing w:val="20"/>
          <w:sz w:val="28"/>
          <w:szCs w:val="28"/>
          <w:highlight w:val="none"/>
        </w:rPr>
      </w:pPr>
      <w:r>
        <w:rPr>
          <w:rFonts w:hint="eastAsia" w:ascii="黑体" w:hAnsi="黑体" w:eastAsia="黑体"/>
          <w:b/>
          <w:bCs/>
          <w:spacing w:val="20"/>
          <w:sz w:val="28"/>
          <w:szCs w:val="28"/>
          <w:highlight w:val="none"/>
        </w:rPr>
        <w:t>询问函</w:t>
      </w:r>
    </w:p>
    <w:p>
      <w:pPr>
        <w:widowControl/>
        <w:adjustRightInd w:val="0"/>
        <w:spacing w:after="156" w:afterLines="50" w:line="360" w:lineRule="auto"/>
        <w:rPr>
          <w:rFonts w:ascii="黑体" w:hAnsi="黑体" w:eastAsia="黑体"/>
          <w:szCs w:val="21"/>
          <w:highlight w:val="none"/>
        </w:rPr>
      </w:pPr>
      <w:r>
        <w:rPr>
          <w:rFonts w:ascii="黑体" w:hAnsi="黑体" w:eastAsia="黑体"/>
          <w:szCs w:val="21"/>
          <w:highlight w:val="none"/>
          <w:u w:val="single"/>
        </w:rPr>
        <w:t>广东智汇城市招标采购有限公司</w:t>
      </w:r>
      <w:r>
        <w:rPr>
          <w:rFonts w:hint="eastAsia" w:ascii="黑体" w:hAnsi="黑体" w:eastAsia="黑体"/>
          <w:szCs w:val="21"/>
          <w:highlight w:val="none"/>
        </w:rPr>
        <w:t>：</w:t>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我单位已获取并准备参与</w:t>
      </w:r>
      <w:r>
        <w:rPr>
          <w:rFonts w:ascii="黑体" w:hAnsi="黑体" w:eastAsia="黑体"/>
          <w:i/>
          <w:szCs w:val="21"/>
          <w:highlight w:val="none"/>
          <w:u w:val="single"/>
        </w:rPr>
        <w:t xml:space="preserve">           </w:t>
      </w:r>
      <w:r>
        <w:rPr>
          <w:rFonts w:hint="eastAsia" w:ascii="黑体" w:hAnsi="黑体" w:eastAsia="黑体"/>
          <w:szCs w:val="21"/>
          <w:highlight w:val="none"/>
        </w:rPr>
        <w:t>项目（项目编号</w:t>
      </w:r>
      <w:r>
        <w:rPr>
          <w:rFonts w:hint="eastAsia" w:ascii="黑体" w:hAnsi="黑体" w:eastAsia="黑体"/>
          <w:szCs w:val="21"/>
          <w:highlight w:val="none"/>
          <w:u w:val="single"/>
        </w:rPr>
        <w:t>：</w:t>
      </w:r>
      <w:r>
        <w:rPr>
          <w:rFonts w:ascii="黑体" w:hAnsi="黑体" w:eastAsia="黑体"/>
          <w:szCs w:val="21"/>
          <w:highlight w:val="none"/>
          <w:u w:val="single"/>
        </w:rPr>
        <w:t xml:space="preserve">        </w:t>
      </w:r>
      <w:r>
        <w:rPr>
          <w:rFonts w:hint="eastAsia" w:ascii="黑体" w:hAnsi="黑体" w:eastAsia="黑体"/>
          <w:szCs w:val="21"/>
          <w:highlight w:val="none"/>
        </w:rPr>
        <w:t>）的谈判（或报价）活动，现有以下几个内容（或条款）存在疑问（或无法理解），特提出询问。</w:t>
      </w:r>
    </w:p>
    <w:p>
      <w:pPr>
        <w:widowControl/>
        <w:tabs>
          <w:tab w:val="center" w:pos="5019"/>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 xml:space="preserve">一、 </w:t>
      </w:r>
      <w:r>
        <w:rPr>
          <w:rFonts w:hint="eastAsia" w:ascii="黑体" w:hAnsi="黑体" w:eastAsia="黑体"/>
          <w:szCs w:val="21"/>
          <w:highlight w:val="none"/>
          <w:u w:val="single"/>
        </w:rPr>
        <w:t xml:space="preserve">                     </w:t>
      </w:r>
      <w:r>
        <w:rPr>
          <w:rFonts w:ascii="黑体" w:hAnsi="黑体" w:eastAsia="黑体"/>
          <w:szCs w:val="21"/>
          <w:highlight w:val="none"/>
        </w:rPr>
        <w:t>（事项一）</w:t>
      </w:r>
      <w:r>
        <w:rPr>
          <w:rFonts w:ascii="黑体" w:hAnsi="黑体" w:eastAsia="黑体"/>
          <w:szCs w:val="21"/>
          <w:highlight w:val="none"/>
        </w:rPr>
        <w:tab/>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w:t>
      </w:r>
      <w:r>
        <w:rPr>
          <w:rFonts w:ascii="黑体" w:hAnsi="黑体" w:eastAsia="黑体"/>
          <w:szCs w:val="21"/>
          <w:highlight w:val="none"/>
        </w:rPr>
        <w:t>1）</w:t>
      </w:r>
      <w:r>
        <w:rPr>
          <w:rFonts w:hint="eastAsia" w:ascii="黑体" w:hAnsi="黑体" w:eastAsia="黑体"/>
          <w:szCs w:val="21"/>
          <w:highlight w:val="none"/>
        </w:rPr>
        <w:t xml:space="preserve"> </w:t>
      </w:r>
      <w:r>
        <w:rPr>
          <w:rFonts w:hint="eastAsia" w:ascii="黑体" w:hAnsi="黑体" w:eastAsia="黑体"/>
          <w:szCs w:val="21"/>
          <w:highlight w:val="none"/>
          <w:u w:val="single"/>
        </w:rPr>
        <w:t xml:space="preserve">                     </w:t>
      </w:r>
      <w:r>
        <w:rPr>
          <w:rFonts w:ascii="黑体" w:hAnsi="黑体" w:eastAsia="黑体"/>
          <w:szCs w:val="21"/>
          <w:highlight w:val="none"/>
        </w:rPr>
        <w:t>（问题或条款内容）</w:t>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w:t>
      </w:r>
      <w:r>
        <w:rPr>
          <w:rFonts w:ascii="黑体" w:hAnsi="黑体" w:eastAsia="黑体"/>
          <w:szCs w:val="21"/>
          <w:highlight w:val="none"/>
        </w:rPr>
        <w:t>2）</w:t>
      </w:r>
      <w:r>
        <w:rPr>
          <w:rFonts w:hint="eastAsia" w:ascii="黑体" w:hAnsi="黑体" w:eastAsia="黑体"/>
          <w:szCs w:val="21"/>
          <w:highlight w:val="none"/>
        </w:rPr>
        <w:t xml:space="preserve"> </w:t>
      </w:r>
      <w:r>
        <w:rPr>
          <w:rFonts w:hint="eastAsia" w:ascii="黑体" w:hAnsi="黑体" w:eastAsia="黑体"/>
          <w:szCs w:val="21"/>
          <w:highlight w:val="none"/>
          <w:u w:val="single"/>
        </w:rPr>
        <w:t xml:space="preserve">                     </w:t>
      </w:r>
      <w:r>
        <w:rPr>
          <w:rFonts w:ascii="黑体" w:hAnsi="黑体" w:eastAsia="黑体"/>
          <w:szCs w:val="21"/>
          <w:highlight w:val="none"/>
        </w:rPr>
        <w:t>（说明疑问或无法理解原因）</w:t>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w:t>
      </w:r>
      <w:r>
        <w:rPr>
          <w:rFonts w:ascii="黑体" w:hAnsi="黑体" w:eastAsia="黑体"/>
          <w:szCs w:val="21"/>
          <w:highlight w:val="none"/>
        </w:rPr>
        <w:t>3）</w:t>
      </w:r>
      <w:r>
        <w:rPr>
          <w:rFonts w:hint="eastAsia" w:ascii="黑体" w:hAnsi="黑体" w:eastAsia="黑体"/>
          <w:szCs w:val="21"/>
          <w:highlight w:val="none"/>
        </w:rPr>
        <w:t xml:space="preserve"> </w:t>
      </w:r>
      <w:r>
        <w:rPr>
          <w:rFonts w:hint="eastAsia" w:ascii="黑体" w:hAnsi="黑体" w:eastAsia="黑体"/>
          <w:szCs w:val="21"/>
          <w:highlight w:val="none"/>
          <w:u w:val="single"/>
        </w:rPr>
        <w:t xml:space="preserve">                     </w:t>
      </w:r>
      <w:r>
        <w:rPr>
          <w:rFonts w:ascii="黑体" w:hAnsi="黑体" w:eastAsia="黑体"/>
          <w:szCs w:val="21"/>
          <w:highlight w:val="none"/>
        </w:rPr>
        <w:t>（建议）</w:t>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 xml:space="preserve">二、 </w:t>
      </w:r>
      <w:r>
        <w:rPr>
          <w:rFonts w:hint="eastAsia" w:ascii="黑体" w:hAnsi="黑体" w:eastAsia="黑体"/>
          <w:szCs w:val="21"/>
          <w:highlight w:val="none"/>
          <w:u w:val="single"/>
        </w:rPr>
        <w:t xml:space="preserve">                      </w:t>
      </w:r>
      <w:r>
        <w:rPr>
          <w:rFonts w:ascii="黑体" w:hAnsi="黑体" w:eastAsia="黑体"/>
          <w:szCs w:val="21"/>
          <w:highlight w:val="none"/>
        </w:rPr>
        <w:t>（事项二）</w:t>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w:t>
      </w:r>
    </w:p>
    <w:p>
      <w:pPr>
        <w:widowControl/>
        <w:tabs>
          <w:tab w:val="left" w:pos="6300"/>
        </w:tabs>
        <w:adjustRightInd w:val="0"/>
        <w:spacing w:line="360" w:lineRule="auto"/>
        <w:ind w:firstLine="420" w:firstLineChars="200"/>
        <w:rPr>
          <w:rFonts w:ascii="黑体" w:hAnsi="黑体" w:eastAsia="黑体"/>
          <w:szCs w:val="21"/>
          <w:highlight w:val="none"/>
        </w:rPr>
      </w:pPr>
      <w:r>
        <w:rPr>
          <w:rFonts w:hint="eastAsia" w:ascii="黑体" w:hAnsi="黑体" w:eastAsia="黑体"/>
          <w:szCs w:val="21"/>
          <w:highlight w:val="none"/>
        </w:rPr>
        <w:t>随附相关证明材料如下：（目录）。</w:t>
      </w:r>
    </w:p>
    <w:p>
      <w:pPr>
        <w:widowControl/>
        <w:tabs>
          <w:tab w:val="left" w:pos="6300"/>
        </w:tabs>
        <w:adjustRightInd w:val="0"/>
        <w:spacing w:line="360" w:lineRule="auto"/>
        <w:ind w:firstLine="1260" w:firstLineChars="600"/>
        <w:rPr>
          <w:rFonts w:ascii="黑体" w:hAnsi="黑体" w:eastAsia="黑体"/>
          <w:szCs w:val="21"/>
          <w:highlight w:val="none"/>
        </w:rPr>
      </w:pPr>
      <w:r>
        <w:rPr>
          <w:rFonts w:hint="eastAsia" w:ascii="黑体" w:hAnsi="黑体" w:eastAsia="黑体"/>
          <w:szCs w:val="21"/>
          <w:highlight w:val="none"/>
        </w:rPr>
        <w:t>询问人：（公章）</w:t>
      </w:r>
    </w:p>
    <w:p>
      <w:pPr>
        <w:widowControl/>
        <w:tabs>
          <w:tab w:val="left" w:pos="6300"/>
        </w:tabs>
        <w:adjustRightInd w:val="0"/>
        <w:spacing w:line="360" w:lineRule="auto"/>
        <w:ind w:firstLine="1260" w:firstLineChars="600"/>
        <w:rPr>
          <w:rFonts w:ascii="黑体" w:hAnsi="黑体" w:eastAsia="黑体"/>
          <w:szCs w:val="21"/>
          <w:highlight w:val="none"/>
        </w:rPr>
      </w:pPr>
      <w:r>
        <w:rPr>
          <w:rFonts w:hint="eastAsia" w:ascii="黑体" w:hAnsi="黑体" w:eastAsia="黑体"/>
          <w:szCs w:val="21"/>
          <w:highlight w:val="none"/>
        </w:rPr>
        <w:t>法定代表人（授权代表）：</w:t>
      </w:r>
    </w:p>
    <w:p>
      <w:pPr>
        <w:tabs>
          <w:tab w:val="left" w:pos="6300"/>
        </w:tabs>
        <w:adjustRightInd w:val="0"/>
        <w:spacing w:line="360" w:lineRule="auto"/>
        <w:ind w:firstLine="1260" w:firstLineChars="600"/>
        <w:rPr>
          <w:rFonts w:ascii="黑体" w:hAnsi="黑体" w:eastAsia="黑体"/>
          <w:szCs w:val="21"/>
          <w:highlight w:val="none"/>
        </w:rPr>
      </w:pPr>
      <w:r>
        <w:rPr>
          <w:rFonts w:hint="eastAsia" w:ascii="黑体" w:hAnsi="黑体" w:eastAsia="黑体"/>
          <w:szCs w:val="21"/>
          <w:highlight w:val="none"/>
        </w:rPr>
        <w:t>地址</w:t>
      </w:r>
      <w:r>
        <w:rPr>
          <w:rFonts w:ascii="黑体" w:hAnsi="黑体" w:eastAsia="黑体"/>
          <w:szCs w:val="21"/>
          <w:highlight w:val="none"/>
        </w:rPr>
        <w:t>/邮编：</w:t>
      </w:r>
    </w:p>
    <w:p>
      <w:pPr>
        <w:tabs>
          <w:tab w:val="left" w:pos="6300"/>
        </w:tabs>
        <w:adjustRightInd w:val="0"/>
        <w:spacing w:line="360" w:lineRule="auto"/>
        <w:ind w:firstLine="1260" w:firstLineChars="600"/>
        <w:rPr>
          <w:rFonts w:ascii="黑体" w:hAnsi="黑体" w:eastAsia="黑体"/>
          <w:szCs w:val="21"/>
          <w:highlight w:val="none"/>
        </w:rPr>
      </w:pPr>
      <w:r>
        <w:rPr>
          <w:rFonts w:hint="eastAsia" w:ascii="黑体" w:hAnsi="黑体" w:eastAsia="黑体"/>
          <w:szCs w:val="21"/>
          <w:highlight w:val="none"/>
        </w:rPr>
        <w:t>电话</w:t>
      </w:r>
      <w:r>
        <w:rPr>
          <w:rFonts w:ascii="黑体" w:hAnsi="黑体" w:eastAsia="黑体"/>
          <w:szCs w:val="21"/>
          <w:highlight w:val="none"/>
        </w:rPr>
        <w:t>/传真：</w:t>
      </w:r>
    </w:p>
    <w:p>
      <w:pPr>
        <w:adjustRightInd w:val="0"/>
        <w:spacing w:line="360" w:lineRule="auto"/>
        <w:jc w:val="right"/>
        <w:rPr>
          <w:rFonts w:ascii="黑体" w:hAnsi="黑体" w:eastAsia="黑体"/>
          <w:szCs w:val="21"/>
          <w:highlight w:val="none"/>
        </w:rPr>
      </w:pPr>
      <w:r>
        <w:rPr>
          <w:rFonts w:hint="eastAsia" w:ascii="黑体" w:hAnsi="黑体" w:eastAsia="黑体"/>
          <w:szCs w:val="21"/>
          <w:highlight w:val="none"/>
        </w:rPr>
        <w:t>年</w:t>
      </w:r>
      <w:r>
        <w:rPr>
          <w:rFonts w:ascii="黑体" w:hAnsi="黑体" w:eastAsia="黑体"/>
          <w:szCs w:val="21"/>
          <w:highlight w:val="none"/>
        </w:rPr>
        <w:t xml:space="preserve">     </w:t>
      </w:r>
      <w:r>
        <w:rPr>
          <w:rFonts w:hint="eastAsia" w:ascii="黑体" w:hAnsi="黑体" w:eastAsia="黑体"/>
          <w:szCs w:val="21"/>
          <w:highlight w:val="none"/>
        </w:rPr>
        <w:t>月</w:t>
      </w:r>
      <w:r>
        <w:rPr>
          <w:rFonts w:ascii="黑体" w:hAnsi="黑体" w:eastAsia="黑体"/>
          <w:szCs w:val="21"/>
          <w:highlight w:val="none"/>
        </w:rPr>
        <w:t xml:space="preserve">     </w:t>
      </w:r>
      <w:r>
        <w:rPr>
          <w:rFonts w:hint="eastAsia" w:ascii="黑体" w:hAnsi="黑体" w:eastAsia="黑体"/>
          <w:szCs w:val="21"/>
          <w:highlight w:val="none"/>
        </w:rPr>
        <w:t>日</w:t>
      </w:r>
    </w:p>
    <w:p>
      <w:pPr>
        <w:pageBreakBefore/>
        <w:rPr>
          <w:rFonts w:ascii="黑体" w:hAnsi="黑体" w:eastAsia="黑体"/>
          <w:szCs w:val="21"/>
          <w:highlight w:val="none"/>
        </w:rPr>
      </w:pPr>
      <w:bookmarkStart w:id="223" w:name="_Toc515363626"/>
      <w:bookmarkStart w:id="224" w:name="_Toc515040754"/>
      <w:bookmarkStart w:id="225" w:name="_Toc521951134"/>
      <w:bookmarkStart w:id="226" w:name="_Toc13821081"/>
      <w:r>
        <w:rPr>
          <w:rStyle w:val="21"/>
          <w:rFonts w:hint="eastAsia" w:ascii="黑体" w:hAnsi="黑体" w:eastAsia="黑体"/>
          <w:bCs w:val="0"/>
          <w:szCs w:val="21"/>
          <w:highlight w:val="none"/>
        </w:rPr>
        <w:t>附件2  质疑函格式</w:t>
      </w:r>
      <w:bookmarkEnd w:id="223"/>
      <w:bookmarkEnd w:id="224"/>
      <w:bookmarkEnd w:id="225"/>
      <w:bookmarkEnd w:id="226"/>
    </w:p>
    <w:p>
      <w:pPr>
        <w:spacing w:before="312" w:beforeLines="100" w:after="312" w:afterLines="100"/>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质疑函</w:t>
      </w:r>
    </w:p>
    <w:p>
      <w:pPr>
        <w:adjustRightInd w:val="0"/>
        <w:snapToGrid w:val="0"/>
        <w:spacing w:line="360" w:lineRule="auto"/>
        <w:rPr>
          <w:rFonts w:ascii="黑体" w:hAnsi="黑体" w:eastAsia="黑体" w:cs="仿宋"/>
          <w:bCs/>
          <w:szCs w:val="21"/>
          <w:highlight w:val="none"/>
        </w:rPr>
      </w:pPr>
      <w:r>
        <w:rPr>
          <w:rFonts w:hint="eastAsia" w:ascii="黑体" w:hAnsi="黑体" w:eastAsia="黑体" w:cs="仿宋"/>
          <w:bCs/>
          <w:szCs w:val="21"/>
          <w:highlight w:val="none"/>
        </w:rPr>
        <w:t>一、质疑供应商基本信息</w:t>
      </w:r>
    </w:p>
    <w:p>
      <w:pPr>
        <w:adjustRightInd w:val="0"/>
        <w:snapToGrid w:val="0"/>
        <w:spacing w:line="360" w:lineRule="auto"/>
        <w:rPr>
          <w:rFonts w:ascii="黑体" w:hAnsi="黑体" w:eastAsia="黑体" w:cs="仿宋"/>
          <w:szCs w:val="21"/>
          <w:highlight w:val="none"/>
          <w:u w:val="dotted"/>
        </w:rPr>
      </w:pPr>
      <w:r>
        <w:rPr>
          <w:rFonts w:hint="eastAsia" w:ascii="黑体" w:hAnsi="黑体" w:eastAsia="黑体" w:cs="仿宋"/>
          <w:szCs w:val="21"/>
          <w:highlight w:val="none"/>
        </w:rPr>
        <w:t>质疑供应商：</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rPr>
      </w:pPr>
      <w:r>
        <w:rPr>
          <w:rFonts w:hint="eastAsia" w:ascii="黑体" w:hAnsi="黑体" w:eastAsia="黑体" w:cs="仿宋"/>
          <w:szCs w:val="21"/>
          <w:highlight w:val="none"/>
        </w:rPr>
        <w:t>地址：</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rPr>
        <w:t>邮编：</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rPr>
      </w:pPr>
      <w:r>
        <w:rPr>
          <w:rFonts w:hint="eastAsia" w:ascii="黑体" w:hAnsi="黑体" w:eastAsia="黑体" w:cs="仿宋"/>
          <w:szCs w:val="21"/>
          <w:highlight w:val="none"/>
        </w:rPr>
        <w:t>联系人：</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hint="eastAsia" w:ascii="黑体" w:hAnsi="黑体" w:eastAsia="黑体" w:cs="仿宋"/>
          <w:szCs w:val="21"/>
          <w:highlight w:val="none"/>
        </w:rPr>
        <w:t>联系电话：</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u w:val="dotted"/>
        </w:rPr>
      </w:pPr>
      <w:r>
        <w:rPr>
          <w:rFonts w:hint="eastAsia" w:ascii="黑体" w:hAnsi="黑体" w:eastAsia="黑体" w:cs="仿宋"/>
          <w:szCs w:val="21"/>
          <w:highlight w:val="none"/>
        </w:rPr>
        <w:t>授权代表：</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b/>
          <w:szCs w:val="21"/>
          <w:highlight w:val="none"/>
        </w:rPr>
      </w:pPr>
      <w:r>
        <w:rPr>
          <w:rFonts w:hint="eastAsia" w:ascii="黑体" w:hAnsi="黑体" w:eastAsia="黑体" w:cs="仿宋"/>
          <w:szCs w:val="21"/>
          <w:highlight w:val="none"/>
        </w:rPr>
        <w:t>联系电话：</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b/>
          <w:szCs w:val="21"/>
          <w:highlight w:val="none"/>
        </w:rPr>
      </w:pPr>
      <w:r>
        <w:rPr>
          <w:rFonts w:hint="eastAsia" w:ascii="黑体" w:hAnsi="黑体" w:eastAsia="黑体" w:cs="仿宋"/>
          <w:szCs w:val="21"/>
          <w:highlight w:val="none"/>
        </w:rPr>
        <w:t>地   址：</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rPr>
        <w:t>邮编：</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before="156" w:beforeLines="50" w:line="360" w:lineRule="auto"/>
        <w:rPr>
          <w:rFonts w:ascii="黑体" w:hAnsi="黑体" w:eastAsia="黑体" w:cs="仿宋"/>
          <w:bCs/>
          <w:szCs w:val="21"/>
          <w:highlight w:val="none"/>
        </w:rPr>
      </w:pPr>
      <w:r>
        <w:rPr>
          <w:rFonts w:hint="eastAsia" w:ascii="黑体" w:hAnsi="黑体" w:eastAsia="黑体" w:cs="仿宋"/>
          <w:bCs/>
          <w:szCs w:val="21"/>
          <w:highlight w:val="none"/>
        </w:rPr>
        <w:t xml:space="preserve">二、质疑项目基本情况 </w:t>
      </w:r>
    </w:p>
    <w:p>
      <w:pPr>
        <w:adjustRightInd w:val="0"/>
        <w:snapToGrid w:val="0"/>
        <w:spacing w:line="360" w:lineRule="auto"/>
        <w:rPr>
          <w:rFonts w:ascii="黑体" w:hAnsi="黑体" w:eastAsia="黑体" w:cs="仿宋"/>
          <w:szCs w:val="21"/>
          <w:highlight w:val="none"/>
        </w:rPr>
      </w:pPr>
      <w:r>
        <w:rPr>
          <w:rFonts w:hint="eastAsia" w:ascii="黑体" w:hAnsi="黑体" w:eastAsia="黑体" w:cs="仿宋"/>
          <w:szCs w:val="21"/>
          <w:highlight w:val="none"/>
        </w:rPr>
        <w:t>质疑项目的名称：</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rPr>
      </w:pPr>
      <w:r>
        <w:rPr>
          <w:rFonts w:hint="eastAsia" w:ascii="黑体" w:hAnsi="黑体" w:eastAsia="黑体" w:cs="仿宋"/>
          <w:szCs w:val="21"/>
          <w:highlight w:val="none"/>
        </w:rPr>
        <w:t>质疑项目的编号：</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rPr>
        <w:t>包号：</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u w:val="single"/>
        </w:rPr>
      </w:pPr>
      <w:r>
        <w:rPr>
          <w:rFonts w:hint="eastAsia" w:ascii="黑体" w:hAnsi="黑体" w:eastAsia="黑体" w:cs="仿宋"/>
          <w:szCs w:val="21"/>
          <w:highlight w:val="none"/>
        </w:rPr>
        <w:t>采购人名称：</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u w:val="single"/>
        </w:rPr>
      </w:pPr>
      <w:r>
        <w:rPr>
          <w:rFonts w:hint="eastAsia" w:ascii="黑体" w:hAnsi="黑体" w:eastAsia="黑体" w:cs="仿宋"/>
          <w:szCs w:val="21"/>
          <w:highlight w:val="none"/>
        </w:rPr>
        <w:t>采购文件获取日期：</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before="156" w:beforeLines="50" w:line="360" w:lineRule="auto"/>
        <w:rPr>
          <w:rFonts w:ascii="黑体" w:hAnsi="黑体" w:eastAsia="黑体" w:cs="仿宋"/>
          <w:bCs/>
          <w:szCs w:val="21"/>
          <w:highlight w:val="none"/>
        </w:rPr>
      </w:pPr>
      <w:r>
        <w:rPr>
          <w:rFonts w:hint="eastAsia" w:ascii="黑体" w:hAnsi="黑体" w:eastAsia="黑体" w:cs="仿宋"/>
          <w:bCs/>
          <w:szCs w:val="21"/>
          <w:highlight w:val="none"/>
        </w:rPr>
        <w:t>三、质疑事项具体内容</w:t>
      </w:r>
    </w:p>
    <w:p>
      <w:pPr>
        <w:adjustRightInd w:val="0"/>
        <w:snapToGrid w:val="0"/>
        <w:spacing w:line="360" w:lineRule="auto"/>
        <w:rPr>
          <w:rFonts w:ascii="黑体" w:hAnsi="黑体" w:eastAsia="黑体" w:cs="仿宋"/>
          <w:szCs w:val="21"/>
          <w:highlight w:val="none"/>
          <w:u w:val="single"/>
        </w:rPr>
      </w:pPr>
      <w:r>
        <w:rPr>
          <w:rFonts w:hint="eastAsia" w:ascii="黑体" w:hAnsi="黑体" w:eastAsia="黑体" w:cs="仿宋"/>
          <w:szCs w:val="21"/>
          <w:highlight w:val="none"/>
        </w:rPr>
        <w:t>质疑事项</w:t>
      </w:r>
      <w:r>
        <w:rPr>
          <w:rFonts w:ascii="黑体" w:hAnsi="黑体" w:eastAsia="黑体" w:cs="仿宋"/>
          <w:szCs w:val="21"/>
          <w:highlight w:val="none"/>
        </w:rPr>
        <w:t>1：</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u w:val="single"/>
        </w:rPr>
      </w:pPr>
      <w:r>
        <w:rPr>
          <w:rFonts w:hint="eastAsia" w:ascii="黑体" w:hAnsi="黑体" w:eastAsia="黑体" w:cs="仿宋"/>
          <w:szCs w:val="21"/>
          <w:highlight w:val="none"/>
        </w:rPr>
        <w:t>事实依据：</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u w:val="single"/>
        </w:rPr>
      </w:pPr>
      <w:r>
        <w:rPr>
          <w:rFonts w:hint="eastAsia" w:ascii="黑体" w:hAnsi="黑体" w:eastAsia="黑体" w:cs="仿宋"/>
          <w:szCs w:val="21"/>
          <w:highlight w:val="none"/>
        </w:rPr>
        <w:t>法律依据：</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cs="仿宋"/>
          <w:szCs w:val="21"/>
          <w:highlight w:val="none"/>
          <w:u w:val="dotted"/>
        </w:rPr>
      </w:pPr>
      <w:r>
        <w:rPr>
          <w:rFonts w:hint="eastAsia" w:ascii="黑体" w:hAnsi="黑体" w:eastAsia="黑体" w:cs="仿宋"/>
          <w:szCs w:val="21"/>
          <w:highlight w:val="none"/>
        </w:rPr>
        <w:t>质疑事项</w:t>
      </w:r>
      <w:r>
        <w:rPr>
          <w:rFonts w:ascii="黑体" w:hAnsi="黑体" w:eastAsia="黑体" w:cs="仿宋"/>
          <w:szCs w:val="21"/>
          <w:highlight w:val="none"/>
        </w:rPr>
        <w:t>2</w:t>
      </w:r>
    </w:p>
    <w:p>
      <w:pPr>
        <w:adjustRightInd w:val="0"/>
        <w:snapToGrid w:val="0"/>
        <w:spacing w:line="360" w:lineRule="auto"/>
        <w:rPr>
          <w:rFonts w:ascii="黑体" w:hAnsi="黑体" w:eastAsia="黑体" w:cs="仿宋"/>
          <w:szCs w:val="21"/>
          <w:highlight w:val="none"/>
        </w:rPr>
      </w:pPr>
      <w:r>
        <w:rPr>
          <w:rFonts w:hint="eastAsia" w:ascii="黑体" w:hAnsi="黑体" w:eastAsia="黑体" w:cs="仿宋"/>
          <w:szCs w:val="21"/>
          <w:highlight w:val="none"/>
        </w:rPr>
        <w:t>……</w:t>
      </w:r>
    </w:p>
    <w:p>
      <w:pPr>
        <w:adjustRightInd w:val="0"/>
        <w:snapToGrid w:val="0"/>
        <w:spacing w:line="360" w:lineRule="auto"/>
        <w:rPr>
          <w:rFonts w:ascii="黑体" w:hAnsi="黑体" w:eastAsia="黑体" w:cs="仿宋"/>
          <w:bCs/>
          <w:szCs w:val="21"/>
          <w:highlight w:val="none"/>
        </w:rPr>
      </w:pPr>
      <w:r>
        <w:rPr>
          <w:rFonts w:hint="eastAsia" w:ascii="黑体" w:hAnsi="黑体" w:eastAsia="黑体" w:cs="仿宋"/>
          <w:bCs/>
          <w:szCs w:val="21"/>
          <w:highlight w:val="none"/>
        </w:rPr>
        <w:t>四、与质疑事项相关的质疑请求</w:t>
      </w:r>
    </w:p>
    <w:p>
      <w:pPr>
        <w:adjustRightInd w:val="0"/>
        <w:snapToGrid w:val="0"/>
        <w:spacing w:line="360" w:lineRule="auto"/>
        <w:rPr>
          <w:rFonts w:ascii="黑体" w:hAnsi="黑体" w:eastAsia="黑体" w:cs="仿宋"/>
          <w:szCs w:val="21"/>
          <w:highlight w:val="none"/>
          <w:u w:val="dotted"/>
        </w:rPr>
      </w:pPr>
      <w:r>
        <w:rPr>
          <w:rFonts w:hint="eastAsia" w:ascii="黑体" w:hAnsi="黑体" w:eastAsia="黑体" w:cs="仿宋"/>
          <w:szCs w:val="21"/>
          <w:highlight w:val="none"/>
        </w:rPr>
        <w:t>请求：</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r>
        <w:rPr>
          <w:rFonts w:ascii="黑体" w:hAnsi="黑体" w:eastAsia="黑体" w:cs="仿宋"/>
          <w:szCs w:val="21"/>
          <w:highlight w:val="none"/>
          <w:u w:val="single"/>
        </w:rPr>
        <w:t xml:space="preserve">  </w:t>
      </w:r>
      <w:r>
        <w:rPr>
          <w:rFonts w:hint="eastAsia" w:ascii="黑体" w:hAnsi="黑体" w:eastAsia="黑体" w:cs="仿宋"/>
          <w:szCs w:val="21"/>
          <w:highlight w:val="none"/>
          <w:u w:val="single"/>
        </w:rPr>
        <w:t xml:space="preserve">             </w:t>
      </w:r>
    </w:p>
    <w:p>
      <w:pPr>
        <w:adjustRightInd w:val="0"/>
        <w:snapToGrid w:val="0"/>
        <w:spacing w:line="360" w:lineRule="auto"/>
        <w:rPr>
          <w:rFonts w:ascii="黑体" w:hAnsi="黑体" w:eastAsia="黑体"/>
          <w:szCs w:val="21"/>
          <w:highlight w:val="none"/>
        </w:rPr>
      </w:pPr>
      <w:r>
        <w:rPr>
          <w:rFonts w:hint="eastAsia" w:ascii="黑体" w:hAnsi="黑体" w:eastAsia="黑体"/>
          <w:szCs w:val="21"/>
          <w:highlight w:val="none"/>
        </w:rPr>
        <w:t>签字</w:t>
      </w:r>
      <w:r>
        <w:rPr>
          <w:rFonts w:ascii="黑体" w:hAnsi="黑体" w:eastAsia="黑体"/>
          <w:szCs w:val="21"/>
          <w:highlight w:val="none"/>
        </w:rPr>
        <w:t xml:space="preserve">(签章)：                   公章：                      </w:t>
      </w:r>
    </w:p>
    <w:p>
      <w:pPr>
        <w:adjustRightInd w:val="0"/>
        <w:snapToGrid w:val="0"/>
        <w:spacing w:line="360" w:lineRule="auto"/>
        <w:rPr>
          <w:rFonts w:ascii="黑体" w:hAnsi="黑体" w:eastAsia="黑体"/>
          <w:szCs w:val="21"/>
          <w:highlight w:val="none"/>
        </w:rPr>
      </w:pPr>
      <w:r>
        <w:rPr>
          <w:rFonts w:hint="eastAsia" w:ascii="黑体" w:hAnsi="黑体" w:eastAsia="黑体"/>
          <w:szCs w:val="21"/>
          <w:highlight w:val="none"/>
        </w:rPr>
        <w:t>日    期：</w:t>
      </w:r>
      <w:r>
        <w:rPr>
          <w:rFonts w:ascii="黑体" w:hAnsi="黑体" w:eastAsia="黑体"/>
          <w:szCs w:val="21"/>
          <w:highlight w:val="none"/>
        </w:rPr>
        <w:t xml:space="preserve">    </w:t>
      </w:r>
    </w:p>
    <w:p>
      <w:pPr>
        <w:adjustRightInd w:val="0"/>
        <w:snapToGrid w:val="0"/>
        <w:spacing w:line="360" w:lineRule="auto"/>
        <w:rPr>
          <w:rFonts w:ascii="黑体" w:hAnsi="黑体" w:eastAsia="黑体" w:cs="仿宋"/>
          <w:szCs w:val="21"/>
          <w:highlight w:val="none"/>
        </w:rPr>
      </w:pPr>
    </w:p>
    <w:p>
      <w:pPr>
        <w:adjustRightInd w:val="0"/>
        <w:snapToGrid w:val="0"/>
        <w:spacing w:line="360" w:lineRule="auto"/>
        <w:rPr>
          <w:rFonts w:ascii="黑体" w:hAnsi="黑体" w:eastAsia="黑体"/>
          <w:b/>
          <w:szCs w:val="21"/>
          <w:highlight w:val="none"/>
        </w:rPr>
      </w:pPr>
    </w:p>
    <w:p>
      <w:pPr>
        <w:adjustRightInd w:val="0"/>
        <w:snapToGrid w:val="0"/>
        <w:spacing w:line="360" w:lineRule="auto"/>
        <w:rPr>
          <w:rFonts w:ascii="黑体" w:hAnsi="黑体" w:eastAsia="黑体"/>
          <w:b/>
          <w:szCs w:val="21"/>
          <w:highlight w:val="none"/>
        </w:rPr>
      </w:pPr>
      <w:r>
        <w:rPr>
          <w:rFonts w:hint="eastAsia" w:ascii="黑体" w:hAnsi="黑体" w:eastAsia="黑体"/>
          <w:b/>
          <w:szCs w:val="21"/>
          <w:highlight w:val="none"/>
        </w:rPr>
        <w:t>质疑函制作说明：</w:t>
      </w:r>
    </w:p>
    <w:p>
      <w:pPr>
        <w:pStyle w:val="30"/>
        <w:widowControl/>
        <w:numPr>
          <w:ilvl w:val="0"/>
          <w:numId w:val="78"/>
        </w:numPr>
        <w:adjustRightInd w:val="0"/>
        <w:snapToGrid w:val="0"/>
        <w:spacing w:line="360" w:lineRule="auto"/>
        <w:ind w:firstLineChars="0"/>
        <w:jc w:val="left"/>
        <w:rPr>
          <w:rFonts w:ascii="黑体" w:hAnsi="黑体" w:eastAsia="黑体"/>
          <w:b/>
          <w:szCs w:val="21"/>
          <w:highlight w:val="none"/>
        </w:rPr>
      </w:pPr>
      <w:r>
        <w:rPr>
          <w:rFonts w:ascii="黑体" w:hAnsi="黑体" w:eastAsia="黑体"/>
          <w:szCs w:val="21"/>
          <w:highlight w:val="none"/>
        </w:rPr>
        <w:t>供应商提出质疑时，应提交质疑函和必要的证明材料。</w:t>
      </w:r>
    </w:p>
    <w:p>
      <w:pPr>
        <w:pStyle w:val="16"/>
        <w:numPr>
          <w:ilvl w:val="0"/>
          <w:numId w:val="78"/>
        </w:numPr>
        <w:snapToGrid w:val="0"/>
        <w:spacing w:before="0" w:beforeAutospacing="0" w:after="0" w:afterAutospacing="0" w:line="360" w:lineRule="auto"/>
        <w:jc w:val="both"/>
        <w:rPr>
          <w:rFonts w:ascii="黑体" w:hAnsi="黑体" w:eastAsia="黑体" w:cs="宋体"/>
          <w:sz w:val="21"/>
          <w:szCs w:val="21"/>
          <w:highlight w:val="none"/>
        </w:rPr>
      </w:pPr>
      <w:r>
        <w:rPr>
          <w:rFonts w:hint="eastAsia" w:ascii="黑体" w:hAnsi="黑体" w:eastAsia="黑体"/>
          <w:sz w:val="21"/>
          <w:szCs w:val="21"/>
          <w:highlight w:val="none"/>
        </w:rPr>
        <w:t>质疑供应商若委托代理人进行质疑的，质疑函应按要求列明“授权代表”的有关内容，并在附件中提交由质疑</w:t>
      </w:r>
      <w:r>
        <w:rPr>
          <w:rFonts w:hint="eastAsia" w:ascii="黑体" w:hAnsi="黑体" w:eastAsia="黑体" w:cs="宋体"/>
          <w:sz w:val="21"/>
          <w:szCs w:val="21"/>
          <w:highlight w:val="none"/>
        </w:rPr>
        <w:t>供应商签署的授权委托书。授权委托书应载明代理人的姓名或者名称、代理事项、具体权限、期限和相关事项。</w:t>
      </w:r>
    </w:p>
    <w:p>
      <w:pPr>
        <w:pStyle w:val="16"/>
        <w:numPr>
          <w:ilvl w:val="0"/>
          <w:numId w:val="78"/>
        </w:numPr>
        <w:snapToGrid w:val="0"/>
        <w:spacing w:before="0" w:beforeAutospacing="0" w:after="0" w:afterAutospacing="0" w:line="360" w:lineRule="auto"/>
        <w:jc w:val="both"/>
        <w:rPr>
          <w:rFonts w:ascii="黑体" w:hAnsi="黑体" w:eastAsia="黑体"/>
          <w:sz w:val="21"/>
          <w:szCs w:val="21"/>
          <w:highlight w:val="none"/>
        </w:rPr>
      </w:pPr>
      <w:r>
        <w:rPr>
          <w:rFonts w:hint="eastAsia" w:ascii="黑体" w:hAnsi="黑体" w:eastAsia="黑体"/>
          <w:sz w:val="21"/>
          <w:szCs w:val="21"/>
          <w:highlight w:val="none"/>
        </w:rPr>
        <w:t>质疑供应商若对项目的某一分包进行质疑，质疑函中应列明具体分包号。</w:t>
      </w:r>
    </w:p>
    <w:p>
      <w:pPr>
        <w:pStyle w:val="30"/>
        <w:widowControl/>
        <w:numPr>
          <w:ilvl w:val="0"/>
          <w:numId w:val="78"/>
        </w:numPr>
        <w:spacing w:line="360" w:lineRule="auto"/>
        <w:ind w:firstLineChars="0"/>
        <w:jc w:val="left"/>
        <w:rPr>
          <w:rFonts w:ascii="黑体" w:hAnsi="黑体" w:eastAsia="黑体"/>
          <w:szCs w:val="21"/>
          <w:highlight w:val="none"/>
        </w:rPr>
      </w:pPr>
      <w:r>
        <w:rPr>
          <w:rFonts w:hint="eastAsia" w:ascii="黑体" w:hAnsi="黑体" w:eastAsia="黑体"/>
          <w:szCs w:val="21"/>
          <w:highlight w:val="none"/>
        </w:rPr>
        <w:t>质疑函的质疑事项应具体、明确，并有必要的事实依据和法律依据。</w:t>
      </w:r>
    </w:p>
    <w:p>
      <w:pPr>
        <w:pStyle w:val="30"/>
        <w:widowControl/>
        <w:numPr>
          <w:ilvl w:val="0"/>
          <w:numId w:val="78"/>
        </w:numPr>
        <w:spacing w:line="360" w:lineRule="auto"/>
        <w:ind w:firstLineChars="0"/>
        <w:jc w:val="left"/>
        <w:rPr>
          <w:rFonts w:ascii="黑体" w:hAnsi="黑体" w:eastAsia="黑体"/>
          <w:szCs w:val="21"/>
          <w:highlight w:val="none"/>
        </w:rPr>
      </w:pPr>
      <w:r>
        <w:rPr>
          <w:rFonts w:hint="eastAsia" w:ascii="黑体" w:hAnsi="黑体" w:eastAsia="黑体"/>
          <w:szCs w:val="21"/>
          <w:highlight w:val="none"/>
        </w:rPr>
        <w:t>质疑函的质疑请求应与质疑事项相关。</w:t>
      </w:r>
    </w:p>
    <w:p>
      <w:pPr>
        <w:pStyle w:val="30"/>
        <w:widowControl/>
        <w:numPr>
          <w:ilvl w:val="0"/>
          <w:numId w:val="78"/>
        </w:numPr>
        <w:spacing w:line="360" w:lineRule="auto"/>
        <w:ind w:firstLineChars="0"/>
        <w:jc w:val="left"/>
        <w:rPr>
          <w:rFonts w:ascii="黑体" w:hAnsi="黑体" w:eastAsia="黑体"/>
          <w:szCs w:val="21"/>
          <w:highlight w:val="none"/>
        </w:rPr>
      </w:pPr>
      <w:r>
        <w:rPr>
          <w:rFonts w:hint="eastAsia" w:ascii="黑体" w:hAnsi="黑体" w:eastAsia="黑体"/>
          <w:szCs w:val="21"/>
          <w:highlight w:val="none"/>
        </w:rPr>
        <w:t>质疑供应商为自然人的，质疑函应由本人签字；质疑供应商为法人或者其他组织的，质疑函应由法定代表人、主要负责人，或者其授权代表签字或者盖章，并加盖公章。</w:t>
      </w:r>
    </w:p>
    <w:p>
      <w:pPr>
        <w:pStyle w:val="30"/>
        <w:pageBreakBefore/>
        <w:numPr>
          <w:ilvl w:val="0"/>
          <w:numId w:val="79"/>
        </w:numPr>
        <w:spacing w:before="156" w:beforeLines="50" w:after="156" w:afterLines="50" w:line="360" w:lineRule="auto"/>
        <w:ind w:left="422" w:hanging="422" w:hangingChars="200"/>
        <w:rPr>
          <w:rFonts w:ascii="黑体" w:hAnsi="黑体" w:eastAsia="黑体"/>
          <w:b/>
          <w:bCs/>
          <w:szCs w:val="21"/>
          <w:highlight w:val="none"/>
        </w:rPr>
      </w:pPr>
      <w:r>
        <w:rPr>
          <w:rFonts w:hint="eastAsia" w:ascii="黑体" w:hAnsi="黑体" w:eastAsia="黑体"/>
          <w:b/>
          <w:bCs/>
          <w:szCs w:val="21"/>
          <w:highlight w:val="none"/>
        </w:rPr>
        <w:t>附表一  资格性与符合性审查表（注：本表无需供应商填写）</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4505"/>
        <w:gridCol w:w="1164"/>
        <w:gridCol w:w="110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3"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序号</w:t>
            </w:r>
          </w:p>
        </w:tc>
        <w:tc>
          <w:tcPr>
            <w:tcW w:w="2613" w:type="pct"/>
            <w:tcBorders>
              <w:bottom w:val="single" w:color="auto" w:sz="4" w:space="0"/>
              <w:tl2br w:val="single" w:color="auto" w:sz="4" w:space="0"/>
            </w:tcBorders>
          </w:tcPr>
          <w:p>
            <w:pPr>
              <w:spacing w:line="360" w:lineRule="auto"/>
              <w:ind w:left="210" w:hanging="210" w:hangingChars="100"/>
              <w:jc w:val="right"/>
              <w:rPr>
                <w:rFonts w:ascii="黑体" w:hAnsi="黑体" w:eastAsia="黑体"/>
                <w:bCs/>
                <w:szCs w:val="21"/>
                <w:highlight w:val="none"/>
              </w:rPr>
            </w:pPr>
            <w:r>
              <w:rPr>
                <w:rFonts w:hint="eastAsia" w:ascii="黑体" w:hAnsi="黑体" w:eastAsia="黑体"/>
                <w:bCs/>
                <w:szCs w:val="21"/>
                <w:highlight w:val="none"/>
              </w:rPr>
              <w:t xml:space="preserve">                          供应商</w:t>
            </w:r>
          </w:p>
          <w:p>
            <w:pPr>
              <w:spacing w:line="360" w:lineRule="auto"/>
              <w:ind w:firstLine="105" w:firstLineChars="50"/>
              <w:rPr>
                <w:rFonts w:ascii="黑体" w:hAnsi="黑体" w:eastAsia="黑体"/>
                <w:bCs/>
                <w:szCs w:val="21"/>
                <w:highlight w:val="none"/>
              </w:rPr>
            </w:pPr>
            <w:r>
              <w:rPr>
                <w:rFonts w:hint="eastAsia" w:ascii="黑体" w:hAnsi="黑体" w:eastAsia="黑体"/>
                <w:bCs/>
                <w:szCs w:val="21"/>
                <w:highlight w:val="none"/>
              </w:rPr>
              <w:t>审查内容</w:t>
            </w:r>
          </w:p>
        </w:tc>
        <w:tc>
          <w:tcPr>
            <w:tcW w:w="675"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供应商A</w:t>
            </w:r>
          </w:p>
        </w:tc>
        <w:tc>
          <w:tcPr>
            <w:tcW w:w="641"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供应商B</w:t>
            </w:r>
          </w:p>
        </w:tc>
        <w:tc>
          <w:tcPr>
            <w:tcW w:w="648"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供应商C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23"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1</w:t>
            </w:r>
          </w:p>
        </w:tc>
        <w:tc>
          <w:tcPr>
            <w:tcW w:w="2613" w:type="pct"/>
            <w:tcBorders>
              <w:tl2br w:val="nil"/>
            </w:tcBorders>
            <w:vAlign w:val="center"/>
          </w:tcPr>
          <w:p>
            <w:pPr>
              <w:spacing w:line="360" w:lineRule="auto"/>
              <w:jc w:val="left"/>
              <w:rPr>
                <w:highlight w:val="none"/>
              </w:rPr>
            </w:pPr>
            <w:r>
              <w:rPr>
                <w:rFonts w:hint="eastAsia" w:ascii="黑体" w:hAnsi="黑体" w:eastAsia="黑体" w:cs="Times New Roman"/>
                <w:szCs w:val="21"/>
                <w:highlight w:val="none"/>
              </w:rPr>
              <w:t>具备采购文件中规定资格要求的及资格证明文件齐全；</w:t>
            </w:r>
          </w:p>
        </w:tc>
        <w:tc>
          <w:tcPr>
            <w:tcW w:w="675" w:type="pct"/>
            <w:vAlign w:val="center"/>
          </w:tcPr>
          <w:p>
            <w:pPr>
              <w:spacing w:line="360" w:lineRule="auto"/>
              <w:jc w:val="center"/>
              <w:rPr>
                <w:rFonts w:ascii="黑体" w:hAnsi="黑体" w:eastAsia="黑体"/>
                <w:bCs/>
                <w:szCs w:val="21"/>
                <w:highlight w:val="none"/>
              </w:rPr>
            </w:pPr>
          </w:p>
        </w:tc>
        <w:tc>
          <w:tcPr>
            <w:tcW w:w="641" w:type="pct"/>
            <w:vAlign w:val="center"/>
          </w:tcPr>
          <w:p>
            <w:pPr>
              <w:spacing w:line="360" w:lineRule="auto"/>
              <w:jc w:val="center"/>
              <w:rPr>
                <w:rFonts w:ascii="黑体" w:hAnsi="黑体" w:eastAsia="黑体"/>
                <w:bCs/>
                <w:szCs w:val="21"/>
                <w:highlight w:val="none"/>
              </w:rPr>
            </w:pPr>
          </w:p>
        </w:tc>
        <w:tc>
          <w:tcPr>
            <w:tcW w:w="648" w:type="pct"/>
            <w:vAlign w:val="center"/>
          </w:tcPr>
          <w:p>
            <w:pPr>
              <w:spacing w:line="360" w:lineRule="auto"/>
              <w:jc w:val="center"/>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2</w:t>
            </w:r>
          </w:p>
        </w:tc>
        <w:tc>
          <w:tcPr>
            <w:tcW w:w="2613" w:type="pct"/>
            <w:vAlign w:val="center"/>
          </w:tcPr>
          <w:p>
            <w:pPr>
              <w:spacing w:line="360" w:lineRule="auto"/>
              <w:jc w:val="left"/>
              <w:rPr>
                <w:rFonts w:ascii="黑体" w:hAnsi="黑体" w:eastAsia="黑体"/>
                <w:b/>
                <w:bCs/>
                <w:szCs w:val="21"/>
                <w:highlight w:val="none"/>
              </w:rPr>
            </w:pPr>
            <w:r>
              <w:rPr>
                <w:rFonts w:hint="eastAsia" w:ascii="黑体" w:hAnsi="黑体" w:eastAsia="黑体"/>
                <w:szCs w:val="21"/>
                <w:highlight w:val="none"/>
              </w:rPr>
              <w:t>首次报价未超过本项目的采购预算或最高限价；</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3</w:t>
            </w:r>
          </w:p>
        </w:tc>
        <w:tc>
          <w:tcPr>
            <w:tcW w:w="2613" w:type="pct"/>
            <w:vAlign w:val="center"/>
          </w:tcPr>
          <w:p>
            <w:pPr>
              <w:spacing w:line="360" w:lineRule="auto"/>
              <w:jc w:val="left"/>
              <w:rPr>
                <w:rFonts w:ascii="黑体" w:hAnsi="黑体" w:eastAsia="黑体"/>
                <w:szCs w:val="21"/>
                <w:highlight w:val="none"/>
              </w:rPr>
            </w:pPr>
            <w:r>
              <w:rPr>
                <w:rFonts w:hint="eastAsia" w:ascii="黑体" w:hAnsi="黑体" w:eastAsia="黑体"/>
                <w:szCs w:val="21"/>
                <w:highlight w:val="none"/>
              </w:rPr>
              <w:t>法人授权委托证明</w:t>
            </w:r>
          </w:p>
          <w:p>
            <w:pPr>
              <w:spacing w:line="360" w:lineRule="auto"/>
              <w:jc w:val="left"/>
              <w:rPr>
                <w:rFonts w:ascii="黑体" w:hAnsi="黑体" w:eastAsia="黑体"/>
                <w:spacing w:val="-4"/>
                <w:szCs w:val="21"/>
                <w:highlight w:val="none"/>
              </w:rPr>
            </w:pPr>
            <w:r>
              <w:rPr>
                <w:rFonts w:hint="eastAsia" w:ascii="黑体" w:hAnsi="黑体" w:eastAsia="黑体"/>
                <w:spacing w:val="-4"/>
                <w:szCs w:val="21"/>
                <w:highlight w:val="none"/>
              </w:rPr>
              <w:t>(响应供应商代表为法定代表人的除外)</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4</w:t>
            </w:r>
          </w:p>
        </w:tc>
        <w:tc>
          <w:tcPr>
            <w:tcW w:w="2613" w:type="pct"/>
            <w:vAlign w:val="center"/>
          </w:tcPr>
          <w:p>
            <w:pPr>
              <w:spacing w:line="360" w:lineRule="auto"/>
              <w:jc w:val="left"/>
              <w:rPr>
                <w:rFonts w:ascii="黑体" w:hAnsi="黑体" w:eastAsia="黑体"/>
                <w:szCs w:val="21"/>
                <w:highlight w:val="none"/>
              </w:rPr>
            </w:pPr>
            <w:r>
              <w:rPr>
                <w:rFonts w:hint="eastAsia" w:ascii="黑体" w:hAnsi="黑体" w:eastAsia="黑体"/>
                <w:szCs w:val="21"/>
                <w:highlight w:val="none"/>
              </w:rPr>
              <w:t>谈判函</w:t>
            </w:r>
            <w:r>
              <w:rPr>
                <w:rFonts w:hint="eastAsia" w:ascii="黑体" w:hAnsi="黑体" w:eastAsia="黑体" w:cs="宋体"/>
                <w:highlight w:val="none"/>
              </w:rPr>
              <w:t>已提交并符合采购文件要求的（谈判有效期）；</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5</w:t>
            </w:r>
          </w:p>
        </w:tc>
        <w:tc>
          <w:tcPr>
            <w:tcW w:w="2613" w:type="pct"/>
            <w:vAlign w:val="center"/>
          </w:tcPr>
          <w:p>
            <w:pPr>
              <w:spacing w:line="360" w:lineRule="auto"/>
              <w:jc w:val="left"/>
              <w:rPr>
                <w:rFonts w:ascii="黑体" w:hAnsi="黑体" w:eastAsia="黑体"/>
                <w:szCs w:val="21"/>
                <w:highlight w:val="none"/>
              </w:rPr>
            </w:pPr>
            <w:r>
              <w:rPr>
                <w:rFonts w:hint="eastAsia" w:ascii="黑体" w:hAnsi="黑体" w:eastAsia="黑体"/>
                <w:szCs w:val="21"/>
                <w:highlight w:val="none"/>
              </w:rPr>
              <w:t>响应文件的式样、签署、盖章符合采购文件要求；</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6</w:t>
            </w:r>
          </w:p>
        </w:tc>
        <w:tc>
          <w:tcPr>
            <w:tcW w:w="2613" w:type="pct"/>
            <w:vAlign w:val="center"/>
          </w:tcPr>
          <w:p>
            <w:pPr>
              <w:spacing w:line="360" w:lineRule="auto"/>
              <w:jc w:val="left"/>
              <w:rPr>
                <w:rFonts w:ascii="黑体" w:hAnsi="黑体" w:eastAsia="黑体"/>
                <w:bCs/>
                <w:szCs w:val="21"/>
                <w:highlight w:val="none"/>
              </w:rPr>
            </w:pPr>
            <w:r>
              <w:rPr>
                <w:rFonts w:hint="eastAsia" w:ascii="黑体" w:hAnsi="黑体" w:eastAsia="黑体"/>
                <w:bCs/>
                <w:szCs w:val="21"/>
                <w:highlight w:val="none"/>
              </w:rPr>
              <w:t>采购需求当中的★条款满足要求</w:t>
            </w:r>
          </w:p>
          <w:p>
            <w:pPr>
              <w:spacing w:line="360" w:lineRule="auto"/>
              <w:jc w:val="left"/>
              <w:rPr>
                <w:rFonts w:ascii="黑体" w:hAnsi="黑体" w:eastAsia="黑体"/>
                <w:bCs/>
                <w:szCs w:val="21"/>
                <w:highlight w:val="none"/>
              </w:rPr>
            </w:pPr>
            <w:r>
              <w:rPr>
                <w:rFonts w:hint="eastAsia" w:ascii="黑体" w:hAnsi="黑体" w:eastAsia="黑体"/>
                <w:bCs/>
                <w:szCs w:val="21"/>
                <w:highlight w:val="none"/>
              </w:rPr>
              <w:t>(若本项目无★条款，此项通过)</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7</w:t>
            </w:r>
          </w:p>
        </w:tc>
        <w:tc>
          <w:tcPr>
            <w:tcW w:w="2613" w:type="pct"/>
            <w:vAlign w:val="center"/>
          </w:tcPr>
          <w:p>
            <w:pPr>
              <w:spacing w:line="360" w:lineRule="auto"/>
              <w:jc w:val="left"/>
              <w:rPr>
                <w:rFonts w:ascii="黑体" w:hAnsi="黑体" w:eastAsia="黑体" w:cs="宋体"/>
                <w:highlight w:val="none"/>
              </w:rPr>
            </w:pPr>
            <w:r>
              <w:rPr>
                <w:rFonts w:hint="eastAsia" w:ascii="黑体" w:hAnsi="黑体" w:eastAsia="黑体" w:cs="宋体"/>
                <w:highlight w:val="none"/>
              </w:rPr>
              <w:t>响应文件没有采购文件中规定的其它无效</w:t>
            </w:r>
            <w:r>
              <w:rPr>
                <w:rFonts w:hint="eastAsia" w:ascii="黑体" w:hAnsi="黑体" w:eastAsia="黑体"/>
                <w:highlight w:val="none"/>
              </w:rPr>
              <w:t>响应</w:t>
            </w:r>
            <w:r>
              <w:rPr>
                <w:rFonts w:hint="eastAsia" w:ascii="黑体" w:hAnsi="黑体" w:eastAsia="黑体" w:cs="宋体"/>
                <w:highlight w:val="none"/>
              </w:rPr>
              <w:t>条款的；</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23" w:type="pct"/>
            <w:vAlign w:val="center"/>
          </w:tcPr>
          <w:p>
            <w:pPr>
              <w:spacing w:line="360" w:lineRule="auto"/>
              <w:jc w:val="center"/>
              <w:rPr>
                <w:rFonts w:ascii="黑体" w:hAnsi="黑体" w:eastAsia="黑体"/>
                <w:bCs/>
                <w:szCs w:val="21"/>
                <w:highlight w:val="none"/>
              </w:rPr>
            </w:pPr>
            <w:r>
              <w:rPr>
                <w:rFonts w:ascii="黑体" w:hAnsi="黑体" w:eastAsia="黑体"/>
                <w:bCs/>
                <w:szCs w:val="21"/>
                <w:highlight w:val="none"/>
              </w:rPr>
              <w:t>8</w:t>
            </w:r>
          </w:p>
        </w:tc>
        <w:tc>
          <w:tcPr>
            <w:tcW w:w="2613" w:type="pct"/>
            <w:vAlign w:val="center"/>
          </w:tcPr>
          <w:p>
            <w:pPr>
              <w:spacing w:line="360" w:lineRule="auto"/>
              <w:jc w:val="left"/>
              <w:rPr>
                <w:rFonts w:ascii="黑体" w:hAnsi="黑体" w:eastAsia="黑体" w:cs="宋体"/>
                <w:highlight w:val="none"/>
              </w:rPr>
            </w:pPr>
            <w:r>
              <w:rPr>
                <w:rFonts w:hint="eastAsia" w:ascii="黑体" w:hAnsi="黑体" w:eastAsia="黑体" w:cs="宋体"/>
                <w:highlight w:val="none"/>
              </w:rPr>
              <w:t>按有关法律、法规、规章不属于响应无效的。</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036" w:type="pct"/>
            <w:gridSpan w:val="2"/>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结论</w:t>
            </w:r>
          </w:p>
        </w:tc>
        <w:tc>
          <w:tcPr>
            <w:tcW w:w="675" w:type="pct"/>
            <w:vAlign w:val="center"/>
          </w:tcPr>
          <w:p>
            <w:pPr>
              <w:spacing w:line="360" w:lineRule="auto"/>
              <w:jc w:val="center"/>
              <w:rPr>
                <w:rFonts w:ascii="黑体" w:hAnsi="黑体" w:eastAsia="黑体"/>
                <w:b/>
                <w:bCs/>
                <w:szCs w:val="21"/>
                <w:highlight w:val="none"/>
              </w:rPr>
            </w:pPr>
          </w:p>
        </w:tc>
        <w:tc>
          <w:tcPr>
            <w:tcW w:w="641" w:type="pct"/>
            <w:vAlign w:val="center"/>
          </w:tcPr>
          <w:p>
            <w:pPr>
              <w:spacing w:line="360" w:lineRule="auto"/>
              <w:jc w:val="center"/>
              <w:rPr>
                <w:rFonts w:ascii="黑体" w:hAnsi="黑体" w:eastAsia="黑体"/>
                <w:b/>
                <w:bCs/>
                <w:szCs w:val="21"/>
                <w:highlight w:val="none"/>
              </w:rPr>
            </w:pPr>
          </w:p>
        </w:tc>
        <w:tc>
          <w:tcPr>
            <w:tcW w:w="648"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000" w:type="pct"/>
            <w:gridSpan w:val="5"/>
            <w:vAlign w:val="center"/>
          </w:tcPr>
          <w:p>
            <w:pPr>
              <w:spacing w:line="360" w:lineRule="auto"/>
              <w:jc w:val="left"/>
              <w:rPr>
                <w:rFonts w:ascii="黑体" w:hAnsi="黑体" w:eastAsia="黑体"/>
                <w:bCs/>
                <w:szCs w:val="21"/>
                <w:highlight w:val="none"/>
              </w:rPr>
            </w:pPr>
            <w:r>
              <w:rPr>
                <w:rFonts w:hint="eastAsia" w:ascii="黑体" w:hAnsi="黑体" w:eastAsia="黑体"/>
                <w:bCs/>
                <w:szCs w:val="21"/>
                <w:highlight w:val="none"/>
              </w:rPr>
              <w:t>不通过原因说明：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000" w:type="pct"/>
            <w:gridSpan w:val="5"/>
            <w:vAlign w:val="center"/>
          </w:tcPr>
          <w:p>
            <w:pPr>
              <w:spacing w:line="360" w:lineRule="auto"/>
              <w:jc w:val="left"/>
              <w:rPr>
                <w:rFonts w:ascii="黑体" w:hAnsi="黑体" w:eastAsia="黑体"/>
                <w:bCs/>
                <w:szCs w:val="21"/>
                <w:highlight w:val="none"/>
              </w:rPr>
            </w:pPr>
            <w:r>
              <w:rPr>
                <w:rFonts w:hint="eastAsia" w:ascii="黑体" w:hAnsi="黑体" w:eastAsia="黑体"/>
                <w:bCs/>
                <w:szCs w:val="21"/>
                <w:highlight w:val="none"/>
              </w:rPr>
              <w:t>评委签署：</w:t>
            </w:r>
          </w:p>
        </w:tc>
      </w:tr>
    </w:tbl>
    <w:p>
      <w:pPr>
        <w:pStyle w:val="30"/>
        <w:numPr>
          <w:ilvl w:val="0"/>
          <w:numId w:val="80"/>
        </w:numPr>
        <w:spacing w:line="360" w:lineRule="auto"/>
        <w:ind w:firstLineChars="0"/>
        <w:rPr>
          <w:rFonts w:ascii="黑体" w:hAnsi="黑体" w:eastAsia="黑体"/>
          <w:b/>
          <w:bCs/>
          <w:szCs w:val="21"/>
          <w:highlight w:val="none"/>
        </w:rPr>
      </w:pPr>
      <w:r>
        <w:rPr>
          <w:rFonts w:hint="eastAsia" w:ascii="黑体" w:hAnsi="黑体" w:eastAsia="黑体"/>
          <w:b/>
          <w:bCs/>
          <w:szCs w:val="21"/>
          <w:highlight w:val="none"/>
        </w:rPr>
        <w:t>注明：</w:t>
      </w:r>
    </w:p>
    <w:p>
      <w:pPr>
        <w:pStyle w:val="30"/>
        <w:numPr>
          <w:ilvl w:val="0"/>
          <w:numId w:val="81"/>
        </w:numPr>
        <w:spacing w:line="360" w:lineRule="auto"/>
        <w:ind w:firstLineChars="0"/>
        <w:rPr>
          <w:rFonts w:ascii="黑体" w:hAnsi="黑体" w:eastAsia="黑体"/>
          <w:bCs/>
          <w:szCs w:val="21"/>
          <w:highlight w:val="none"/>
        </w:rPr>
      </w:pPr>
      <w:r>
        <w:rPr>
          <w:rFonts w:hint="eastAsia" w:ascii="黑体" w:hAnsi="黑体" w:eastAsia="黑体"/>
          <w:bCs/>
          <w:szCs w:val="21"/>
          <w:highlight w:val="none"/>
        </w:rPr>
        <w:t>评审时谈判小组对响应供应商是否满足要求逐条标注评审意见，“是”标记为“○”，“否”标记为“×”；</w:t>
      </w:r>
    </w:p>
    <w:p>
      <w:pPr>
        <w:pStyle w:val="30"/>
        <w:numPr>
          <w:ilvl w:val="0"/>
          <w:numId w:val="81"/>
        </w:numPr>
        <w:spacing w:line="360" w:lineRule="auto"/>
        <w:ind w:firstLineChars="0"/>
        <w:rPr>
          <w:rFonts w:ascii="黑体" w:hAnsi="黑体" w:eastAsia="黑体"/>
          <w:bCs/>
          <w:szCs w:val="21"/>
          <w:highlight w:val="none"/>
        </w:rPr>
      </w:pPr>
      <w:r>
        <w:rPr>
          <w:rFonts w:hint="eastAsia" w:ascii="黑体" w:hAnsi="黑体" w:eastAsia="黑体"/>
          <w:bCs/>
          <w:szCs w:val="21"/>
          <w:highlight w:val="none"/>
        </w:rPr>
        <w:t>评审结论栏统一填写为“通过”或“不通过” ，出现一个“×”为“不通过”；</w:t>
      </w:r>
    </w:p>
    <w:p>
      <w:pPr>
        <w:pStyle w:val="30"/>
        <w:numPr>
          <w:ilvl w:val="0"/>
          <w:numId w:val="81"/>
        </w:numPr>
        <w:spacing w:line="360" w:lineRule="auto"/>
        <w:ind w:firstLineChars="0"/>
        <w:rPr>
          <w:rFonts w:ascii="黑体" w:hAnsi="黑体" w:eastAsia="黑体"/>
          <w:bCs/>
          <w:szCs w:val="21"/>
          <w:highlight w:val="none"/>
        </w:rPr>
      </w:pPr>
      <w:r>
        <w:rPr>
          <w:rFonts w:hint="eastAsia" w:ascii="黑体" w:hAnsi="黑体" w:eastAsia="黑体"/>
          <w:bCs/>
          <w:szCs w:val="21"/>
          <w:highlight w:val="none"/>
        </w:rPr>
        <w:t>对结论为“不通过”的谈判响应，要说明原因。</w:t>
      </w:r>
    </w:p>
    <w:p>
      <w:pPr>
        <w:pStyle w:val="2"/>
        <w:keepNext w:val="0"/>
        <w:keepLines w:val="0"/>
        <w:pageBreakBefore/>
        <w:spacing w:line="360" w:lineRule="auto"/>
        <w:jc w:val="center"/>
        <w:rPr>
          <w:rFonts w:ascii="黑体" w:hAnsi="黑体" w:eastAsia="黑体"/>
          <w:spacing w:val="20"/>
          <w:sz w:val="32"/>
          <w:szCs w:val="32"/>
          <w:highlight w:val="none"/>
        </w:rPr>
      </w:pPr>
      <w:bookmarkStart w:id="227" w:name="_Toc405313956"/>
      <w:bookmarkStart w:id="228" w:name="_Toc391627752"/>
      <w:bookmarkStart w:id="229" w:name="_Toc13821083"/>
      <w:bookmarkStart w:id="230" w:name="_Toc5739"/>
      <w:r>
        <w:rPr>
          <w:rFonts w:hint="eastAsia" w:ascii="黑体" w:hAnsi="黑体" w:eastAsia="黑体"/>
          <w:spacing w:val="20"/>
          <w:sz w:val="32"/>
          <w:szCs w:val="32"/>
          <w:highlight w:val="none"/>
        </w:rPr>
        <w:t>第五部分 合同书格式</w:t>
      </w:r>
      <w:bookmarkEnd w:id="227"/>
      <w:bookmarkEnd w:id="228"/>
      <w:bookmarkEnd w:id="229"/>
      <w:bookmarkEnd w:id="230"/>
    </w:p>
    <w:p>
      <w:pPr>
        <w:spacing w:line="360" w:lineRule="auto"/>
        <w:jc w:val="center"/>
        <w:rPr>
          <w:rFonts w:ascii="黑体" w:hAnsi="黑体" w:eastAsia="黑体"/>
          <w:highlight w:val="none"/>
        </w:rPr>
      </w:pPr>
      <w:r>
        <w:rPr>
          <w:rFonts w:hint="eastAsia" w:ascii="黑体" w:hAnsi="黑体" w:eastAsia="黑体"/>
          <w:highlight w:val="none"/>
        </w:rPr>
        <w:t>（本格式编排在响应文件中，供谈判供应商参考，谈判时不需填写）</w:t>
      </w:r>
    </w:p>
    <w:p>
      <w:pPr>
        <w:spacing w:line="360" w:lineRule="auto"/>
        <w:jc w:val="center"/>
        <w:rPr>
          <w:rFonts w:ascii="黑体" w:hAnsi="黑体" w:eastAsia="黑体"/>
          <w:bCs/>
          <w:szCs w:val="21"/>
          <w:highlight w:val="none"/>
        </w:rPr>
      </w:pPr>
    </w:p>
    <w:p>
      <w:pPr>
        <w:spacing w:before="1092" w:beforeLines="350" w:after="468" w:afterLines="150" w:line="360" w:lineRule="auto"/>
        <w:jc w:val="center"/>
        <w:rPr>
          <w:rFonts w:hint="eastAsia" w:ascii="黑体" w:hAnsi="黑体" w:eastAsia="黑体"/>
          <w:b/>
          <w:bCs/>
          <w:sz w:val="52"/>
          <w:szCs w:val="52"/>
          <w:highlight w:val="none"/>
          <w:lang w:eastAsia="zh-CN"/>
        </w:rPr>
      </w:pPr>
      <w:r>
        <w:rPr>
          <w:rFonts w:hint="eastAsia" w:ascii="黑体" w:hAnsi="黑体" w:eastAsia="黑体"/>
          <w:b/>
          <w:bCs/>
          <w:sz w:val="52"/>
          <w:szCs w:val="52"/>
          <w:highlight w:val="none"/>
          <w:lang w:eastAsia="zh-CN"/>
        </w:rPr>
        <w:t>2023年省级事故现场应急通讯能力提升采购专项</w:t>
      </w:r>
    </w:p>
    <w:p>
      <w:pPr>
        <w:spacing w:before="1092" w:beforeLines="350" w:after="468" w:afterLines="150" w:line="360" w:lineRule="auto"/>
        <w:jc w:val="center"/>
        <w:rPr>
          <w:rFonts w:ascii="黑体" w:hAnsi="黑体" w:eastAsia="黑体"/>
          <w:b/>
          <w:bCs/>
          <w:spacing w:val="60"/>
          <w:sz w:val="52"/>
          <w:szCs w:val="52"/>
          <w:highlight w:val="none"/>
        </w:rPr>
      </w:pPr>
      <w:r>
        <w:rPr>
          <w:rFonts w:hint="eastAsia" w:ascii="黑体" w:hAnsi="黑体" w:eastAsia="黑体"/>
          <w:b/>
          <w:bCs/>
          <w:spacing w:val="60"/>
          <w:sz w:val="52"/>
          <w:szCs w:val="52"/>
          <w:highlight w:val="none"/>
        </w:rPr>
        <w:t>合同文件</w:t>
      </w:r>
    </w:p>
    <w:p>
      <w:pPr>
        <w:spacing w:line="360" w:lineRule="auto"/>
        <w:jc w:val="center"/>
        <w:rPr>
          <w:rFonts w:ascii="黑体" w:hAnsi="黑体" w:eastAsia="黑体"/>
          <w:b/>
          <w:bCs/>
          <w:szCs w:val="21"/>
          <w:highlight w:val="none"/>
        </w:rPr>
      </w:pPr>
      <w:r>
        <w:rPr>
          <w:rFonts w:hint="eastAsia" w:ascii="黑体" w:hAnsi="黑体" w:eastAsia="黑体"/>
          <w:b/>
          <w:bCs/>
          <w:szCs w:val="21"/>
          <w:highlight w:val="none"/>
        </w:rPr>
        <w:t>（合同编号：</w:t>
      </w:r>
      <w:r>
        <w:rPr>
          <w:rFonts w:hint="eastAsia" w:ascii="黑体" w:hAnsi="黑体" w:eastAsia="黑体"/>
          <w:b/>
          <w:bCs/>
          <w:szCs w:val="21"/>
          <w:highlight w:val="none"/>
          <w:u w:val="single"/>
        </w:rPr>
        <w:t xml:space="preserve">         </w:t>
      </w:r>
      <w:r>
        <w:rPr>
          <w:rFonts w:hint="eastAsia" w:ascii="黑体" w:hAnsi="黑体" w:eastAsia="黑体"/>
          <w:b/>
          <w:bCs/>
          <w:szCs w:val="21"/>
          <w:highlight w:val="none"/>
        </w:rPr>
        <w:t>）</w:t>
      </w:r>
    </w:p>
    <w:p>
      <w:pPr>
        <w:spacing w:line="360" w:lineRule="auto"/>
        <w:rPr>
          <w:rFonts w:ascii="黑体" w:hAnsi="黑体" w:eastAsia="黑体"/>
          <w:b/>
          <w:bCs/>
          <w:szCs w:val="21"/>
          <w:highlight w:val="none"/>
        </w:rPr>
      </w:pPr>
    </w:p>
    <w:p>
      <w:pPr>
        <w:spacing w:line="360" w:lineRule="auto"/>
        <w:rPr>
          <w:rFonts w:ascii="黑体" w:hAnsi="黑体" w:eastAsia="黑体"/>
          <w:b/>
          <w:bCs/>
          <w:szCs w:val="21"/>
          <w:highlight w:val="none"/>
        </w:rPr>
      </w:pPr>
    </w:p>
    <w:p>
      <w:pPr>
        <w:spacing w:line="360" w:lineRule="auto"/>
        <w:rPr>
          <w:rFonts w:ascii="黑体" w:hAnsi="黑体" w:eastAsia="黑体"/>
          <w:b/>
          <w:bCs/>
          <w:szCs w:val="21"/>
          <w:highlight w:val="none"/>
        </w:rPr>
      </w:pPr>
    </w:p>
    <w:p>
      <w:pPr>
        <w:spacing w:line="360" w:lineRule="auto"/>
        <w:rPr>
          <w:rFonts w:ascii="黑体" w:hAnsi="黑体" w:eastAsia="黑体"/>
          <w:b/>
          <w:bCs/>
          <w:szCs w:val="21"/>
          <w:highlight w:val="none"/>
        </w:rPr>
      </w:pPr>
    </w:p>
    <w:tbl>
      <w:tblPr>
        <w:tblStyle w:val="18"/>
        <w:tblW w:w="0" w:type="auto"/>
        <w:jc w:val="center"/>
        <w:tblLayout w:type="autofit"/>
        <w:tblCellMar>
          <w:top w:w="0" w:type="dxa"/>
          <w:left w:w="108" w:type="dxa"/>
          <w:bottom w:w="0" w:type="dxa"/>
          <w:right w:w="108" w:type="dxa"/>
        </w:tblCellMar>
      </w:tblPr>
      <w:tblGrid>
        <w:gridCol w:w="2618"/>
        <w:gridCol w:w="4692"/>
      </w:tblGrid>
      <w:tr>
        <w:tblPrEx>
          <w:tblCellMar>
            <w:top w:w="0" w:type="dxa"/>
            <w:left w:w="108" w:type="dxa"/>
            <w:bottom w:w="0" w:type="dxa"/>
            <w:right w:w="108" w:type="dxa"/>
          </w:tblCellMar>
        </w:tblPrEx>
        <w:trPr>
          <w:trHeight w:val="770" w:hRule="atLeast"/>
          <w:jc w:val="center"/>
        </w:trPr>
        <w:tc>
          <w:tcPr>
            <w:tcW w:w="2618" w:type="dxa"/>
          </w:tcPr>
          <w:p>
            <w:pPr>
              <w:spacing w:line="360" w:lineRule="auto"/>
              <w:rPr>
                <w:rFonts w:ascii="黑体" w:hAnsi="黑体" w:eastAsia="黑体"/>
                <w:b/>
                <w:bCs/>
                <w:sz w:val="28"/>
                <w:szCs w:val="28"/>
                <w:highlight w:val="none"/>
              </w:rPr>
            </w:pPr>
            <w:r>
              <w:rPr>
                <w:rFonts w:hint="eastAsia" w:ascii="黑体" w:hAnsi="黑体" w:eastAsia="黑体"/>
                <w:b/>
                <w:bCs/>
                <w:sz w:val="28"/>
                <w:szCs w:val="28"/>
                <w:highlight w:val="none"/>
              </w:rPr>
              <w:t>甲方（采购人）：</w:t>
            </w:r>
          </w:p>
        </w:tc>
        <w:tc>
          <w:tcPr>
            <w:tcW w:w="4692" w:type="dxa"/>
          </w:tcPr>
          <w:p>
            <w:pPr>
              <w:spacing w:line="360" w:lineRule="auto"/>
              <w:rPr>
                <w:rFonts w:ascii="黑体" w:hAnsi="黑体" w:eastAsia="黑体"/>
                <w:b/>
                <w:bCs/>
                <w:sz w:val="28"/>
                <w:szCs w:val="28"/>
                <w:highlight w:val="none"/>
                <w:u w:val="single"/>
              </w:rPr>
            </w:pPr>
            <w:r>
              <w:rPr>
                <w:rFonts w:hint="eastAsia" w:ascii="黑体" w:hAnsi="黑体" w:eastAsia="黑体"/>
                <w:b/>
                <w:bCs/>
                <w:sz w:val="28"/>
                <w:szCs w:val="28"/>
                <w:highlight w:val="none"/>
                <w:u w:val="single"/>
              </w:rPr>
              <w:t xml:space="preserve">                                            </w:t>
            </w:r>
          </w:p>
        </w:tc>
      </w:tr>
      <w:tr>
        <w:tblPrEx>
          <w:tblCellMar>
            <w:top w:w="0" w:type="dxa"/>
            <w:left w:w="108" w:type="dxa"/>
            <w:bottom w:w="0" w:type="dxa"/>
            <w:right w:w="108" w:type="dxa"/>
          </w:tblCellMar>
        </w:tblPrEx>
        <w:trPr>
          <w:trHeight w:val="708" w:hRule="atLeast"/>
          <w:jc w:val="center"/>
        </w:trPr>
        <w:tc>
          <w:tcPr>
            <w:tcW w:w="2618" w:type="dxa"/>
          </w:tcPr>
          <w:p>
            <w:pPr>
              <w:spacing w:line="360" w:lineRule="auto"/>
              <w:rPr>
                <w:rFonts w:ascii="黑体" w:hAnsi="黑体" w:eastAsia="黑体"/>
                <w:b/>
                <w:bCs/>
                <w:sz w:val="28"/>
                <w:szCs w:val="28"/>
                <w:highlight w:val="none"/>
              </w:rPr>
            </w:pPr>
            <w:r>
              <w:rPr>
                <w:rFonts w:hint="eastAsia" w:ascii="黑体" w:hAnsi="黑体" w:eastAsia="黑体"/>
                <w:b/>
                <w:bCs/>
                <w:sz w:val="28"/>
                <w:szCs w:val="28"/>
                <w:highlight w:val="none"/>
              </w:rPr>
              <w:t>乙方（成交供应商）：</w:t>
            </w:r>
          </w:p>
        </w:tc>
        <w:tc>
          <w:tcPr>
            <w:tcW w:w="4692" w:type="dxa"/>
          </w:tcPr>
          <w:p>
            <w:pPr>
              <w:spacing w:line="360" w:lineRule="auto"/>
              <w:rPr>
                <w:rFonts w:ascii="黑体" w:hAnsi="黑体" w:eastAsia="黑体"/>
                <w:b/>
                <w:bCs/>
                <w:sz w:val="28"/>
                <w:szCs w:val="28"/>
                <w:highlight w:val="none"/>
                <w:u w:val="single"/>
              </w:rPr>
            </w:pPr>
            <w:r>
              <w:rPr>
                <w:rFonts w:hint="eastAsia" w:ascii="黑体" w:hAnsi="黑体" w:eastAsia="黑体"/>
                <w:b/>
                <w:bCs/>
                <w:sz w:val="28"/>
                <w:szCs w:val="28"/>
                <w:highlight w:val="none"/>
                <w:u w:val="single"/>
              </w:rPr>
              <w:t xml:space="preserve">                                            </w:t>
            </w:r>
          </w:p>
        </w:tc>
      </w:tr>
      <w:tr>
        <w:tblPrEx>
          <w:tblCellMar>
            <w:top w:w="0" w:type="dxa"/>
            <w:left w:w="108" w:type="dxa"/>
            <w:bottom w:w="0" w:type="dxa"/>
            <w:right w:w="108" w:type="dxa"/>
          </w:tblCellMar>
        </w:tblPrEx>
        <w:trPr>
          <w:trHeight w:val="706" w:hRule="atLeast"/>
          <w:jc w:val="center"/>
        </w:trPr>
        <w:tc>
          <w:tcPr>
            <w:tcW w:w="2618" w:type="dxa"/>
          </w:tcPr>
          <w:p>
            <w:pPr>
              <w:spacing w:line="360" w:lineRule="auto"/>
              <w:rPr>
                <w:rFonts w:ascii="黑体" w:hAnsi="黑体" w:eastAsia="黑体"/>
                <w:b/>
                <w:bCs/>
                <w:spacing w:val="9"/>
                <w:sz w:val="28"/>
                <w:szCs w:val="28"/>
                <w:highlight w:val="none"/>
              </w:rPr>
            </w:pPr>
            <w:r>
              <w:rPr>
                <w:rFonts w:hint="eastAsia" w:ascii="黑体" w:hAnsi="黑体" w:eastAsia="黑体"/>
                <w:b/>
                <w:bCs/>
                <w:spacing w:val="9"/>
                <w:sz w:val="28"/>
                <w:szCs w:val="28"/>
                <w:highlight w:val="none"/>
              </w:rPr>
              <w:t>协议签订时间：</w:t>
            </w:r>
          </w:p>
        </w:tc>
        <w:tc>
          <w:tcPr>
            <w:tcW w:w="4692" w:type="dxa"/>
          </w:tcPr>
          <w:p>
            <w:pPr>
              <w:spacing w:line="360" w:lineRule="auto"/>
              <w:rPr>
                <w:rFonts w:ascii="黑体" w:hAnsi="黑体" w:eastAsia="黑体"/>
                <w:b/>
                <w:bCs/>
                <w:sz w:val="28"/>
                <w:szCs w:val="28"/>
                <w:highlight w:val="none"/>
                <w:u w:val="single"/>
              </w:rPr>
            </w:pPr>
            <w:r>
              <w:rPr>
                <w:rFonts w:hint="eastAsia" w:ascii="黑体" w:hAnsi="黑体" w:eastAsia="黑体"/>
                <w:b/>
                <w:bCs/>
                <w:sz w:val="28"/>
                <w:szCs w:val="28"/>
                <w:highlight w:val="none"/>
                <w:u w:val="single"/>
              </w:rPr>
              <w:t xml:space="preserve">                                            </w:t>
            </w:r>
          </w:p>
        </w:tc>
      </w:tr>
    </w:tbl>
    <w:p>
      <w:pPr>
        <w:spacing w:line="360" w:lineRule="auto"/>
        <w:rPr>
          <w:rFonts w:ascii="黑体" w:hAnsi="黑体" w:eastAsia="黑体"/>
          <w:b/>
          <w:bCs/>
          <w:szCs w:val="21"/>
          <w:highlight w:val="none"/>
        </w:rPr>
      </w:pPr>
    </w:p>
    <w:p>
      <w:pPr>
        <w:spacing w:line="360" w:lineRule="auto"/>
        <w:rPr>
          <w:rFonts w:ascii="黑体" w:hAnsi="黑体" w:eastAsia="黑体"/>
          <w:b/>
          <w:bCs/>
          <w:szCs w:val="21"/>
          <w:highlight w:val="none"/>
        </w:rPr>
      </w:pPr>
    </w:p>
    <w:p>
      <w:pPr>
        <w:tabs>
          <w:tab w:val="left" w:pos="720"/>
        </w:tabs>
        <w:spacing w:line="360" w:lineRule="auto"/>
        <w:jc w:val="center"/>
        <w:rPr>
          <w:rFonts w:ascii="黑体" w:hAnsi="宋体" w:eastAsia="黑体"/>
          <w:b/>
          <w:spacing w:val="20"/>
          <w:sz w:val="28"/>
          <w:szCs w:val="28"/>
          <w:highlight w:val="none"/>
        </w:rPr>
      </w:pPr>
      <w:r>
        <w:rPr>
          <w:rFonts w:hint="eastAsia" w:ascii="黑体" w:hAnsi="宋体" w:eastAsia="黑体"/>
          <w:spacing w:val="20"/>
          <w:sz w:val="28"/>
          <w:szCs w:val="28"/>
          <w:highlight w:val="none"/>
        </w:rPr>
        <w:t xml:space="preserve">         </w:t>
      </w:r>
      <w:r>
        <w:rPr>
          <w:rFonts w:hint="eastAsia" w:ascii="黑体" w:hAnsi="宋体" w:eastAsia="黑体"/>
          <w:b/>
          <w:spacing w:val="20"/>
          <w:sz w:val="28"/>
          <w:szCs w:val="28"/>
          <w:highlight w:val="none"/>
        </w:rPr>
        <w:t>年</w:t>
      </w:r>
      <w:r>
        <w:rPr>
          <w:rFonts w:hint="eastAsia" w:ascii="黑体" w:hAnsi="宋体" w:eastAsia="黑体"/>
          <w:b/>
          <w:spacing w:val="20"/>
          <w:sz w:val="28"/>
          <w:szCs w:val="28"/>
          <w:highlight w:val="none"/>
          <w:u w:val="single"/>
        </w:rPr>
        <w:t xml:space="preserve">   </w:t>
      </w:r>
      <w:r>
        <w:rPr>
          <w:rFonts w:hint="eastAsia" w:ascii="黑体" w:hAnsi="宋体" w:eastAsia="黑体"/>
          <w:b/>
          <w:spacing w:val="20"/>
          <w:sz w:val="28"/>
          <w:szCs w:val="28"/>
          <w:highlight w:val="none"/>
        </w:rPr>
        <w:t>月于汕头</w:t>
      </w:r>
    </w:p>
    <w:p>
      <w:pPr>
        <w:pageBreakBefore/>
        <w:spacing w:line="360" w:lineRule="auto"/>
        <w:rPr>
          <w:rFonts w:ascii="黑体" w:hAnsi="黑体" w:eastAsia="黑体"/>
          <w:szCs w:val="21"/>
          <w:highlight w:val="none"/>
        </w:rPr>
      </w:pPr>
      <w:bookmarkStart w:id="231" w:name="_Toc13821084"/>
      <w:bookmarkStart w:id="232" w:name="_Toc405313957"/>
      <w:bookmarkStart w:id="233" w:name="_Toc391627753"/>
      <w:r>
        <w:rPr>
          <w:rFonts w:hint="eastAsia" w:ascii="黑体" w:hAnsi="黑体" w:eastAsia="黑体"/>
          <w:szCs w:val="21"/>
          <w:highlight w:val="none"/>
        </w:rPr>
        <w:t>甲方（采购人）：</w:t>
      </w:r>
      <w:r>
        <w:rPr>
          <w:rFonts w:ascii="黑体" w:hAnsi="黑体" w:eastAsia="黑体"/>
          <w:szCs w:val="21"/>
          <w:highlight w:val="none"/>
          <w:u w:val="single"/>
        </w:rPr>
        <w:t xml:space="preserve">                          </w:t>
      </w:r>
    </w:p>
    <w:p>
      <w:pPr>
        <w:spacing w:line="360" w:lineRule="auto"/>
        <w:rPr>
          <w:rFonts w:ascii="黑体" w:hAnsi="黑体" w:eastAsia="黑体"/>
          <w:szCs w:val="21"/>
          <w:highlight w:val="none"/>
        </w:rPr>
      </w:pPr>
      <w:r>
        <w:rPr>
          <w:rFonts w:hint="eastAsia" w:ascii="黑体" w:hAnsi="黑体" w:eastAsia="黑体"/>
          <w:szCs w:val="21"/>
          <w:highlight w:val="none"/>
        </w:rPr>
        <w:t>乙方（成交供应商）：</w:t>
      </w:r>
      <w:r>
        <w:rPr>
          <w:rFonts w:ascii="黑体" w:hAnsi="黑体" w:eastAsia="黑体"/>
          <w:szCs w:val="21"/>
          <w:highlight w:val="none"/>
          <w:u w:val="single"/>
        </w:rPr>
        <w:t xml:space="preserve">                      </w:t>
      </w:r>
    </w:p>
    <w:p>
      <w:pPr>
        <w:spacing w:before="312" w:beforeLines="100" w:line="360" w:lineRule="auto"/>
        <w:ind w:firstLine="420" w:firstLineChars="200"/>
        <w:rPr>
          <w:rFonts w:ascii="黑体" w:hAnsi="黑体" w:eastAsia="黑体"/>
          <w:szCs w:val="21"/>
          <w:highlight w:val="none"/>
        </w:rPr>
      </w:pPr>
      <w:r>
        <w:rPr>
          <w:rFonts w:hint="eastAsia" w:ascii="黑体" w:hAnsi="黑体" w:eastAsia="黑体"/>
          <w:szCs w:val="21"/>
          <w:highlight w:val="none"/>
        </w:rPr>
        <w:t>根据《中华人民共和国民法典》及采购文件、成交通知书等相关资料的要求，经双方协商一致，签订本合同，共同遵守如下条款。</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项目基本情况</w:t>
      </w:r>
    </w:p>
    <w:p>
      <w:pPr>
        <w:pStyle w:val="30"/>
        <w:numPr>
          <w:ilvl w:val="0"/>
          <w:numId w:val="83"/>
        </w:numPr>
        <w:spacing w:line="360" w:lineRule="auto"/>
        <w:ind w:firstLineChars="0"/>
        <w:rPr>
          <w:rFonts w:ascii="黑体" w:hAnsi="黑体" w:eastAsia="黑体"/>
          <w:szCs w:val="21"/>
          <w:highlight w:val="none"/>
        </w:rPr>
      </w:pPr>
      <w:r>
        <w:rPr>
          <w:rFonts w:hint="eastAsia" w:ascii="黑体" w:hAnsi="黑体" w:eastAsia="黑体"/>
          <w:szCs w:val="21"/>
          <w:highlight w:val="none"/>
        </w:rPr>
        <w:t>项目名称：</w:t>
      </w:r>
      <w:r>
        <w:rPr>
          <w:rFonts w:hint="eastAsia" w:ascii="黑体" w:hAnsi="黑体" w:eastAsia="黑体"/>
          <w:szCs w:val="21"/>
          <w:highlight w:val="none"/>
          <w:u w:val="single"/>
          <w:lang w:eastAsia="zh-CN"/>
        </w:rPr>
        <w:t>2023年省级事故现场应急通讯能力提升采购专项</w:t>
      </w:r>
    </w:p>
    <w:p>
      <w:pPr>
        <w:numPr>
          <w:ilvl w:val="0"/>
          <w:numId w:val="83"/>
        </w:numPr>
        <w:spacing w:line="420" w:lineRule="exact"/>
        <w:rPr>
          <w:rFonts w:ascii="黑体" w:hAnsi="黑体" w:eastAsia="黑体"/>
          <w:szCs w:val="21"/>
          <w:highlight w:val="none"/>
        </w:rPr>
      </w:pPr>
      <w:r>
        <w:rPr>
          <w:rFonts w:hint="eastAsia" w:ascii="黑体" w:hAnsi="黑体" w:eastAsia="黑体"/>
          <w:szCs w:val="21"/>
          <w:highlight w:val="none"/>
        </w:rPr>
        <w:t>合同总价：</w:t>
      </w:r>
      <w:r>
        <w:rPr>
          <w:rFonts w:hint="eastAsia" w:ascii="黑体" w:hAnsi="黑体" w:eastAsia="黑体"/>
          <w:szCs w:val="21"/>
          <w:highlight w:val="none"/>
          <w:u w:val="single"/>
        </w:rPr>
        <w:t>大写人民币</w:t>
      </w:r>
      <w:r>
        <w:rPr>
          <w:rFonts w:ascii="黑体" w:hAnsi="黑体" w:eastAsia="黑体"/>
          <w:szCs w:val="21"/>
          <w:highlight w:val="none"/>
          <w:u w:val="single"/>
        </w:rPr>
        <w:t xml:space="preserve">                 </w:t>
      </w:r>
      <w:r>
        <w:rPr>
          <w:rFonts w:hint="eastAsia" w:ascii="黑体" w:hAnsi="黑体" w:eastAsia="黑体"/>
          <w:szCs w:val="21"/>
          <w:highlight w:val="none"/>
          <w:u w:val="single"/>
        </w:rPr>
        <w:t>（小写￥</w:t>
      </w:r>
      <w:r>
        <w:rPr>
          <w:rFonts w:ascii="黑体" w:hAnsi="黑体" w:eastAsia="黑体"/>
          <w:szCs w:val="21"/>
          <w:highlight w:val="none"/>
          <w:u w:val="single"/>
        </w:rPr>
        <w:t xml:space="preserve">        </w:t>
      </w:r>
      <w:r>
        <w:rPr>
          <w:rFonts w:hint="eastAsia" w:ascii="黑体" w:hAnsi="黑体" w:eastAsia="黑体"/>
          <w:szCs w:val="21"/>
          <w:highlight w:val="none"/>
          <w:u w:val="single"/>
        </w:rPr>
        <w:t>元）</w:t>
      </w:r>
    </w:p>
    <w:p>
      <w:pPr>
        <w:spacing w:line="420" w:lineRule="exact"/>
        <w:ind w:left="420"/>
        <w:rPr>
          <w:rFonts w:ascii="黑体" w:hAnsi="黑体" w:eastAsia="黑体"/>
          <w:szCs w:val="21"/>
          <w:highlight w:val="none"/>
        </w:rPr>
      </w:pPr>
      <w:r>
        <w:rPr>
          <w:rFonts w:hint="eastAsia" w:ascii="黑体" w:hAnsi="黑体" w:eastAsia="黑体"/>
          <w:szCs w:val="21"/>
          <w:highlight w:val="none"/>
        </w:rPr>
        <w:t>合同总价包括但不限于所有的税费、所有货物的价格、包装、仓储、运输、验收，以及人工、材料损耗、投入服务的机械设备的配备、服务期、质量、安全、其它附加费用等一切费用。</w:t>
      </w:r>
    </w:p>
    <w:p>
      <w:pPr>
        <w:numPr>
          <w:ilvl w:val="0"/>
          <w:numId w:val="83"/>
        </w:numPr>
        <w:tabs>
          <w:tab w:val="left" w:pos="840"/>
        </w:tabs>
        <w:spacing w:line="420" w:lineRule="exact"/>
        <w:rPr>
          <w:rFonts w:ascii="黑体" w:hAnsi="黑体" w:eastAsia="黑体"/>
          <w:bCs/>
          <w:szCs w:val="21"/>
          <w:highlight w:val="none"/>
        </w:rPr>
      </w:pPr>
      <w:r>
        <w:rPr>
          <w:rFonts w:hint="eastAsia" w:ascii="黑体" w:hAnsi="黑体" w:eastAsia="黑体"/>
          <w:szCs w:val="21"/>
          <w:highlight w:val="none"/>
        </w:rPr>
        <w:t>项目地点：</w:t>
      </w:r>
      <w:r>
        <w:rPr>
          <w:rFonts w:hint="eastAsia" w:ascii="黑体" w:hAnsi="黑体" w:eastAsia="黑体"/>
          <w:szCs w:val="21"/>
          <w:highlight w:val="none"/>
          <w:u w:val="single"/>
        </w:rPr>
        <w:t>甲方指定地点</w:t>
      </w:r>
    </w:p>
    <w:p>
      <w:pPr>
        <w:numPr>
          <w:ilvl w:val="0"/>
          <w:numId w:val="83"/>
        </w:numPr>
        <w:tabs>
          <w:tab w:val="left" w:pos="840"/>
        </w:tabs>
        <w:spacing w:line="420" w:lineRule="exact"/>
        <w:rPr>
          <w:rFonts w:ascii="黑体" w:hAnsi="黑体" w:eastAsia="黑体"/>
          <w:bCs/>
          <w:szCs w:val="21"/>
          <w:highlight w:val="none"/>
        </w:rPr>
      </w:pPr>
      <w:r>
        <w:rPr>
          <w:rFonts w:hint="eastAsia" w:ascii="黑体" w:hAnsi="黑体" w:eastAsia="黑体"/>
          <w:bCs/>
          <w:szCs w:val="21"/>
          <w:highlight w:val="none"/>
        </w:rPr>
        <w:t>交货期：</w:t>
      </w:r>
      <w:r>
        <w:rPr>
          <w:rFonts w:hint="eastAsia" w:ascii="黑体" w:hAnsi="黑体" w:eastAsia="黑体"/>
          <w:bCs/>
          <w:szCs w:val="21"/>
          <w:highlight w:val="none"/>
          <w:u w:val="single"/>
        </w:rPr>
        <w:t>合同签订之日起</w:t>
      </w:r>
      <w:r>
        <w:rPr>
          <w:rFonts w:ascii="黑体" w:hAnsi="黑体" w:eastAsia="黑体"/>
          <w:bCs/>
          <w:szCs w:val="21"/>
          <w:highlight w:val="none"/>
          <w:u w:val="single"/>
        </w:rPr>
        <w:t>30</w:t>
      </w:r>
      <w:r>
        <w:rPr>
          <w:rFonts w:hint="eastAsia" w:ascii="黑体" w:hAnsi="黑体" w:eastAsia="黑体"/>
          <w:bCs/>
          <w:szCs w:val="21"/>
          <w:highlight w:val="none"/>
          <w:u w:val="single"/>
        </w:rPr>
        <w:t>天内完成供货、安装、验收并交付甲方使用。</w:t>
      </w:r>
    </w:p>
    <w:p>
      <w:pPr>
        <w:numPr>
          <w:ilvl w:val="0"/>
          <w:numId w:val="83"/>
        </w:numPr>
        <w:tabs>
          <w:tab w:val="left" w:pos="840"/>
        </w:tabs>
        <w:spacing w:line="420" w:lineRule="exact"/>
        <w:rPr>
          <w:rFonts w:ascii="黑体" w:hAnsi="黑体" w:eastAsia="黑体"/>
          <w:bCs/>
          <w:szCs w:val="21"/>
          <w:highlight w:val="none"/>
        </w:rPr>
      </w:pPr>
      <w:r>
        <w:rPr>
          <w:rFonts w:hint="eastAsia" w:ascii="黑体" w:hAnsi="黑体" w:eastAsia="黑体"/>
          <w:bCs/>
          <w:szCs w:val="21"/>
          <w:highlight w:val="none"/>
        </w:rPr>
        <w:t>质保期：</w:t>
      </w:r>
      <w:r>
        <w:rPr>
          <w:rFonts w:hint="eastAsia" w:ascii="黑体" w:hAnsi="黑体" w:eastAsia="黑体"/>
          <w:bCs/>
          <w:szCs w:val="21"/>
          <w:highlight w:val="none"/>
          <w:u w:val="single"/>
        </w:rPr>
        <w:t>自项目验收合格之日起1年（若制造商提供质保期超过一年的，则以制造商提供的质保期为准）。</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双方权利义务</w:t>
      </w:r>
    </w:p>
    <w:p>
      <w:pPr>
        <w:pStyle w:val="30"/>
        <w:numPr>
          <w:ilvl w:val="0"/>
          <w:numId w:val="84"/>
        </w:numPr>
        <w:spacing w:line="360" w:lineRule="auto"/>
        <w:ind w:firstLineChars="0"/>
        <w:rPr>
          <w:rFonts w:ascii="黑体" w:hAnsi="黑体" w:eastAsia="黑体"/>
          <w:b/>
          <w:szCs w:val="21"/>
          <w:highlight w:val="none"/>
        </w:rPr>
      </w:pPr>
      <w:r>
        <w:rPr>
          <w:rFonts w:hint="eastAsia" w:ascii="黑体" w:hAnsi="黑体" w:eastAsia="黑体"/>
          <w:b/>
          <w:szCs w:val="21"/>
          <w:highlight w:val="none"/>
        </w:rPr>
        <w:t>甲方权力和义务</w:t>
      </w:r>
    </w:p>
    <w:p>
      <w:pPr>
        <w:pStyle w:val="30"/>
        <w:numPr>
          <w:ilvl w:val="1"/>
          <w:numId w:val="85"/>
        </w:numPr>
        <w:tabs>
          <w:tab w:val="left" w:pos="1456"/>
        </w:tabs>
        <w:spacing w:line="420" w:lineRule="exact"/>
        <w:ind w:left="426" w:firstLineChars="0"/>
        <w:rPr>
          <w:rFonts w:ascii="黑体" w:hAnsi="黑体" w:eastAsia="黑体"/>
          <w:szCs w:val="21"/>
          <w:highlight w:val="none"/>
        </w:rPr>
      </w:pPr>
      <w:r>
        <w:rPr>
          <w:rFonts w:hint="eastAsia" w:ascii="黑体" w:hAnsi="黑体" w:eastAsia="黑体"/>
          <w:szCs w:val="21"/>
          <w:highlight w:val="none"/>
        </w:rPr>
        <w:t>验收乙方提供的合同货物。</w:t>
      </w:r>
    </w:p>
    <w:p>
      <w:pPr>
        <w:pStyle w:val="30"/>
        <w:numPr>
          <w:ilvl w:val="1"/>
          <w:numId w:val="85"/>
        </w:numPr>
        <w:tabs>
          <w:tab w:val="left" w:pos="1456"/>
        </w:tabs>
        <w:spacing w:line="420" w:lineRule="exact"/>
        <w:ind w:left="426" w:firstLineChars="0"/>
        <w:rPr>
          <w:rFonts w:ascii="黑体" w:hAnsi="黑体" w:eastAsia="黑体"/>
          <w:szCs w:val="21"/>
          <w:highlight w:val="none"/>
        </w:rPr>
      </w:pPr>
      <w:r>
        <w:rPr>
          <w:rFonts w:hint="eastAsia" w:ascii="黑体" w:hAnsi="黑体" w:eastAsia="黑体"/>
          <w:szCs w:val="21"/>
          <w:highlight w:val="none"/>
        </w:rPr>
        <w:t>审批</w:t>
      </w:r>
      <w:r>
        <w:rPr>
          <w:rFonts w:hint="eastAsia" w:ascii="黑体" w:hAnsi="黑体" w:eastAsia="黑体"/>
          <w:bCs/>
          <w:szCs w:val="21"/>
          <w:highlight w:val="none"/>
        </w:rPr>
        <w:t>乙方提交的关于项目的</w:t>
      </w:r>
      <w:r>
        <w:rPr>
          <w:rFonts w:hint="eastAsia" w:ascii="黑体" w:hAnsi="黑体" w:eastAsia="黑体" w:cs="宋体"/>
          <w:szCs w:val="21"/>
          <w:highlight w:val="none"/>
        </w:rPr>
        <w:t>实施组织</w:t>
      </w:r>
      <w:r>
        <w:rPr>
          <w:rFonts w:hint="eastAsia" w:ascii="黑体" w:hAnsi="黑体" w:eastAsia="黑体"/>
          <w:szCs w:val="21"/>
          <w:highlight w:val="none"/>
        </w:rPr>
        <w:t>方案。</w:t>
      </w:r>
    </w:p>
    <w:p>
      <w:pPr>
        <w:pStyle w:val="30"/>
        <w:numPr>
          <w:ilvl w:val="1"/>
          <w:numId w:val="85"/>
        </w:numPr>
        <w:tabs>
          <w:tab w:val="left" w:pos="1456"/>
        </w:tabs>
        <w:spacing w:line="420" w:lineRule="exact"/>
        <w:ind w:left="426" w:firstLineChars="0"/>
        <w:rPr>
          <w:rFonts w:ascii="黑体" w:hAnsi="黑体" w:eastAsia="黑体"/>
          <w:szCs w:val="21"/>
          <w:highlight w:val="none"/>
        </w:rPr>
      </w:pPr>
      <w:r>
        <w:rPr>
          <w:rFonts w:hint="eastAsia" w:ascii="黑体" w:hAnsi="黑体" w:eastAsia="黑体"/>
          <w:szCs w:val="21"/>
          <w:highlight w:val="none"/>
        </w:rPr>
        <w:t>监督、指导乙方进行</w:t>
      </w:r>
      <w:r>
        <w:rPr>
          <w:rFonts w:hint="eastAsia" w:ascii="黑体" w:hAnsi="黑体" w:eastAsia="黑体"/>
          <w:bCs/>
          <w:szCs w:val="21"/>
          <w:highlight w:val="none"/>
        </w:rPr>
        <w:t>服务</w:t>
      </w:r>
      <w:r>
        <w:rPr>
          <w:rFonts w:hint="eastAsia" w:ascii="黑体" w:hAnsi="黑体" w:eastAsia="黑体" w:cs="宋体"/>
          <w:szCs w:val="21"/>
          <w:highlight w:val="none"/>
        </w:rPr>
        <w:t>实施</w:t>
      </w:r>
      <w:r>
        <w:rPr>
          <w:rFonts w:hint="eastAsia" w:ascii="黑体" w:hAnsi="黑体" w:eastAsia="黑体"/>
          <w:szCs w:val="21"/>
          <w:highlight w:val="none"/>
        </w:rPr>
        <w:t>工作，具有及时纠正出现问题的权利。</w:t>
      </w:r>
    </w:p>
    <w:p>
      <w:pPr>
        <w:pStyle w:val="30"/>
        <w:numPr>
          <w:ilvl w:val="1"/>
          <w:numId w:val="85"/>
        </w:numPr>
        <w:tabs>
          <w:tab w:val="left" w:pos="1456"/>
        </w:tabs>
        <w:spacing w:line="420" w:lineRule="exact"/>
        <w:ind w:left="426" w:firstLineChars="0"/>
        <w:rPr>
          <w:rFonts w:ascii="黑体" w:hAnsi="黑体" w:eastAsia="黑体"/>
          <w:szCs w:val="21"/>
          <w:highlight w:val="none"/>
        </w:rPr>
      </w:pPr>
      <w:r>
        <w:rPr>
          <w:rFonts w:hint="eastAsia" w:ascii="黑体" w:hAnsi="黑体" w:eastAsia="黑体"/>
          <w:szCs w:val="21"/>
          <w:highlight w:val="none"/>
        </w:rPr>
        <w:t>协调</w:t>
      </w:r>
      <w:r>
        <w:rPr>
          <w:rFonts w:hint="eastAsia" w:ascii="黑体" w:hAnsi="黑体" w:eastAsia="黑体"/>
          <w:bCs/>
          <w:szCs w:val="21"/>
          <w:highlight w:val="none"/>
        </w:rPr>
        <w:t>乙方工作</w:t>
      </w:r>
      <w:r>
        <w:rPr>
          <w:rFonts w:hint="eastAsia" w:ascii="黑体" w:hAnsi="黑体" w:eastAsia="黑体"/>
          <w:szCs w:val="21"/>
          <w:highlight w:val="none"/>
        </w:rPr>
        <w:t>，对乙方需要协调解决的问题，甲方应采取积极态度予以处理。</w:t>
      </w:r>
    </w:p>
    <w:p>
      <w:pPr>
        <w:pStyle w:val="30"/>
        <w:numPr>
          <w:ilvl w:val="1"/>
          <w:numId w:val="85"/>
        </w:numPr>
        <w:tabs>
          <w:tab w:val="left" w:pos="1456"/>
        </w:tabs>
        <w:spacing w:line="420" w:lineRule="exact"/>
        <w:ind w:left="426" w:firstLineChars="0"/>
        <w:rPr>
          <w:rFonts w:ascii="黑体" w:hAnsi="黑体" w:eastAsia="黑体"/>
          <w:szCs w:val="21"/>
          <w:highlight w:val="none"/>
        </w:rPr>
      </w:pPr>
      <w:r>
        <w:rPr>
          <w:rFonts w:hint="eastAsia" w:ascii="黑体" w:hAnsi="黑体" w:eastAsia="黑体" w:cs="宋体"/>
          <w:szCs w:val="21"/>
          <w:highlight w:val="none"/>
        </w:rPr>
        <w:t>在乙方提供服务时，如对甲方的设备造成了损坏，甲方有权要求乙方赔偿。</w:t>
      </w:r>
    </w:p>
    <w:p>
      <w:pPr>
        <w:pStyle w:val="30"/>
        <w:numPr>
          <w:ilvl w:val="1"/>
          <w:numId w:val="85"/>
        </w:numPr>
        <w:tabs>
          <w:tab w:val="left" w:pos="1456"/>
        </w:tabs>
        <w:spacing w:line="360" w:lineRule="auto"/>
        <w:ind w:left="426" w:firstLineChars="0"/>
        <w:rPr>
          <w:rFonts w:ascii="黑体" w:hAnsi="黑体" w:eastAsia="黑体"/>
          <w:szCs w:val="21"/>
          <w:highlight w:val="none"/>
        </w:rPr>
      </w:pPr>
      <w:r>
        <w:rPr>
          <w:rFonts w:hint="eastAsia" w:ascii="黑体" w:hAnsi="黑体" w:eastAsia="黑体"/>
          <w:szCs w:val="21"/>
          <w:highlight w:val="none"/>
        </w:rPr>
        <w:t>采购文件和响应文件约定的甲方其余权利义务。</w:t>
      </w:r>
    </w:p>
    <w:p>
      <w:pPr>
        <w:pStyle w:val="30"/>
        <w:numPr>
          <w:ilvl w:val="0"/>
          <w:numId w:val="84"/>
        </w:numPr>
        <w:spacing w:line="360" w:lineRule="auto"/>
        <w:ind w:firstLineChars="0"/>
        <w:rPr>
          <w:rFonts w:ascii="黑体" w:hAnsi="黑体" w:eastAsia="黑体"/>
          <w:b/>
          <w:szCs w:val="21"/>
          <w:highlight w:val="none"/>
        </w:rPr>
      </w:pPr>
      <w:r>
        <w:rPr>
          <w:rFonts w:hint="eastAsia" w:ascii="黑体" w:hAnsi="黑体" w:eastAsia="黑体"/>
          <w:b/>
          <w:szCs w:val="21"/>
          <w:highlight w:val="none"/>
        </w:rPr>
        <w:t>乙方权力和义务</w:t>
      </w:r>
    </w:p>
    <w:p>
      <w:pPr>
        <w:pStyle w:val="30"/>
        <w:numPr>
          <w:ilvl w:val="1"/>
          <w:numId w:val="86"/>
        </w:numPr>
        <w:tabs>
          <w:tab w:val="left" w:pos="1456"/>
        </w:tabs>
        <w:spacing w:line="420" w:lineRule="exact"/>
        <w:ind w:left="426" w:firstLineChars="0"/>
        <w:rPr>
          <w:rFonts w:ascii="黑体" w:hAnsi="黑体" w:eastAsia="黑体"/>
          <w:bCs/>
          <w:szCs w:val="21"/>
          <w:highlight w:val="none"/>
        </w:rPr>
      </w:pPr>
      <w:r>
        <w:rPr>
          <w:rFonts w:hint="eastAsia" w:ascii="黑体" w:hAnsi="黑体" w:eastAsia="黑体" w:cs="宋体"/>
          <w:szCs w:val="21"/>
          <w:highlight w:val="none"/>
        </w:rPr>
        <w:t>乙方应按采购文件的要求和响应文件的承诺进行供货，发生任何货物及服务的变更均须向甲方提出交书面报审报告。</w:t>
      </w:r>
    </w:p>
    <w:p>
      <w:pPr>
        <w:pStyle w:val="30"/>
        <w:numPr>
          <w:ilvl w:val="1"/>
          <w:numId w:val="86"/>
        </w:numPr>
        <w:tabs>
          <w:tab w:val="left" w:pos="1456"/>
        </w:tabs>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在满足采购文件的前提下，严格按照其响应文件的</w:t>
      </w:r>
      <w:r>
        <w:rPr>
          <w:rFonts w:hint="eastAsia" w:ascii="黑体" w:hAnsi="黑体" w:eastAsia="黑体" w:cs="宋体"/>
          <w:szCs w:val="21"/>
          <w:highlight w:val="none"/>
        </w:rPr>
        <w:t>实施组织</w:t>
      </w:r>
      <w:r>
        <w:rPr>
          <w:rFonts w:hint="eastAsia" w:ascii="黑体" w:hAnsi="黑体" w:eastAsia="黑体"/>
          <w:szCs w:val="21"/>
          <w:highlight w:val="none"/>
        </w:rPr>
        <w:t>方案</w:t>
      </w:r>
      <w:r>
        <w:rPr>
          <w:rFonts w:hint="eastAsia" w:ascii="黑体" w:hAnsi="黑体" w:eastAsia="黑体"/>
          <w:bCs/>
          <w:szCs w:val="21"/>
          <w:highlight w:val="none"/>
        </w:rPr>
        <w:t>（包括</w:t>
      </w:r>
      <w:r>
        <w:rPr>
          <w:rFonts w:hint="eastAsia" w:ascii="黑体" w:hAnsi="黑体" w:eastAsia="黑体"/>
          <w:szCs w:val="21"/>
          <w:highlight w:val="none"/>
        </w:rPr>
        <w:t>实施计划、设备、人员、文明、安全等）</w:t>
      </w:r>
      <w:r>
        <w:rPr>
          <w:rFonts w:hint="eastAsia" w:ascii="黑体" w:hAnsi="黑体" w:eastAsia="黑体"/>
          <w:bCs/>
          <w:szCs w:val="21"/>
          <w:highlight w:val="none"/>
        </w:rPr>
        <w:t>进行服务。</w:t>
      </w:r>
    </w:p>
    <w:p>
      <w:pPr>
        <w:pStyle w:val="30"/>
        <w:numPr>
          <w:ilvl w:val="1"/>
          <w:numId w:val="86"/>
        </w:numPr>
        <w:tabs>
          <w:tab w:val="left" w:pos="1456"/>
        </w:tabs>
        <w:spacing w:line="420" w:lineRule="exact"/>
        <w:ind w:left="426" w:firstLineChars="0"/>
        <w:rPr>
          <w:rFonts w:ascii="黑体" w:hAnsi="黑体" w:eastAsia="黑体"/>
          <w:szCs w:val="21"/>
          <w:highlight w:val="none"/>
        </w:rPr>
      </w:pPr>
      <w:r>
        <w:rPr>
          <w:rFonts w:hint="eastAsia" w:ascii="黑体" w:hAnsi="黑体" w:eastAsia="黑体"/>
          <w:szCs w:val="21"/>
          <w:highlight w:val="none"/>
        </w:rPr>
        <w:t>在组织</w:t>
      </w:r>
      <w:r>
        <w:rPr>
          <w:rFonts w:hint="eastAsia" w:ascii="黑体" w:hAnsi="黑体" w:eastAsia="黑体" w:cs="宋体"/>
          <w:szCs w:val="21"/>
          <w:highlight w:val="none"/>
        </w:rPr>
        <w:t>实施服务</w:t>
      </w:r>
      <w:r>
        <w:rPr>
          <w:rFonts w:hint="eastAsia" w:ascii="黑体" w:hAnsi="黑体" w:eastAsia="黑体"/>
          <w:szCs w:val="21"/>
          <w:highlight w:val="none"/>
        </w:rPr>
        <w:t>过程中，遵守有关安全生产管理规定，严格按相关安全标准组织实施，采取必要的安全防护措施，消除事故隐患。由于乙方安全措施不力造成事故的责任和因此发生的费用，由乙方承担。</w:t>
      </w:r>
    </w:p>
    <w:p>
      <w:pPr>
        <w:pStyle w:val="30"/>
        <w:numPr>
          <w:ilvl w:val="1"/>
          <w:numId w:val="86"/>
        </w:numPr>
        <w:tabs>
          <w:tab w:val="left" w:pos="1456"/>
        </w:tabs>
        <w:spacing w:line="420" w:lineRule="exact"/>
        <w:ind w:left="426" w:firstLineChars="0"/>
        <w:rPr>
          <w:rFonts w:ascii="黑体" w:hAnsi="黑体" w:eastAsia="黑体"/>
          <w:szCs w:val="21"/>
          <w:highlight w:val="none"/>
        </w:rPr>
      </w:pPr>
      <w:r>
        <w:rPr>
          <w:rFonts w:hint="eastAsia" w:ascii="黑体" w:hAnsi="黑体" w:eastAsia="黑体"/>
          <w:bCs/>
          <w:szCs w:val="21"/>
          <w:highlight w:val="none"/>
        </w:rPr>
        <w:t>做好服务现场设施的保护，若乙方防护不力而造成一切责任及经济损失由乙方承担；</w:t>
      </w:r>
    </w:p>
    <w:p>
      <w:pPr>
        <w:pStyle w:val="30"/>
        <w:numPr>
          <w:ilvl w:val="1"/>
          <w:numId w:val="86"/>
        </w:numPr>
        <w:tabs>
          <w:tab w:val="left" w:pos="1456"/>
        </w:tabs>
        <w:spacing w:line="420" w:lineRule="exact"/>
        <w:ind w:left="426" w:firstLineChars="0"/>
        <w:rPr>
          <w:rFonts w:ascii="黑体" w:hAnsi="黑体" w:eastAsia="黑体"/>
          <w:szCs w:val="21"/>
          <w:highlight w:val="none"/>
        </w:rPr>
      </w:pPr>
      <w:r>
        <w:rPr>
          <w:rFonts w:hint="eastAsia" w:ascii="黑体" w:hAnsi="黑体" w:eastAsia="黑体"/>
          <w:bCs/>
          <w:szCs w:val="21"/>
          <w:highlight w:val="none"/>
        </w:rPr>
        <w:t>必须为从事危险作业的职工办理意外伤害保险，并为实施服务场地内自有人员生命财产和实施服务机械设备办理保险，支付保险费用。</w:t>
      </w:r>
    </w:p>
    <w:p>
      <w:pPr>
        <w:pStyle w:val="30"/>
        <w:numPr>
          <w:ilvl w:val="1"/>
          <w:numId w:val="86"/>
        </w:numPr>
        <w:tabs>
          <w:tab w:val="left" w:pos="1456"/>
        </w:tabs>
        <w:spacing w:line="420" w:lineRule="exact"/>
        <w:ind w:left="426" w:firstLineChars="0"/>
        <w:rPr>
          <w:rFonts w:ascii="黑体" w:hAnsi="黑体" w:eastAsia="黑体"/>
          <w:szCs w:val="21"/>
          <w:highlight w:val="none"/>
        </w:rPr>
      </w:pPr>
      <w:r>
        <w:rPr>
          <w:rFonts w:hint="eastAsia" w:ascii="黑体" w:hAnsi="黑体" w:eastAsia="黑体"/>
          <w:szCs w:val="21"/>
          <w:highlight w:val="none"/>
        </w:rPr>
        <w:t>采购文件和响应文件约定的乙方其余权利义务。</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采购需求：详见采购文件采购需求</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设备参数：详见采购文件采购需求</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包装和运输</w:t>
      </w:r>
    </w:p>
    <w:p>
      <w:pPr>
        <w:pStyle w:val="30"/>
        <w:numPr>
          <w:ilvl w:val="0"/>
          <w:numId w:val="87"/>
        </w:numPr>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设备的包装必须是制造商原厂包装、全新、未使用过的。</w:t>
      </w:r>
    </w:p>
    <w:p>
      <w:pPr>
        <w:pStyle w:val="30"/>
        <w:numPr>
          <w:ilvl w:val="0"/>
          <w:numId w:val="87"/>
        </w:numPr>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包装均应有良好的防湿、防锈、防潮、防雨、防腐及防碰撞的措施。凡由于包装不良造成的损失和由此产生的费用均由乙方承担。</w:t>
      </w:r>
    </w:p>
    <w:p>
      <w:pPr>
        <w:pStyle w:val="30"/>
        <w:numPr>
          <w:ilvl w:val="0"/>
          <w:numId w:val="87"/>
        </w:numPr>
        <w:spacing w:line="420" w:lineRule="exact"/>
        <w:ind w:left="426" w:firstLineChars="0"/>
        <w:rPr>
          <w:rFonts w:ascii="黑体" w:hAnsi="黑体" w:eastAsia="黑体"/>
          <w:b/>
          <w:szCs w:val="21"/>
          <w:highlight w:val="none"/>
        </w:rPr>
      </w:pPr>
      <w:r>
        <w:rPr>
          <w:rFonts w:hint="eastAsia" w:ascii="黑体" w:hAnsi="黑体" w:eastAsia="黑体"/>
          <w:bCs/>
          <w:szCs w:val="21"/>
          <w:highlight w:val="none"/>
        </w:rPr>
        <w:t>设备至</w:t>
      </w:r>
      <w:r>
        <w:rPr>
          <w:rFonts w:hint="eastAsia" w:ascii="黑体" w:hAnsi="黑体" w:eastAsia="黑体"/>
          <w:szCs w:val="21"/>
          <w:highlight w:val="none"/>
        </w:rPr>
        <w:t>甲方指定地点的包装、保险及运输等环节和费用均由乙方负责</w:t>
      </w:r>
      <w:r>
        <w:rPr>
          <w:rFonts w:hint="eastAsia" w:ascii="黑体" w:hAnsi="黑体" w:eastAsia="黑体"/>
          <w:b/>
          <w:szCs w:val="21"/>
          <w:highlight w:val="none"/>
        </w:rPr>
        <w:t>。</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付款方式</w:t>
      </w:r>
    </w:p>
    <w:p>
      <w:pPr>
        <w:pStyle w:val="30"/>
        <w:numPr>
          <w:ilvl w:val="0"/>
          <w:numId w:val="88"/>
        </w:numPr>
        <w:spacing w:line="420" w:lineRule="exact"/>
        <w:ind w:left="426" w:firstLineChars="0"/>
        <w:rPr>
          <w:rFonts w:ascii="黑体" w:hAnsi="黑体" w:eastAsia="黑体"/>
          <w:bCs/>
          <w:szCs w:val="21"/>
          <w:highlight w:val="none"/>
        </w:rPr>
      </w:pPr>
      <w:r>
        <w:rPr>
          <w:rFonts w:hint="eastAsia" w:ascii="黑体" w:hAnsi="黑体" w:eastAsia="黑体"/>
          <w:iCs/>
          <w:szCs w:val="21"/>
          <w:highlight w:val="none"/>
        </w:rPr>
        <w:t>合</w:t>
      </w:r>
      <w:r>
        <w:rPr>
          <w:rFonts w:hint="eastAsia" w:ascii="黑体" w:hAnsi="黑体" w:eastAsia="黑体"/>
          <w:bCs/>
          <w:szCs w:val="21"/>
          <w:highlight w:val="none"/>
        </w:rPr>
        <w:t>同签订之日起7个工作日内甲方向乙方支付合同总价</w:t>
      </w:r>
      <w:r>
        <w:rPr>
          <w:rFonts w:hint="eastAsia" w:ascii="黑体" w:hAnsi="黑体" w:eastAsia="黑体"/>
          <w:bCs/>
          <w:szCs w:val="21"/>
          <w:highlight w:val="none"/>
          <w:lang w:val="en-US" w:eastAsia="zh-CN"/>
        </w:rPr>
        <w:t>5</w:t>
      </w:r>
      <w:r>
        <w:rPr>
          <w:rFonts w:hint="eastAsia" w:ascii="黑体" w:hAnsi="黑体" w:eastAsia="黑体"/>
          <w:bCs/>
          <w:szCs w:val="21"/>
          <w:highlight w:val="none"/>
        </w:rPr>
        <w:t>0%。</w:t>
      </w:r>
    </w:p>
    <w:p>
      <w:pPr>
        <w:pStyle w:val="30"/>
        <w:numPr>
          <w:ilvl w:val="0"/>
          <w:numId w:val="88"/>
        </w:numPr>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项目验收通过后7个工作日内甲方向乙方支付剩余合同</w:t>
      </w:r>
      <w:r>
        <w:rPr>
          <w:rFonts w:hint="eastAsia" w:ascii="黑体" w:hAnsi="黑体" w:eastAsia="黑体"/>
          <w:iCs/>
          <w:szCs w:val="21"/>
          <w:highlight w:val="none"/>
        </w:rPr>
        <w:t>总价</w:t>
      </w:r>
      <w:r>
        <w:rPr>
          <w:rFonts w:hint="eastAsia" w:ascii="黑体" w:hAnsi="黑体" w:eastAsia="黑体"/>
          <w:iCs/>
          <w:szCs w:val="21"/>
          <w:highlight w:val="none"/>
          <w:lang w:val="en-US" w:eastAsia="zh-CN"/>
        </w:rPr>
        <w:t>5</w:t>
      </w:r>
      <w:r>
        <w:rPr>
          <w:rFonts w:hint="eastAsia" w:ascii="黑体" w:hAnsi="黑体" w:eastAsia="黑体"/>
          <w:iCs/>
          <w:szCs w:val="21"/>
          <w:highlight w:val="none"/>
        </w:rPr>
        <w:t>0%</w:t>
      </w:r>
      <w:r>
        <w:rPr>
          <w:rFonts w:hint="eastAsia" w:ascii="黑体" w:hAnsi="黑体" w:eastAsia="黑体"/>
          <w:bCs/>
          <w:szCs w:val="21"/>
          <w:highlight w:val="none"/>
        </w:rPr>
        <w:t>。</w:t>
      </w:r>
    </w:p>
    <w:p>
      <w:pPr>
        <w:pStyle w:val="30"/>
        <w:numPr>
          <w:ilvl w:val="0"/>
          <w:numId w:val="88"/>
        </w:numPr>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支付方式：乙方</w:t>
      </w:r>
      <w:r>
        <w:rPr>
          <w:rFonts w:hint="eastAsia" w:ascii="黑体" w:hAnsi="黑体" w:eastAsia="黑体"/>
          <w:iCs/>
          <w:szCs w:val="21"/>
          <w:highlight w:val="none"/>
        </w:rPr>
        <w:t>申请款项同时，需向甲方提供等值合法有效发票。</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售后服务</w:t>
      </w:r>
    </w:p>
    <w:p>
      <w:pPr>
        <w:pStyle w:val="30"/>
        <w:numPr>
          <w:ilvl w:val="0"/>
          <w:numId w:val="89"/>
        </w:numPr>
        <w:spacing w:line="420" w:lineRule="exact"/>
        <w:ind w:left="422" w:leftChars="1" w:hangingChars="200"/>
        <w:rPr>
          <w:rFonts w:ascii="黑体" w:hAnsi="黑体" w:eastAsia="黑体"/>
          <w:bCs/>
          <w:szCs w:val="21"/>
          <w:highlight w:val="none"/>
        </w:rPr>
      </w:pPr>
      <w:r>
        <w:rPr>
          <w:rFonts w:hint="eastAsia" w:ascii="黑体" w:hAnsi="黑体" w:eastAsia="黑体"/>
          <w:bCs/>
          <w:szCs w:val="21"/>
          <w:highlight w:val="none"/>
        </w:rPr>
        <w:t>本项目所有硬件设备，履行原厂家提供的服务承诺；</w:t>
      </w:r>
    </w:p>
    <w:p>
      <w:pPr>
        <w:pStyle w:val="30"/>
        <w:numPr>
          <w:ilvl w:val="0"/>
          <w:numId w:val="89"/>
        </w:numPr>
        <w:spacing w:line="420" w:lineRule="exact"/>
        <w:ind w:left="422" w:leftChars="1" w:hangingChars="200"/>
        <w:rPr>
          <w:rFonts w:ascii="黑体" w:hAnsi="黑体" w:eastAsia="黑体"/>
          <w:bCs/>
          <w:szCs w:val="21"/>
          <w:highlight w:val="none"/>
        </w:rPr>
      </w:pPr>
      <w:r>
        <w:rPr>
          <w:rFonts w:hint="eastAsia" w:ascii="黑体" w:hAnsi="黑体" w:eastAsia="黑体"/>
          <w:bCs/>
          <w:szCs w:val="21"/>
          <w:highlight w:val="none"/>
        </w:rPr>
        <w:t>乙方需设立报障电话，设备出现故障后，应及时维修。一般设备发生故障后，维护人员应在2小时内到达现场，并在8小时的期限内修复。特殊情况不能修复的，要查出故障原因，并提出解决方案。网络故障响应处理时间应少于30分钟，到达现场时间应少于60分钟。按照故障程度，一般故障2小时修复，重大故障4小时内修复，特殊情况，最长不得超过8小时。线路故障时，维护单位应采取有力措施及时修复。</w:t>
      </w:r>
    </w:p>
    <w:p>
      <w:pPr>
        <w:pStyle w:val="30"/>
        <w:numPr>
          <w:ilvl w:val="0"/>
          <w:numId w:val="89"/>
        </w:numPr>
        <w:spacing w:line="420" w:lineRule="exact"/>
        <w:ind w:left="422" w:leftChars="1" w:hangingChars="200"/>
        <w:rPr>
          <w:rFonts w:ascii="黑体" w:hAnsi="黑体" w:eastAsia="黑体"/>
          <w:bCs/>
          <w:szCs w:val="21"/>
          <w:highlight w:val="none"/>
        </w:rPr>
      </w:pPr>
      <w:r>
        <w:rPr>
          <w:rFonts w:hint="eastAsia" w:ascii="黑体" w:hAnsi="黑体" w:eastAsia="黑体"/>
          <w:bCs/>
          <w:szCs w:val="21"/>
          <w:highlight w:val="none"/>
        </w:rPr>
        <w:t>提供完备的记录。巡检、维护、软件升级、维修等记录应提交甲方存档。</w:t>
      </w:r>
    </w:p>
    <w:p>
      <w:pPr>
        <w:pStyle w:val="30"/>
        <w:numPr>
          <w:ilvl w:val="0"/>
          <w:numId w:val="89"/>
        </w:numPr>
        <w:spacing w:line="420" w:lineRule="exact"/>
        <w:ind w:left="422" w:leftChars="1" w:hangingChars="200"/>
        <w:rPr>
          <w:rFonts w:ascii="黑体" w:hAnsi="黑体" w:eastAsia="黑体"/>
          <w:szCs w:val="21"/>
          <w:highlight w:val="none"/>
        </w:rPr>
      </w:pPr>
      <w:r>
        <w:rPr>
          <w:rFonts w:hint="eastAsia" w:ascii="黑体" w:hAnsi="黑体" w:eastAsia="黑体"/>
          <w:bCs/>
          <w:szCs w:val="21"/>
          <w:highlight w:val="none"/>
        </w:rPr>
        <w:t>系统设备维护的安全要求：必须做好维护、维修人员的身份审核；全程记录相关操作过程，记录必要的软件/设备维护信息；在维护、维修工作中必须防止系统规划、用户信息、图像资</w:t>
      </w:r>
      <w:r>
        <w:rPr>
          <w:rFonts w:hint="eastAsia" w:ascii="黑体" w:hAnsi="黑体" w:eastAsia="黑体"/>
          <w:szCs w:val="21"/>
          <w:highlight w:val="none"/>
        </w:rPr>
        <w:t>源等信息的泄露。</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验收要求</w:t>
      </w:r>
    </w:p>
    <w:p>
      <w:pPr>
        <w:pStyle w:val="30"/>
        <w:numPr>
          <w:ilvl w:val="0"/>
          <w:numId w:val="90"/>
        </w:numPr>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要求对全部设备、产品的型号、规格、数量、外型、外观、包装及资料、文件（如装箱单、保修单、随箱介质等）的验收。</w:t>
      </w:r>
    </w:p>
    <w:p>
      <w:pPr>
        <w:pStyle w:val="30"/>
        <w:numPr>
          <w:ilvl w:val="0"/>
          <w:numId w:val="90"/>
        </w:numPr>
        <w:spacing w:line="420" w:lineRule="exact"/>
        <w:ind w:left="426" w:firstLineChars="0"/>
        <w:rPr>
          <w:rFonts w:ascii="黑体" w:hAnsi="黑体" w:eastAsia="黑体"/>
          <w:bCs/>
          <w:szCs w:val="21"/>
          <w:highlight w:val="none"/>
        </w:rPr>
      </w:pPr>
      <w:r>
        <w:rPr>
          <w:rFonts w:hint="eastAsia" w:ascii="黑体" w:hAnsi="黑体" w:eastAsia="黑体"/>
          <w:bCs/>
          <w:szCs w:val="21"/>
          <w:highlight w:val="none"/>
        </w:rPr>
        <w:t>乙方应负责在项目验收时将全部有关产品说明书、原厂家安装手册、技术文件、资料等文档汇集成册交付甲方和监理单位。</w:t>
      </w:r>
    </w:p>
    <w:p>
      <w:pPr>
        <w:pStyle w:val="30"/>
        <w:numPr>
          <w:ilvl w:val="0"/>
          <w:numId w:val="90"/>
        </w:numPr>
        <w:spacing w:line="420" w:lineRule="exact"/>
        <w:ind w:left="426" w:firstLineChars="0"/>
        <w:rPr>
          <w:rFonts w:ascii="黑体" w:hAnsi="黑体" w:eastAsia="黑体"/>
          <w:b/>
          <w:szCs w:val="21"/>
          <w:highlight w:val="none"/>
        </w:rPr>
      </w:pPr>
      <w:r>
        <w:rPr>
          <w:rFonts w:hint="eastAsia" w:ascii="黑体" w:hAnsi="黑体" w:eastAsia="黑体"/>
          <w:bCs/>
          <w:szCs w:val="21"/>
          <w:highlight w:val="none"/>
        </w:rPr>
        <w:t>货</w:t>
      </w:r>
      <w:r>
        <w:rPr>
          <w:rFonts w:hint="eastAsia" w:ascii="黑体" w:hAnsi="黑体" w:eastAsia="黑体"/>
          <w:iCs/>
          <w:szCs w:val="21"/>
          <w:highlight w:val="none"/>
        </w:rPr>
        <w:t>物符合采购文件技术要求，性能满足要求。设备若有国家标准按照国家标准验收，若无国家标准按行业标准验收，为原制造商制造的全新产品，整机无污染，无侵权行为、表面无划损、无任何缺陷隐患，在中国境内可依常规安全合法使用。</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违约责任</w:t>
      </w:r>
    </w:p>
    <w:p>
      <w:pPr>
        <w:pStyle w:val="32"/>
        <w:numPr>
          <w:ilvl w:val="0"/>
          <w:numId w:val="91"/>
        </w:numPr>
        <w:tabs>
          <w:tab w:val="left" w:pos="840"/>
        </w:tabs>
        <w:spacing w:line="420" w:lineRule="exact"/>
        <w:ind w:firstLineChars="0"/>
        <w:rPr>
          <w:rFonts w:ascii="黑体" w:hAnsi="黑体" w:eastAsia="黑体"/>
          <w:szCs w:val="21"/>
          <w:highlight w:val="none"/>
        </w:rPr>
      </w:pPr>
      <w:r>
        <w:rPr>
          <w:rFonts w:hint="eastAsia" w:ascii="黑体" w:hAnsi="黑体" w:eastAsia="黑体"/>
          <w:szCs w:val="21"/>
          <w:highlight w:val="none"/>
        </w:rPr>
        <w:t>乙方违反合同及采购文件约定的有关义务，对甲方造成经济损失的，应给予甲方经济赔偿；如造成重大损失的，甲方有权终止合同。</w:t>
      </w:r>
    </w:p>
    <w:p>
      <w:pPr>
        <w:pStyle w:val="32"/>
        <w:numPr>
          <w:ilvl w:val="0"/>
          <w:numId w:val="91"/>
        </w:numPr>
        <w:tabs>
          <w:tab w:val="left" w:pos="840"/>
        </w:tabs>
        <w:spacing w:line="420" w:lineRule="exact"/>
        <w:ind w:firstLineChars="0"/>
        <w:rPr>
          <w:rFonts w:ascii="黑体" w:hAnsi="黑体" w:eastAsia="黑体"/>
          <w:szCs w:val="21"/>
          <w:highlight w:val="none"/>
        </w:rPr>
      </w:pPr>
      <w:r>
        <w:rPr>
          <w:rFonts w:hint="eastAsia" w:ascii="黑体" w:hAnsi="黑体" w:eastAsia="黑体"/>
          <w:szCs w:val="21"/>
          <w:highlight w:val="none"/>
        </w:rPr>
        <w:t>除合同规定外，如果乙方没有按照合同规定的时间交付或完成，甲方可要求乙方支付违约金。从逾期之日起每日按本合同总价</w:t>
      </w:r>
      <w:r>
        <w:rPr>
          <w:rFonts w:hint="eastAsia" w:ascii="黑体" w:hAnsi="黑体" w:eastAsia="黑体" w:cs="Times New Roman"/>
          <w:szCs w:val="21"/>
          <w:highlight w:val="none"/>
          <w:u w:val="single"/>
        </w:rPr>
        <w:t>3</w:t>
      </w:r>
      <w:r>
        <w:rPr>
          <w:rFonts w:ascii="黑体" w:hAnsi="黑体" w:eastAsia="黑体"/>
          <w:szCs w:val="21"/>
          <w:highlight w:val="none"/>
          <w:u w:val="single"/>
        </w:rPr>
        <w:t>%</w:t>
      </w:r>
      <w:r>
        <w:rPr>
          <w:rFonts w:hint="eastAsia" w:ascii="黑体" w:hAnsi="黑体" w:eastAsia="黑体"/>
          <w:szCs w:val="21"/>
          <w:highlight w:val="none"/>
        </w:rPr>
        <w:t>的数额向甲方支付违约金；逾期</w:t>
      </w:r>
      <w:r>
        <w:rPr>
          <w:rFonts w:ascii="黑体" w:hAnsi="黑体" w:eastAsia="黑体"/>
          <w:szCs w:val="21"/>
          <w:highlight w:val="none"/>
        </w:rPr>
        <w:t>15天或以上的，甲方有权终止合同，要求乙方一次性支付合同总金额</w:t>
      </w:r>
      <w:r>
        <w:rPr>
          <w:rFonts w:hint="eastAsia" w:ascii="黑体" w:hAnsi="黑体" w:eastAsia="黑体"/>
          <w:szCs w:val="21"/>
          <w:highlight w:val="none"/>
          <w:u w:val="single"/>
        </w:rPr>
        <w:t>20</w:t>
      </w:r>
      <w:r>
        <w:rPr>
          <w:rFonts w:ascii="黑体" w:hAnsi="黑体" w:eastAsia="黑体"/>
          <w:szCs w:val="21"/>
          <w:highlight w:val="none"/>
          <w:u w:val="single"/>
        </w:rPr>
        <w:t>%</w:t>
      </w:r>
      <w:r>
        <w:rPr>
          <w:rFonts w:hint="eastAsia" w:ascii="黑体" w:hAnsi="黑体" w:eastAsia="黑体"/>
          <w:szCs w:val="21"/>
          <w:highlight w:val="none"/>
        </w:rPr>
        <w:t>违约金，并且给甲方造成的经济损失由乙方承担赔偿责任。</w:t>
      </w:r>
    </w:p>
    <w:p>
      <w:pPr>
        <w:pStyle w:val="32"/>
        <w:numPr>
          <w:ilvl w:val="0"/>
          <w:numId w:val="91"/>
        </w:numPr>
        <w:tabs>
          <w:tab w:val="left" w:pos="840"/>
        </w:tabs>
        <w:spacing w:line="420" w:lineRule="exact"/>
        <w:ind w:firstLineChars="0"/>
        <w:rPr>
          <w:rFonts w:ascii="黑体" w:hAnsi="黑体" w:eastAsia="黑体" w:cstheme="minorBidi"/>
          <w:szCs w:val="21"/>
          <w:highlight w:val="none"/>
        </w:rPr>
      </w:pPr>
      <w:r>
        <w:rPr>
          <w:rFonts w:hint="eastAsia" w:ascii="黑体" w:hAnsi="黑体" w:eastAsia="黑体" w:cstheme="minorBidi"/>
          <w:szCs w:val="21"/>
          <w:highlight w:val="none"/>
        </w:rPr>
        <w:t>因乙方原因导致本合同解除或是无法履行的，乙方应向甲方支付合同总价</w:t>
      </w:r>
      <w:r>
        <w:rPr>
          <w:rFonts w:hint="eastAsia" w:ascii="黑体" w:hAnsi="黑体" w:eastAsia="黑体" w:cstheme="minorBidi"/>
          <w:szCs w:val="21"/>
          <w:highlight w:val="none"/>
          <w:u w:val="single"/>
        </w:rPr>
        <w:t>20</w:t>
      </w:r>
      <w:r>
        <w:rPr>
          <w:rFonts w:ascii="黑体" w:hAnsi="黑体" w:eastAsia="黑体" w:cstheme="minorBidi"/>
          <w:szCs w:val="21"/>
          <w:highlight w:val="none"/>
          <w:u w:val="single"/>
        </w:rPr>
        <w:t>%</w:t>
      </w:r>
      <w:r>
        <w:rPr>
          <w:rFonts w:hint="eastAsia" w:ascii="黑体" w:hAnsi="黑体" w:eastAsia="黑体" w:cstheme="minorBidi"/>
          <w:szCs w:val="21"/>
          <w:highlight w:val="none"/>
        </w:rPr>
        <w:t>的违约金，并且给甲方造成的经济损失由乙方承担赔偿责任。</w:t>
      </w:r>
    </w:p>
    <w:p>
      <w:pPr>
        <w:pStyle w:val="32"/>
        <w:numPr>
          <w:ilvl w:val="0"/>
          <w:numId w:val="91"/>
        </w:numPr>
        <w:tabs>
          <w:tab w:val="left" w:pos="840"/>
        </w:tabs>
        <w:spacing w:line="420" w:lineRule="exact"/>
        <w:ind w:firstLineChars="0"/>
        <w:rPr>
          <w:rFonts w:ascii="黑体" w:hAnsi="黑体" w:eastAsia="黑体"/>
          <w:szCs w:val="21"/>
          <w:highlight w:val="none"/>
        </w:rPr>
      </w:pPr>
      <w:r>
        <w:rPr>
          <w:rFonts w:hint="eastAsia" w:ascii="黑体" w:hAnsi="黑体" w:eastAsia="黑体"/>
          <w:szCs w:val="21"/>
          <w:highlight w:val="none"/>
        </w:rPr>
        <w:t>甲方有权从未支付的款项中直接扣除乙方的违约金，不足的部分由乙方另行补足。</w:t>
      </w:r>
    </w:p>
    <w:p>
      <w:pPr>
        <w:pStyle w:val="32"/>
        <w:numPr>
          <w:ilvl w:val="0"/>
          <w:numId w:val="91"/>
        </w:numPr>
        <w:tabs>
          <w:tab w:val="left" w:pos="840"/>
        </w:tabs>
        <w:spacing w:line="420" w:lineRule="exact"/>
        <w:ind w:firstLineChars="0"/>
        <w:rPr>
          <w:rFonts w:ascii="黑体" w:hAnsi="黑体" w:eastAsia="黑体"/>
          <w:szCs w:val="21"/>
          <w:highlight w:val="none"/>
        </w:rPr>
      </w:pPr>
      <w:r>
        <w:rPr>
          <w:rFonts w:hint="eastAsia" w:ascii="黑体" w:hAnsi="黑体" w:eastAsia="黑体"/>
          <w:szCs w:val="21"/>
          <w:highlight w:val="none"/>
        </w:rPr>
        <w:t>乙方交</w:t>
      </w:r>
      <w:bookmarkStart w:id="234" w:name="_Toc86481565"/>
      <w:r>
        <w:rPr>
          <w:rFonts w:hint="eastAsia" w:ascii="黑体" w:hAnsi="黑体" w:eastAsia="黑体"/>
          <w:szCs w:val="21"/>
          <w:highlight w:val="none"/>
        </w:rPr>
        <w:t>付的货物不符合</w:t>
      </w:r>
      <w:bookmarkEnd w:id="234"/>
      <w:r>
        <w:rPr>
          <w:rFonts w:hint="eastAsia" w:ascii="黑体" w:hAnsi="黑体" w:eastAsia="黑体"/>
          <w:szCs w:val="21"/>
          <w:highlight w:val="none"/>
        </w:rPr>
        <w:t>合同规定的，甲方有权拒收，经乙方一再努力仍未能达到合同规定的，甲方有权单方中止合同且乙方需向甲方支付合同总价</w:t>
      </w:r>
      <w:r>
        <w:rPr>
          <w:rFonts w:hint="eastAsia" w:ascii="黑体" w:hAnsi="黑体" w:eastAsia="黑体" w:cstheme="minorBidi"/>
          <w:szCs w:val="21"/>
          <w:highlight w:val="none"/>
          <w:u w:val="single"/>
        </w:rPr>
        <w:t>20</w:t>
      </w:r>
      <w:r>
        <w:rPr>
          <w:rFonts w:ascii="黑体" w:hAnsi="黑体" w:eastAsia="黑体" w:cstheme="minorBidi"/>
          <w:szCs w:val="21"/>
          <w:highlight w:val="none"/>
          <w:u w:val="single"/>
        </w:rPr>
        <w:t>%</w:t>
      </w:r>
      <w:r>
        <w:rPr>
          <w:rFonts w:hint="eastAsia" w:ascii="黑体" w:hAnsi="黑体" w:eastAsia="黑体"/>
          <w:szCs w:val="21"/>
          <w:highlight w:val="none"/>
        </w:rPr>
        <w:t>的违约金。</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争议的解决</w:t>
      </w:r>
    </w:p>
    <w:p>
      <w:pPr>
        <w:numPr>
          <w:ilvl w:val="0"/>
          <w:numId w:val="92"/>
        </w:numPr>
        <w:spacing w:line="360" w:lineRule="auto"/>
        <w:rPr>
          <w:rFonts w:ascii="黑体" w:hAnsi="黑体" w:eastAsia="黑体"/>
          <w:szCs w:val="21"/>
          <w:highlight w:val="none"/>
        </w:rPr>
      </w:pPr>
      <w:r>
        <w:rPr>
          <w:rFonts w:hint="eastAsia" w:ascii="黑体" w:hAnsi="黑体" w:eastAsia="黑体"/>
          <w:szCs w:val="21"/>
          <w:highlight w:val="none"/>
        </w:rPr>
        <w:t>凡与</w:t>
      </w:r>
      <w:bookmarkStart w:id="235" w:name="_Toc86481566"/>
      <w:r>
        <w:rPr>
          <w:rFonts w:hint="eastAsia" w:ascii="黑体" w:hAnsi="黑体" w:eastAsia="黑体"/>
          <w:szCs w:val="21"/>
          <w:highlight w:val="none"/>
        </w:rPr>
        <w:t>本合同有关而引起</w:t>
      </w:r>
      <w:bookmarkEnd w:id="235"/>
      <w:r>
        <w:rPr>
          <w:rFonts w:hint="eastAsia" w:ascii="黑体" w:hAnsi="黑体" w:eastAsia="黑体"/>
          <w:szCs w:val="21"/>
          <w:highlight w:val="none"/>
        </w:rPr>
        <w:t>的一切争议，甲乙双方应首先通过友好协商解决，如经协商后仍不能达成协议时，任何一方可以向法院提出诉讼。</w:t>
      </w:r>
    </w:p>
    <w:p>
      <w:pPr>
        <w:numPr>
          <w:ilvl w:val="0"/>
          <w:numId w:val="92"/>
        </w:numPr>
        <w:spacing w:line="360" w:lineRule="auto"/>
        <w:rPr>
          <w:rFonts w:ascii="黑体" w:hAnsi="黑体" w:eastAsia="黑体"/>
          <w:szCs w:val="21"/>
          <w:highlight w:val="none"/>
        </w:rPr>
      </w:pPr>
      <w:r>
        <w:rPr>
          <w:rFonts w:hint="eastAsia" w:ascii="黑体" w:hAnsi="黑体" w:eastAsia="黑体"/>
          <w:szCs w:val="21"/>
          <w:highlight w:val="none"/>
        </w:rPr>
        <w:t>本合同发生的诉讼管辖地为汕头市有管辖权的法院。</w:t>
      </w:r>
    </w:p>
    <w:p>
      <w:pPr>
        <w:numPr>
          <w:ilvl w:val="0"/>
          <w:numId w:val="92"/>
        </w:numPr>
        <w:spacing w:line="360" w:lineRule="auto"/>
        <w:rPr>
          <w:rFonts w:ascii="黑体" w:hAnsi="黑体" w:eastAsia="黑体"/>
          <w:szCs w:val="21"/>
          <w:highlight w:val="none"/>
        </w:rPr>
      </w:pPr>
      <w:r>
        <w:rPr>
          <w:rFonts w:hint="eastAsia" w:ascii="黑体" w:hAnsi="黑体" w:eastAsia="黑体"/>
          <w:szCs w:val="21"/>
          <w:highlight w:val="none"/>
        </w:rPr>
        <w:t>在进行法院审理期间，除提交法院审理的事项外，合同其他部分仍继续履行。</w:t>
      </w:r>
    </w:p>
    <w:p>
      <w:pPr>
        <w:numPr>
          <w:ilvl w:val="0"/>
          <w:numId w:val="92"/>
        </w:numPr>
        <w:spacing w:line="360" w:lineRule="auto"/>
        <w:rPr>
          <w:rFonts w:ascii="黑体" w:hAnsi="黑体" w:eastAsia="黑体"/>
          <w:szCs w:val="21"/>
          <w:highlight w:val="none"/>
        </w:rPr>
      </w:pPr>
      <w:r>
        <w:rPr>
          <w:rFonts w:hint="eastAsia" w:ascii="黑体" w:hAnsi="黑体" w:eastAsia="黑体"/>
          <w:szCs w:val="21"/>
          <w:highlight w:val="none"/>
        </w:rPr>
        <w:t>本合同按照中华人民共和国的法律进行解释。</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不可抗力</w:t>
      </w:r>
    </w:p>
    <w:p>
      <w:pPr>
        <w:numPr>
          <w:ilvl w:val="0"/>
          <w:numId w:val="93"/>
        </w:numPr>
        <w:spacing w:line="360" w:lineRule="auto"/>
        <w:rPr>
          <w:rFonts w:ascii="黑体" w:hAnsi="黑体" w:eastAsia="黑体"/>
          <w:szCs w:val="21"/>
          <w:highlight w:val="none"/>
        </w:rPr>
      </w:pPr>
      <w:r>
        <w:rPr>
          <w:rFonts w:hint="eastAsia" w:ascii="黑体" w:hAnsi="黑体" w:eastAsia="黑体"/>
          <w:szCs w:val="21"/>
          <w:highlight w:val="none"/>
        </w:rPr>
        <w:t>甲乙双方如果任何一方因不可抗拒力的力量如地震、风暴、洪水、火灾或其他自然灾害、瘟疫、战争、暴乱、敌对行动、公共骚乱、公共敌人的行为、政府</w:t>
      </w:r>
      <w:r>
        <w:rPr>
          <w:rFonts w:ascii="黑体" w:hAnsi="黑体" w:eastAsia="黑体"/>
          <w:szCs w:val="21"/>
          <w:highlight w:val="none"/>
        </w:rPr>
        <w:t xml:space="preserve"> </w:t>
      </w:r>
      <w:r>
        <w:rPr>
          <w:rFonts w:hint="eastAsia" w:ascii="黑体" w:hAnsi="黑体" w:eastAsia="黑体"/>
          <w:szCs w:val="21"/>
          <w:highlight w:val="none"/>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pPr>
        <w:numPr>
          <w:ilvl w:val="0"/>
          <w:numId w:val="93"/>
        </w:numPr>
        <w:spacing w:line="360" w:lineRule="auto"/>
        <w:rPr>
          <w:rFonts w:ascii="黑体" w:hAnsi="黑体" w:eastAsia="黑体"/>
          <w:szCs w:val="21"/>
          <w:highlight w:val="none"/>
        </w:rPr>
      </w:pPr>
      <w:r>
        <w:rPr>
          <w:rFonts w:hint="eastAsia" w:ascii="黑体" w:hAnsi="黑体" w:eastAsia="黑体"/>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合同生效</w:t>
      </w:r>
    </w:p>
    <w:p>
      <w:pPr>
        <w:numPr>
          <w:ilvl w:val="0"/>
          <w:numId w:val="94"/>
        </w:numPr>
        <w:spacing w:line="360" w:lineRule="auto"/>
        <w:rPr>
          <w:rFonts w:ascii="黑体" w:hAnsi="黑体" w:eastAsia="黑体"/>
          <w:szCs w:val="21"/>
          <w:highlight w:val="none"/>
        </w:rPr>
      </w:pPr>
      <w:r>
        <w:rPr>
          <w:rFonts w:hint="eastAsia" w:ascii="黑体" w:hAnsi="黑体" w:eastAsia="黑体"/>
          <w:szCs w:val="21"/>
          <w:highlight w:val="none"/>
        </w:rPr>
        <w:t>本合同</w:t>
      </w:r>
      <w:bookmarkStart w:id="236" w:name="_Toc86481569"/>
      <w:r>
        <w:rPr>
          <w:rFonts w:hint="eastAsia" w:ascii="黑体" w:hAnsi="黑体" w:eastAsia="黑体"/>
          <w:szCs w:val="21"/>
          <w:highlight w:val="none"/>
        </w:rPr>
        <w:t>由双方法定代表</w:t>
      </w:r>
      <w:bookmarkEnd w:id="236"/>
      <w:r>
        <w:rPr>
          <w:rFonts w:hint="eastAsia" w:ascii="黑体" w:hAnsi="黑体" w:eastAsia="黑体"/>
          <w:szCs w:val="21"/>
          <w:highlight w:val="none"/>
        </w:rPr>
        <w:t>人或委托代理人签字盖章后立即生效，具有同等法律效力，服务期为合同签定日至</w:t>
      </w:r>
      <w:r>
        <w:rPr>
          <w:rFonts w:ascii="黑体" w:hAnsi="黑体" w:eastAsia="黑体"/>
          <w:szCs w:val="21"/>
          <w:highlight w:val="none"/>
          <w:u w:val="single"/>
        </w:rPr>
        <w:t xml:space="preserve">     年    月    日</w:t>
      </w:r>
      <w:r>
        <w:rPr>
          <w:rFonts w:hint="eastAsia" w:ascii="黑体" w:hAnsi="黑体" w:eastAsia="黑体"/>
          <w:szCs w:val="21"/>
          <w:highlight w:val="none"/>
        </w:rPr>
        <w:t>，合同有效期随服务期结束而自然终止。</w:t>
      </w:r>
    </w:p>
    <w:p>
      <w:pPr>
        <w:numPr>
          <w:ilvl w:val="0"/>
          <w:numId w:val="94"/>
        </w:numPr>
        <w:spacing w:line="360" w:lineRule="auto"/>
        <w:rPr>
          <w:rFonts w:ascii="黑体" w:hAnsi="黑体" w:eastAsia="黑体"/>
          <w:szCs w:val="21"/>
          <w:highlight w:val="none"/>
        </w:rPr>
      </w:pPr>
      <w:r>
        <w:rPr>
          <w:rFonts w:hint="eastAsia" w:ascii="黑体" w:hAnsi="黑体" w:eastAsia="黑体"/>
          <w:szCs w:val="21"/>
          <w:highlight w:val="none"/>
        </w:rPr>
        <w:t>本合同一式</w:t>
      </w:r>
      <w:r>
        <w:rPr>
          <w:rFonts w:ascii="黑体" w:hAnsi="黑体" w:eastAsia="黑体"/>
          <w:szCs w:val="21"/>
          <w:highlight w:val="none"/>
          <w:u w:val="single"/>
        </w:rPr>
        <w:t xml:space="preserve"> </w:t>
      </w:r>
      <w:r>
        <w:rPr>
          <w:rFonts w:hint="eastAsia" w:ascii="黑体" w:hAnsi="黑体" w:eastAsia="黑体"/>
          <w:szCs w:val="21"/>
          <w:highlight w:val="none"/>
          <w:u w:val="single"/>
        </w:rPr>
        <w:t>伍</w:t>
      </w:r>
      <w:r>
        <w:rPr>
          <w:rFonts w:ascii="黑体" w:hAnsi="黑体" w:eastAsia="黑体"/>
          <w:szCs w:val="21"/>
          <w:highlight w:val="none"/>
          <w:u w:val="single"/>
        </w:rPr>
        <w:t xml:space="preserve"> </w:t>
      </w:r>
      <w:r>
        <w:rPr>
          <w:rFonts w:hint="eastAsia" w:ascii="黑体" w:hAnsi="黑体" w:eastAsia="黑体"/>
          <w:szCs w:val="21"/>
          <w:highlight w:val="none"/>
        </w:rPr>
        <w:t>份，其中甲方</w:t>
      </w:r>
      <w:r>
        <w:rPr>
          <w:rFonts w:ascii="黑体" w:hAnsi="黑体" w:eastAsia="黑体"/>
          <w:szCs w:val="21"/>
          <w:highlight w:val="none"/>
          <w:u w:val="single"/>
        </w:rPr>
        <w:t xml:space="preserve"> </w:t>
      </w:r>
      <w:r>
        <w:rPr>
          <w:rFonts w:hint="eastAsia" w:ascii="黑体" w:hAnsi="黑体" w:eastAsia="黑体"/>
          <w:szCs w:val="21"/>
          <w:highlight w:val="none"/>
          <w:u w:val="single"/>
        </w:rPr>
        <w:t>贰</w:t>
      </w:r>
      <w:r>
        <w:rPr>
          <w:rFonts w:ascii="黑体" w:hAnsi="黑体" w:eastAsia="黑体"/>
          <w:szCs w:val="21"/>
          <w:highlight w:val="none"/>
          <w:u w:val="single"/>
        </w:rPr>
        <w:t xml:space="preserve"> </w:t>
      </w:r>
      <w:r>
        <w:rPr>
          <w:rFonts w:hint="eastAsia" w:ascii="黑体" w:hAnsi="黑体" w:eastAsia="黑体"/>
          <w:szCs w:val="21"/>
          <w:highlight w:val="none"/>
        </w:rPr>
        <w:t>份、乙方</w:t>
      </w:r>
      <w:r>
        <w:rPr>
          <w:rFonts w:ascii="黑体" w:hAnsi="黑体" w:eastAsia="黑体"/>
          <w:szCs w:val="21"/>
          <w:highlight w:val="none"/>
          <w:u w:val="single"/>
        </w:rPr>
        <w:t xml:space="preserve"> </w:t>
      </w:r>
      <w:r>
        <w:rPr>
          <w:rFonts w:hint="eastAsia" w:ascii="黑体" w:hAnsi="黑体" w:eastAsia="黑体"/>
          <w:szCs w:val="21"/>
          <w:highlight w:val="none"/>
          <w:u w:val="single"/>
        </w:rPr>
        <w:t>贰</w:t>
      </w:r>
      <w:r>
        <w:rPr>
          <w:rFonts w:ascii="黑体" w:hAnsi="黑体" w:eastAsia="黑体"/>
          <w:szCs w:val="21"/>
          <w:highlight w:val="none"/>
          <w:u w:val="single"/>
        </w:rPr>
        <w:t xml:space="preserve"> </w:t>
      </w:r>
      <w:r>
        <w:rPr>
          <w:rFonts w:hint="eastAsia" w:ascii="黑体" w:hAnsi="黑体" w:eastAsia="黑体"/>
          <w:szCs w:val="21"/>
          <w:highlight w:val="none"/>
        </w:rPr>
        <w:t>份，采购代理机构</w:t>
      </w:r>
      <w:r>
        <w:rPr>
          <w:rFonts w:ascii="黑体" w:hAnsi="黑体" w:eastAsia="黑体"/>
          <w:szCs w:val="21"/>
          <w:highlight w:val="none"/>
          <w:u w:val="single"/>
        </w:rPr>
        <w:t xml:space="preserve"> 壹 </w:t>
      </w:r>
      <w:r>
        <w:rPr>
          <w:rFonts w:hint="eastAsia" w:ascii="黑体" w:hAnsi="黑体" w:eastAsia="黑体"/>
          <w:szCs w:val="21"/>
          <w:highlight w:val="none"/>
        </w:rPr>
        <w:t>份（须在合同签订之日起</w:t>
      </w:r>
      <w:r>
        <w:rPr>
          <w:rFonts w:ascii="黑体" w:hAnsi="黑体" w:eastAsia="黑体"/>
          <w:szCs w:val="21"/>
          <w:highlight w:val="none"/>
        </w:rPr>
        <w:t>5个工作日内递交）。</w:t>
      </w:r>
    </w:p>
    <w:p>
      <w:pPr>
        <w:pStyle w:val="30"/>
        <w:numPr>
          <w:ilvl w:val="0"/>
          <w:numId w:val="82"/>
        </w:numPr>
        <w:spacing w:before="312" w:beforeLines="100" w:line="360" w:lineRule="auto"/>
        <w:ind w:firstLineChars="0"/>
        <w:rPr>
          <w:rFonts w:ascii="黑体" w:hAnsi="黑体" w:eastAsia="黑体"/>
          <w:b/>
          <w:szCs w:val="21"/>
          <w:highlight w:val="none"/>
        </w:rPr>
      </w:pPr>
      <w:r>
        <w:rPr>
          <w:rFonts w:hint="eastAsia" w:ascii="黑体" w:hAnsi="黑体" w:eastAsia="黑体"/>
          <w:b/>
          <w:szCs w:val="21"/>
          <w:highlight w:val="none"/>
        </w:rPr>
        <w:t>其它</w:t>
      </w:r>
    </w:p>
    <w:p>
      <w:pPr>
        <w:numPr>
          <w:ilvl w:val="0"/>
          <w:numId w:val="95"/>
        </w:numPr>
        <w:spacing w:line="360" w:lineRule="auto"/>
        <w:rPr>
          <w:rFonts w:ascii="黑体" w:hAnsi="黑体" w:eastAsia="黑体"/>
          <w:szCs w:val="21"/>
          <w:highlight w:val="none"/>
        </w:rPr>
      </w:pPr>
      <w:r>
        <w:rPr>
          <w:rFonts w:hint="eastAsia" w:ascii="黑体" w:hAnsi="黑体" w:eastAsia="黑体"/>
          <w:szCs w:val="21"/>
          <w:highlight w:val="none"/>
        </w:rPr>
        <w:t>本合同未尽</w:t>
      </w:r>
      <w:bookmarkStart w:id="237" w:name="_Toc86481570"/>
      <w:r>
        <w:rPr>
          <w:rFonts w:hint="eastAsia" w:ascii="黑体" w:hAnsi="黑体" w:eastAsia="黑体"/>
          <w:szCs w:val="21"/>
          <w:highlight w:val="none"/>
        </w:rPr>
        <w:t>事宜，双方</w:t>
      </w:r>
      <w:bookmarkEnd w:id="237"/>
      <w:r>
        <w:rPr>
          <w:rFonts w:hint="eastAsia" w:ascii="黑体" w:hAnsi="黑体" w:eastAsia="黑体"/>
          <w:szCs w:val="21"/>
          <w:highlight w:val="none"/>
        </w:rPr>
        <w:t>可签订补充合同，补充合同与所有附件均为合同的有效组成部分，与本合同具有同等法律效力。</w:t>
      </w:r>
    </w:p>
    <w:p>
      <w:pPr>
        <w:numPr>
          <w:ilvl w:val="0"/>
          <w:numId w:val="95"/>
        </w:numPr>
        <w:spacing w:line="360" w:lineRule="auto"/>
        <w:rPr>
          <w:rFonts w:ascii="黑体" w:hAnsi="黑体" w:eastAsia="黑体"/>
          <w:szCs w:val="21"/>
          <w:highlight w:val="none"/>
        </w:rPr>
      </w:pPr>
      <w:r>
        <w:rPr>
          <w:rFonts w:hint="eastAsia" w:ascii="黑体" w:hAnsi="黑体" w:eastAsia="黑体"/>
          <w:szCs w:val="21"/>
          <w:highlight w:val="none"/>
        </w:rPr>
        <w:t>在执行本合同的过程中，所有经甲乙双方签署确认的文件（包括会议纪要、补充协议、往来信函、合同附件等）即成为本合同的有效组成部分，其生效日期为双方签字盖章或确认之日期。</w:t>
      </w:r>
    </w:p>
    <w:p>
      <w:pPr>
        <w:numPr>
          <w:ilvl w:val="0"/>
          <w:numId w:val="95"/>
        </w:numPr>
        <w:spacing w:line="360" w:lineRule="auto"/>
        <w:rPr>
          <w:rFonts w:ascii="黑体" w:hAnsi="黑体" w:eastAsia="黑体"/>
          <w:szCs w:val="21"/>
          <w:highlight w:val="none"/>
        </w:rPr>
      </w:pPr>
      <w:r>
        <w:rPr>
          <w:rFonts w:hint="eastAsia" w:ascii="黑体" w:hAnsi="黑体" w:eastAsia="黑体"/>
          <w:szCs w:val="21"/>
          <w:highlight w:val="none"/>
        </w:rPr>
        <w:t>本合同合计</w:t>
      </w:r>
      <w:r>
        <w:rPr>
          <w:rFonts w:ascii="黑体" w:hAnsi="黑体" w:eastAsia="黑体"/>
          <w:szCs w:val="21"/>
          <w:highlight w:val="none"/>
        </w:rPr>
        <w:t xml:space="preserve"> </w:t>
      </w:r>
      <w:r>
        <w:rPr>
          <w:rFonts w:ascii="黑体" w:hAnsi="黑体" w:eastAsia="黑体"/>
          <w:szCs w:val="21"/>
          <w:highlight w:val="none"/>
          <w:u w:val="single"/>
        </w:rPr>
        <w:t xml:space="preserve">      </w:t>
      </w:r>
      <w:r>
        <w:rPr>
          <w:rFonts w:hint="eastAsia" w:ascii="黑体" w:hAnsi="黑体" w:eastAsia="黑体"/>
          <w:szCs w:val="21"/>
          <w:highlight w:val="none"/>
        </w:rPr>
        <w:t>页</w:t>
      </w:r>
      <w:r>
        <w:rPr>
          <w:rFonts w:ascii="黑体" w:hAnsi="黑体" w:eastAsia="黑体"/>
          <w:szCs w:val="21"/>
          <w:highlight w:val="none"/>
        </w:rPr>
        <w:t>A4纸张，缺页之合同为无效合同。</w:t>
      </w:r>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10"/>
        <w:gridCol w:w="4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甲方（盖章）：</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乙方</w:t>
            </w:r>
            <w:r>
              <w:rPr>
                <w:rFonts w:ascii="黑体" w:hAnsi="黑体" w:eastAsia="黑体"/>
                <w:szCs w:val="21"/>
                <w:highlight w:val="none"/>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甲方代表人</w:t>
            </w:r>
            <w:r>
              <w:rPr>
                <w:rFonts w:ascii="黑体" w:hAnsi="黑体" w:eastAsia="黑体"/>
                <w:szCs w:val="21"/>
                <w:highlight w:val="none"/>
              </w:rPr>
              <w:t>(签字)：</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乙方代表人</w:t>
            </w:r>
            <w:r>
              <w:rPr>
                <w:rFonts w:ascii="黑体" w:hAnsi="黑体" w:eastAsia="黑体"/>
                <w:szCs w:val="21"/>
                <w:highlight w:val="none"/>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签字日期：</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签字日期：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地址：</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电话：</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传真：</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开户银行：</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银行账户：</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银行账户：</w:t>
            </w:r>
          </w:p>
        </w:tc>
      </w:tr>
    </w:tbl>
    <w:p>
      <w:pPr>
        <w:pageBreakBefore/>
        <w:spacing w:before="156" w:beforeLines="50" w:after="156" w:afterLines="50" w:line="360" w:lineRule="auto"/>
        <w:jc w:val="left"/>
        <w:rPr>
          <w:rFonts w:ascii="黑体" w:hAnsi="黑体" w:eastAsia="黑体"/>
          <w:b/>
          <w:spacing w:val="20"/>
          <w:szCs w:val="21"/>
          <w:highlight w:val="none"/>
        </w:rPr>
      </w:pPr>
      <w:r>
        <w:rPr>
          <w:rFonts w:hint="eastAsia" w:ascii="黑体" w:hAnsi="黑体" w:eastAsia="黑体"/>
          <w:b/>
          <w:spacing w:val="20"/>
          <w:szCs w:val="21"/>
          <w:highlight w:val="none"/>
        </w:rPr>
        <w:t>合同附件</w:t>
      </w:r>
      <w:r>
        <w:rPr>
          <w:rFonts w:ascii="黑体" w:hAnsi="黑体" w:eastAsia="黑体"/>
          <w:b/>
          <w:spacing w:val="20"/>
          <w:szCs w:val="21"/>
          <w:highlight w:val="none"/>
        </w:rPr>
        <w:t>(合同编号</w:t>
      </w:r>
      <w:r>
        <w:rPr>
          <w:rFonts w:ascii="黑体" w:hAnsi="黑体" w:eastAsia="黑体"/>
          <w:b/>
          <w:spacing w:val="20"/>
          <w:szCs w:val="21"/>
          <w:highlight w:val="none"/>
          <w:u w:val="single"/>
        </w:rPr>
        <w:t xml:space="preserve">       </w:t>
      </w:r>
      <w:r>
        <w:rPr>
          <w:rFonts w:ascii="黑体" w:hAnsi="黑体" w:eastAsia="黑体"/>
          <w:b/>
          <w:spacing w:val="20"/>
          <w:szCs w:val="21"/>
          <w:highlight w:val="none"/>
        </w:rPr>
        <w:t>)</w:t>
      </w:r>
    </w:p>
    <w:p>
      <w:pPr>
        <w:pStyle w:val="30"/>
        <w:numPr>
          <w:ilvl w:val="0"/>
          <w:numId w:val="96"/>
        </w:numPr>
        <w:spacing w:line="360" w:lineRule="auto"/>
        <w:ind w:firstLineChars="0"/>
        <w:rPr>
          <w:rFonts w:ascii="黑体" w:hAnsi="黑体" w:eastAsia="黑体"/>
          <w:szCs w:val="21"/>
          <w:highlight w:val="none"/>
        </w:rPr>
      </w:pPr>
      <w:r>
        <w:rPr>
          <w:rFonts w:hint="eastAsia" w:ascii="黑体" w:hAnsi="黑体" w:eastAsia="黑体"/>
          <w:szCs w:val="21"/>
          <w:highlight w:val="none"/>
        </w:rPr>
        <w:t>附件</w:t>
      </w:r>
      <w:r>
        <w:rPr>
          <w:rFonts w:ascii="黑体" w:hAnsi="黑体" w:eastAsia="黑体"/>
          <w:szCs w:val="21"/>
          <w:highlight w:val="none"/>
        </w:rPr>
        <w:t>1 .</w:t>
      </w:r>
      <w:r>
        <w:rPr>
          <w:rFonts w:hint="eastAsia" w:ascii="黑体" w:hAnsi="黑体" w:eastAsia="黑体"/>
          <w:szCs w:val="21"/>
          <w:highlight w:val="none"/>
        </w:rPr>
        <w:t>成交</w:t>
      </w:r>
      <w:r>
        <w:rPr>
          <w:rFonts w:ascii="黑体" w:hAnsi="黑体" w:eastAsia="黑体"/>
          <w:szCs w:val="21"/>
          <w:highlight w:val="none"/>
        </w:rPr>
        <w:t>通知书</w:t>
      </w:r>
    </w:p>
    <w:p>
      <w:pPr>
        <w:pStyle w:val="30"/>
        <w:numPr>
          <w:ilvl w:val="0"/>
          <w:numId w:val="96"/>
        </w:numPr>
        <w:spacing w:line="360" w:lineRule="auto"/>
        <w:ind w:firstLineChars="0"/>
        <w:rPr>
          <w:rFonts w:ascii="黑体" w:hAnsi="黑体" w:eastAsia="黑体"/>
          <w:szCs w:val="21"/>
          <w:highlight w:val="none"/>
        </w:rPr>
      </w:pPr>
      <w:r>
        <w:rPr>
          <w:rFonts w:hint="eastAsia" w:ascii="黑体" w:hAnsi="黑体" w:eastAsia="黑体"/>
          <w:szCs w:val="21"/>
          <w:highlight w:val="none"/>
        </w:rPr>
        <w:t>附件</w:t>
      </w:r>
      <w:r>
        <w:rPr>
          <w:rFonts w:ascii="黑体" w:hAnsi="黑体" w:eastAsia="黑体"/>
          <w:szCs w:val="21"/>
          <w:highlight w:val="none"/>
        </w:rPr>
        <w:t>2 .</w:t>
      </w:r>
      <w:r>
        <w:rPr>
          <w:rFonts w:hint="eastAsia" w:ascii="黑体" w:hAnsi="黑体" w:eastAsia="黑体"/>
          <w:szCs w:val="21"/>
          <w:highlight w:val="none"/>
        </w:rPr>
        <w:t>采购文件</w:t>
      </w:r>
      <w:r>
        <w:rPr>
          <w:rFonts w:ascii="黑体" w:hAnsi="黑体" w:eastAsia="黑体"/>
          <w:szCs w:val="21"/>
          <w:highlight w:val="none"/>
        </w:rPr>
        <w:t xml:space="preserve"> </w:t>
      </w:r>
    </w:p>
    <w:p>
      <w:pPr>
        <w:pStyle w:val="30"/>
        <w:numPr>
          <w:ilvl w:val="0"/>
          <w:numId w:val="96"/>
        </w:numPr>
        <w:spacing w:line="360" w:lineRule="auto"/>
        <w:ind w:firstLineChars="0"/>
        <w:rPr>
          <w:rFonts w:ascii="黑体" w:hAnsi="黑体" w:eastAsia="黑体"/>
          <w:szCs w:val="21"/>
          <w:highlight w:val="none"/>
        </w:rPr>
      </w:pPr>
      <w:r>
        <w:rPr>
          <w:rFonts w:hint="eastAsia" w:ascii="黑体" w:hAnsi="黑体" w:eastAsia="黑体"/>
          <w:szCs w:val="21"/>
          <w:highlight w:val="none"/>
        </w:rPr>
        <w:t>附件</w:t>
      </w:r>
      <w:r>
        <w:rPr>
          <w:rFonts w:ascii="黑体" w:hAnsi="黑体" w:eastAsia="黑体"/>
          <w:szCs w:val="21"/>
          <w:highlight w:val="none"/>
        </w:rPr>
        <w:t>3 .</w:t>
      </w:r>
      <w:r>
        <w:rPr>
          <w:rFonts w:hint="eastAsia" w:ascii="黑体" w:hAnsi="黑体" w:eastAsia="黑体"/>
          <w:szCs w:val="21"/>
          <w:highlight w:val="none"/>
        </w:rPr>
        <w:t>响应</w:t>
      </w:r>
      <w:r>
        <w:rPr>
          <w:rFonts w:ascii="黑体" w:hAnsi="黑体" w:eastAsia="黑体"/>
          <w:szCs w:val="21"/>
          <w:highlight w:val="none"/>
        </w:rPr>
        <w:t>文件</w:t>
      </w:r>
    </w:p>
    <w:p>
      <w:pPr>
        <w:spacing w:before="312" w:beforeLines="100" w:line="360" w:lineRule="auto"/>
        <w:rPr>
          <w:rFonts w:ascii="黑体" w:hAnsi="黑体" w:eastAsia="黑体"/>
          <w:b/>
          <w:spacing w:val="20"/>
          <w:szCs w:val="21"/>
          <w:highlight w:val="none"/>
        </w:rPr>
      </w:pPr>
    </w:p>
    <w:p>
      <w:pPr>
        <w:spacing w:before="312" w:beforeLines="100" w:line="360" w:lineRule="auto"/>
        <w:rPr>
          <w:rFonts w:ascii="黑体" w:hAnsi="黑体" w:eastAsia="黑体"/>
          <w:b/>
          <w:spacing w:val="20"/>
          <w:szCs w:val="21"/>
          <w:highlight w:val="none"/>
        </w:rPr>
      </w:pPr>
      <w:r>
        <w:rPr>
          <w:rFonts w:hint="eastAsia" w:ascii="黑体" w:hAnsi="黑体" w:eastAsia="黑体"/>
          <w:b/>
          <w:spacing w:val="20"/>
          <w:szCs w:val="21"/>
          <w:highlight w:val="none"/>
        </w:rPr>
        <w:t>备注：</w:t>
      </w:r>
    </w:p>
    <w:p>
      <w:pPr>
        <w:pStyle w:val="30"/>
        <w:numPr>
          <w:ilvl w:val="0"/>
          <w:numId w:val="97"/>
        </w:numPr>
        <w:spacing w:line="360" w:lineRule="auto"/>
        <w:ind w:firstLineChars="0"/>
        <w:rPr>
          <w:rFonts w:ascii="黑体" w:hAnsi="黑体" w:eastAsia="黑体"/>
          <w:szCs w:val="21"/>
          <w:highlight w:val="none"/>
        </w:rPr>
      </w:pPr>
      <w:r>
        <w:rPr>
          <w:rFonts w:hint="eastAsia" w:ascii="黑体" w:hAnsi="黑体" w:eastAsia="黑体"/>
          <w:szCs w:val="21"/>
          <w:highlight w:val="none"/>
        </w:rPr>
        <w:t>本合同所有附件均在签订合同时编制，其编制参考是采购文件“采购需求”中的要求和成交供应商的响应文件中的相应内容。</w:t>
      </w:r>
    </w:p>
    <w:p>
      <w:pPr>
        <w:pStyle w:val="30"/>
        <w:numPr>
          <w:ilvl w:val="0"/>
          <w:numId w:val="97"/>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合同附件的具体内容由双方在签订合同时确定。</w:t>
      </w:r>
    </w:p>
    <w:p>
      <w:pPr>
        <w:pStyle w:val="2"/>
        <w:keepNext w:val="0"/>
        <w:keepLines w:val="0"/>
        <w:pageBreakBefore/>
        <w:spacing w:line="360" w:lineRule="auto"/>
        <w:jc w:val="center"/>
        <w:rPr>
          <w:rFonts w:ascii="黑体" w:hAnsi="黑体" w:eastAsia="黑体"/>
          <w:spacing w:val="20"/>
          <w:sz w:val="32"/>
          <w:szCs w:val="32"/>
          <w:highlight w:val="none"/>
        </w:rPr>
      </w:pPr>
      <w:bookmarkStart w:id="238" w:name="_Toc6779"/>
      <w:r>
        <w:rPr>
          <w:rFonts w:hint="eastAsia" w:ascii="黑体" w:hAnsi="黑体" w:eastAsia="黑体"/>
          <w:spacing w:val="20"/>
          <w:sz w:val="32"/>
          <w:szCs w:val="32"/>
          <w:highlight w:val="none"/>
        </w:rPr>
        <w:t>第六部分 响应文件格式</w:t>
      </w:r>
      <w:bookmarkEnd w:id="231"/>
      <w:bookmarkEnd w:id="232"/>
      <w:bookmarkEnd w:id="233"/>
      <w:bookmarkEnd w:id="238"/>
    </w:p>
    <w:p>
      <w:pPr>
        <w:pStyle w:val="30"/>
        <w:numPr>
          <w:ilvl w:val="0"/>
          <w:numId w:val="98"/>
        </w:numPr>
        <w:spacing w:line="360" w:lineRule="auto"/>
        <w:ind w:firstLineChars="0"/>
        <w:rPr>
          <w:rFonts w:ascii="黑体" w:hAnsi="黑体" w:eastAsia="黑体"/>
          <w:b/>
          <w:szCs w:val="21"/>
          <w:highlight w:val="none"/>
        </w:rPr>
      </w:pPr>
      <w:r>
        <w:rPr>
          <w:rFonts w:hint="eastAsia" w:ascii="黑体" w:hAnsi="黑体" w:eastAsia="黑体"/>
          <w:b/>
          <w:szCs w:val="21"/>
          <w:highlight w:val="none"/>
        </w:rPr>
        <w:t>价格部分格式</w:t>
      </w:r>
      <w:r>
        <w:rPr>
          <w:rFonts w:hint="eastAsia" w:ascii="黑体" w:hAnsi="黑体" w:eastAsia="黑体"/>
          <w:szCs w:val="21"/>
          <w:highlight w:val="none"/>
        </w:rPr>
        <w:t>（独立成册）</w:t>
      </w:r>
    </w:p>
    <w:p>
      <w:pPr>
        <w:spacing w:line="360" w:lineRule="auto"/>
        <w:jc w:val="right"/>
        <w:rPr>
          <w:rFonts w:ascii="黑体" w:hAnsi="黑体" w:eastAsia="黑体"/>
          <w:b/>
          <w:szCs w:val="21"/>
          <w:highlight w:val="none"/>
        </w:rPr>
      </w:pPr>
      <w:r>
        <w:rPr>
          <w:rFonts w:hint="eastAsia" w:ascii="黑体" w:hAnsi="黑体" w:eastAsia="黑体"/>
          <w:b/>
          <w:szCs w:val="21"/>
          <w:highlight w:val="none"/>
        </w:rPr>
        <w:t>正本/副本</w:t>
      </w:r>
    </w:p>
    <w:p>
      <w:pPr>
        <w:spacing w:before="312" w:beforeLines="100" w:line="360" w:lineRule="auto"/>
        <w:jc w:val="center"/>
        <w:rPr>
          <w:rFonts w:hint="eastAsia" w:ascii="黑体" w:hAnsi="黑体" w:eastAsia="黑体"/>
          <w:b/>
          <w:bCs/>
          <w:sz w:val="52"/>
          <w:szCs w:val="52"/>
          <w:highlight w:val="none"/>
          <w:lang w:eastAsia="zh-CN"/>
        </w:rPr>
      </w:pPr>
      <w:r>
        <w:rPr>
          <w:rFonts w:hint="eastAsia" w:ascii="黑体" w:hAnsi="黑体" w:eastAsia="黑体"/>
          <w:b/>
          <w:bCs/>
          <w:sz w:val="52"/>
          <w:szCs w:val="52"/>
          <w:highlight w:val="none"/>
          <w:lang w:eastAsia="zh-CN"/>
        </w:rPr>
        <w:t>2023年省级事故现场应急通讯能力提升采购专项</w:t>
      </w:r>
    </w:p>
    <w:p>
      <w:pPr>
        <w:spacing w:line="360" w:lineRule="auto"/>
        <w:jc w:val="center"/>
        <w:rPr>
          <w:rFonts w:ascii="黑体" w:hAnsi="黑体" w:eastAsia="黑体"/>
          <w:b/>
          <w:szCs w:val="21"/>
          <w:highlight w:val="none"/>
        </w:rPr>
      </w:pPr>
      <w:r>
        <w:rPr>
          <w:rFonts w:hint="eastAsia" w:ascii="黑体" w:hAnsi="黑体" w:eastAsia="黑体"/>
          <w:b/>
          <w:szCs w:val="21"/>
          <w:highlight w:val="none"/>
        </w:rPr>
        <w:t>（项目编号：</w:t>
      </w:r>
      <w:r>
        <w:rPr>
          <w:rFonts w:hint="eastAsia" w:ascii="黑体" w:hAnsi="黑体" w:eastAsia="黑体"/>
          <w:b/>
          <w:szCs w:val="21"/>
          <w:highlight w:val="none"/>
          <w:u w:val="single"/>
        </w:rPr>
        <w:t xml:space="preserve">             </w:t>
      </w:r>
      <w:r>
        <w:rPr>
          <w:rFonts w:hint="eastAsia" w:ascii="黑体" w:hAnsi="黑体" w:eastAsia="黑体"/>
          <w:b/>
          <w:szCs w:val="21"/>
          <w:highlight w:val="none"/>
        </w:rPr>
        <w:t>）</w:t>
      </w:r>
    </w:p>
    <w:p>
      <w:pPr>
        <w:spacing w:before="1560" w:beforeLines="500" w:line="360" w:lineRule="auto"/>
        <w:jc w:val="center"/>
        <w:rPr>
          <w:rFonts w:ascii="黑体" w:hAnsi="黑体" w:eastAsia="黑体"/>
          <w:b/>
          <w:spacing w:val="60"/>
          <w:sz w:val="72"/>
          <w:szCs w:val="72"/>
          <w:highlight w:val="none"/>
        </w:rPr>
      </w:pPr>
      <w:r>
        <w:rPr>
          <w:rFonts w:hint="eastAsia" w:ascii="黑体" w:hAnsi="黑体" w:eastAsia="黑体"/>
          <w:b/>
          <w:spacing w:val="60"/>
          <w:sz w:val="72"/>
          <w:szCs w:val="72"/>
          <w:highlight w:val="none"/>
        </w:rPr>
        <w:t>价格文件</w:t>
      </w:r>
    </w:p>
    <w:p>
      <w:pPr>
        <w:spacing w:after="1872" w:afterLines="600" w:line="360" w:lineRule="auto"/>
        <w:jc w:val="center"/>
        <w:rPr>
          <w:rFonts w:ascii="黑体" w:hAnsi="黑体" w:eastAsia="黑体"/>
          <w:b/>
          <w:szCs w:val="21"/>
          <w:highlight w:val="none"/>
        </w:rPr>
      </w:pPr>
      <w:r>
        <w:rPr>
          <w:rFonts w:hint="eastAsia" w:ascii="黑体" w:hAnsi="黑体" w:eastAsia="黑体"/>
          <w:b/>
          <w:szCs w:val="21"/>
          <w:highlight w:val="none"/>
        </w:rPr>
        <w:t>（封面格式仅供参考）</w:t>
      </w:r>
    </w:p>
    <w:tbl>
      <w:tblPr>
        <w:tblStyle w:val="18"/>
        <w:tblW w:w="4184" w:type="pct"/>
        <w:jc w:val="center"/>
        <w:tblLayout w:type="autofit"/>
        <w:tblCellMar>
          <w:top w:w="0" w:type="dxa"/>
          <w:left w:w="108" w:type="dxa"/>
          <w:bottom w:w="0" w:type="dxa"/>
          <w:right w:w="108" w:type="dxa"/>
        </w:tblCellMar>
      </w:tblPr>
      <w:tblGrid>
        <w:gridCol w:w="2207"/>
        <w:gridCol w:w="5007"/>
      </w:tblGrid>
      <w:tr>
        <w:tblPrEx>
          <w:tblCellMar>
            <w:top w:w="0" w:type="dxa"/>
            <w:left w:w="108" w:type="dxa"/>
            <w:bottom w:w="0" w:type="dxa"/>
            <w:right w:w="108" w:type="dxa"/>
          </w:tblCellMar>
        </w:tblPrEx>
        <w:trPr>
          <w:trHeight w:val="507"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响应单位全称：</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56"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响应单位地址：</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50" w:hRule="atLeast"/>
          <w:jc w:val="center"/>
        </w:trPr>
        <w:tc>
          <w:tcPr>
            <w:tcW w:w="1530" w:type="pct"/>
            <w:vAlign w:val="center"/>
          </w:tcPr>
          <w:p>
            <w:pPr>
              <w:spacing w:line="360" w:lineRule="auto"/>
              <w:jc w:val="left"/>
              <w:rPr>
                <w:rFonts w:ascii="黑体" w:hAnsi="黑体" w:eastAsia="黑体"/>
                <w:spacing w:val="-10"/>
                <w:sz w:val="24"/>
                <w:szCs w:val="24"/>
                <w:highlight w:val="none"/>
              </w:rPr>
            </w:pPr>
            <w:r>
              <w:rPr>
                <w:rFonts w:hint="eastAsia" w:ascii="黑体" w:hAnsi="黑体" w:eastAsia="黑体"/>
                <w:sz w:val="24"/>
                <w:szCs w:val="24"/>
                <w:highlight w:val="none"/>
              </w:rPr>
              <w:t>响应</w:t>
            </w:r>
            <w:r>
              <w:rPr>
                <w:rFonts w:hint="eastAsia" w:ascii="黑体" w:hAnsi="黑体" w:eastAsia="黑体"/>
                <w:spacing w:val="-10"/>
                <w:sz w:val="24"/>
                <w:szCs w:val="24"/>
                <w:highlight w:val="none"/>
              </w:rPr>
              <w:t>单位联系人：</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58"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响应单位固话：</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66"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响应单位传真：</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bl>
    <w:p>
      <w:pPr>
        <w:spacing w:line="360" w:lineRule="auto"/>
        <w:rPr>
          <w:rFonts w:ascii="黑体" w:hAnsi="黑体" w:eastAsia="黑体"/>
          <w:szCs w:val="21"/>
          <w:highlight w:val="none"/>
        </w:rPr>
      </w:pPr>
    </w:p>
    <w:p>
      <w:pPr>
        <w:spacing w:before="312" w:beforeLines="100" w:after="156" w:afterLines="50" w:line="600" w:lineRule="exact"/>
        <w:jc w:val="center"/>
        <w:rPr>
          <w:rStyle w:val="21"/>
          <w:rFonts w:ascii="黑体" w:hAnsi="黑体" w:eastAsia="黑体"/>
          <w:spacing w:val="40"/>
          <w:sz w:val="24"/>
          <w:szCs w:val="24"/>
          <w:highlight w:val="none"/>
        </w:rPr>
      </w:pPr>
      <w:r>
        <w:rPr>
          <w:rFonts w:hint="eastAsia" w:ascii="黑体" w:hAnsi="黑体" w:eastAsia="黑体"/>
          <w:b/>
          <w:spacing w:val="40"/>
          <w:sz w:val="24"/>
          <w:szCs w:val="24"/>
          <w:highlight w:val="none"/>
        </w:rPr>
        <w:t>日期：   年  月  日</w:t>
      </w:r>
      <w:bookmarkStart w:id="239" w:name="_Toc391627754"/>
      <w:bookmarkStart w:id="240" w:name="_Toc405313958"/>
      <w:bookmarkStart w:id="241" w:name="_Toc13821085"/>
    </w:p>
    <w:p>
      <w:pPr>
        <w:pStyle w:val="30"/>
        <w:numPr>
          <w:ilvl w:val="0"/>
          <w:numId w:val="99"/>
        </w:numPr>
        <w:spacing w:before="624" w:beforeLines="200" w:line="480" w:lineRule="auto"/>
        <w:ind w:firstLineChars="0"/>
        <w:rPr>
          <w:rStyle w:val="21"/>
          <w:rFonts w:ascii="黑体" w:hAnsi="黑体" w:eastAsia="黑体"/>
          <w:spacing w:val="12"/>
          <w:szCs w:val="21"/>
          <w:highlight w:val="none"/>
        </w:rPr>
      </w:pPr>
      <w:r>
        <w:rPr>
          <w:rStyle w:val="21"/>
          <w:rFonts w:hint="eastAsia" w:ascii="黑体" w:hAnsi="黑体" w:eastAsia="黑体"/>
          <w:spacing w:val="12"/>
          <w:szCs w:val="21"/>
          <w:highlight w:val="none"/>
        </w:rPr>
        <w:t>首次报价一览表</w:t>
      </w:r>
      <w:bookmarkEnd w:id="239"/>
      <w:bookmarkEnd w:id="240"/>
      <w:bookmarkEnd w:id="241"/>
    </w:p>
    <w:p>
      <w:pPr>
        <w:spacing w:before="624" w:beforeLines="200" w:after="312" w:afterLines="100" w:line="360" w:lineRule="auto"/>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首次报价一览表</w:t>
      </w:r>
    </w:p>
    <w:tbl>
      <w:tblPr>
        <w:tblStyle w:val="18"/>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83"/>
        <w:gridCol w:w="3869"/>
        <w:gridCol w:w="3009"/>
        <w:gridCol w:w="10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highlight w:val="none"/>
              </w:rPr>
            </w:pPr>
            <w:r>
              <w:rPr>
                <w:rFonts w:hint="eastAsia" w:ascii="黑体" w:hAnsi="黑体" w:eastAsia="黑体"/>
                <w:b/>
                <w:szCs w:val="21"/>
                <w:highlight w:val="none"/>
              </w:rPr>
              <w:t>序号</w:t>
            </w:r>
          </w:p>
        </w:tc>
        <w:tc>
          <w:tcPr>
            <w:tcW w:w="2244"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highlight w:val="none"/>
              </w:rPr>
            </w:pPr>
            <w:r>
              <w:rPr>
                <w:rFonts w:hint="eastAsia" w:ascii="黑体" w:hAnsi="黑体" w:eastAsia="黑体"/>
                <w:b/>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highlight w:val="none"/>
              </w:rPr>
            </w:pPr>
            <w:r>
              <w:rPr>
                <w:rFonts w:hint="eastAsia" w:ascii="黑体" w:hAnsi="黑体" w:eastAsia="黑体"/>
                <w:b/>
                <w:szCs w:val="21"/>
                <w:highlight w:val="none"/>
              </w:rPr>
              <w:t>首次总报价（单位：元）</w:t>
            </w:r>
          </w:p>
        </w:tc>
        <w:tc>
          <w:tcPr>
            <w:tcW w:w="615"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highlight w:val="none"/>
              </w:rPr>
            </w:pPr>
            <w:r>
              <w:rPr>
                <w:rFonts w:hint="eastAsia" w:ascii="黑体" w:hAnsi="黑体" w:eastAsia="黑体"/>
                <w:b/>
                <w:szCs w:val="21"/>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95"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szCs w:val="21"/>
                <w:highlight w:val="none"/>
              </w:rPr>
            </w:pPr>
            <w:r>
              <w:rPr>
                <w:rFonts w:hint="eastAsia" w:ascii="黑体" w:hAnsi="黑体" w:eastAsia="黑体"/>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黑体" w:hAnsi="黑体" w:eastAsia="黑体"/>
                <w:szCs w:val="21"/>
                <w:highlight w:val="none"/>
              </w:rPr>
            </w:pPr>
            <w:r>
              <w:rPr>
                <w:rFonts w:hint="eastAsia" w:ascii="黑体" w:hAnsi="黑体" w:eastAsia="黑体"/>
                <w:szCs w:val="21"/>
                <w:highlight w:val="none"/>
              </w:rPr>
              <w:t>大写：</w:t>
            </w:r>
            <w:r>
              <w:rPr>
                <w:rFonts w:hint="eastAsia" w:ascii="黑体" w:hAnsi="黑体" w:eastAsia="黑体"/>
                <w:szCs w:val="21"/>
                <w:highlight w:val="none"/>
                <w:u w:val="single"/>
              </w:rPr>
              <w:t xml:space="preserve">                    </w:t>
            </w:r>
          </w:p>
          <w:p>
            <w:pPr>
              <w:overflowPunct w:val="0"/>
              <w:adjustRightInd w:val="0"/>
              <w:spacing w:line="460" w:lineRule="exact"/>
              <w:jc w:val="left"/>
              <w:rPr>
                <w:rFonts w:ascii="黑体" w:hAnsi="黑体" w:eastAsia="黑体"/>
                <w:szCs w:val="21"/>
                <w:highlight w:val="none"/>
              </w:rPr>
            </w:pPr>
            <w:r>
              <w:rPr>
                <w:rFonts w:hint="eastAsia" w:ascii="黑体" w:hAnsi="黑体" w:eastAsia="黑体"/>
                <w:szCs w:val="21"/>
                <w:highlight w:val="none"/>
              </w:rPr>
              <w:t>小写：</w:t>
            </w:r>
            <w:r>
              <w:rPr>
                <w:rFonts w:hint="eastAsia" w:ascii="黑体" w:hAnsi="黑体" w:eastAsia="黑体"/>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szCs w:val="21"/>
                <w:highlight w:val="none"/>
              </w:rPr>
            </w:pPr>
          </w:p>
        </w:tc>
      </w:tr>
    </w:tbl>
    <w:p>
      <w:pPr>
        <w:pStyle w:val="30"/>
        <w:spacing w:before="312" w:beforeLines="100" w:line="360" w:lineRule="auto"/>
        <w:ind w:firstLine="0" w:firstLineChars="0"/>
        <w:rPr>
          <w:rFonts w:ascii="黑体" w:hAnsi="黑体" w:eastAsia="黑体"/>
          <w:szCs w:val="21"/>
          <w:highlight w:val="none"/>
        </w:rPr>
      </w:pPr>
      <w:r>
        <w:rPr>
          <w:rFonts w:hint="eastAsia" w:ascii="黑体" w:hAnsi="黑体" w:eastAsia="黑体"/>
          <w:szCs w:val="21"/>
          <w:highlight w:val="none"/>
        </w:rPr>
        <w:t>注明：</w:t>
      </w:r>
    </w:p>
    <w:p>
      <w:pPr>
        <w:pStyle w:val="30"/>
        <w:numPr>
          <w:ilvl w:val="0"/>
          <w:numId w:val="100"/>
        </w:numPr>
        <w:spacing w:line="360" w:lineRule="auto"/>
        <w:ind w:left="357" w:hanging="357" w:firstLineChars="0"/>
        <w:rPr>
          <w:rFonts w:ascii="黑体" w:hAnsi="黑体" w:eastAsia="黑体"/>
          <w:szCs w:val="21"/>
          <w:highlight w:val="none"/>
        </w:rPr>
      </w:pPr>
      <w:r>
        <w:rPr>
          <w:rFonts w:hint="eastAsia" w:ascii="黑体" w:hAnsi="黑体" w:eastAsia="黑体"/>
          <w:szCs w:val="21"/>
          <w:highlight w:val="none"/>
        </w:rPr>
        <w:t>首次总报价栏须用文字和数字两种方式表示的总报价。</w:t>
      </w:r>
    </w:p>
    <w:p>
      <w:pPr>
        <w:pStyle w:val="30"/>
        <w:numPr>
          <w:ilvl w:val="0"/>
          <w:numId w:val="100"/>
        </w:numPr>
        <w:spacing w:before="100" w:beforeAutospacing="1" w:line="360" w:lineRule="auto"/>
        <w:ind w:firstLineChars="0"/>
        <w:rPr>
          <w:rFonts w:ascii="黑体" w:hAnsi="黑体" w:eastAsia="黑体"/>
          <w:szCs w:val="21"/>
          <w:highlight w:val="none"/>
        </w:rPr>
      </w:pPr>
      <w:r>
        <w:rPr>
          <w:rFonts w:hint="eastAsia" w:ascii="黑体" w:hAnsi="黑体" w:eastAsia="黑体"/>
          <w:szCs w:val="21"/>
          <w:highlight w:val="none"/>
        </w:rPr>
        <w:t>首次报价一览表内容与响应文件中明细表内容不一致的，以首次报价一览表为准。</w:t>
      </w:r>
    </w:p>
    <w:p>
      <w:pPr>
        <w:pStyle w:val="30"/>
        <w:numPr>
          <w:ilvl w:val="0"/>
          <w:numId w:val="100"/>
        </w:numPr>
        <w:spacing w:before="100" w:beforeAutospacing="1" w:line="360" w:lineRule="auto"/>
        <w:ind w:firstLineChars="0"/>
        <w:rPr>
          <w:rFonts w:ascii="黑体" w:hAnsi="黑体" w:eastAsia="黑体"/>
          <w:szCs w:val="21"/>
          <w:highlight w:val="none"/>
        </w:rPr>
      </w:pPr>
      <w:r>
        <w:rPr>
          <w:rFonts w:hint="eastAsia" w:ascii="黑体" w:hAnsi="黑体" w:eastAsia="黑体"/>
          <w:szCs w:val="21"/>
          <w:highlight w:val="none"/>
        </w:rPr>
        <w:t>总报价大小写不一致，以大写为准。谈判总价必须准确唯一且应包含完成本项目的所有费用。</w:t>
      </w:r>
    </w:p>
    <w:p>
      <w:pPr>
        <w:spacing w:before="312" w:beforeLines="100"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8"/>
        <w:tblW w:w="0" w:type="auto"/>
        <w:tblInd w:w="0" w:type="dxa"/>
        <w:tblLayout w:type="autofit"/>
        <w:tblCellMar>
          <w:top w:w="0" w:type="dxa"/>
          <w:left w:w="108" w:type="dxa"/>
          <w:bottom w:w="0" w:type="dxa"/>
          <w:right w:w="108" w:type="dxa"/>
        </w:tblCellMar>
      </w:tblPr>
      <w:tblGrid>
        <w:gridCol w:w="6204"/>
        <w:gridCol w:w="2324"/>
      </w:tblGrid>
      <w:tr>
        <w:tblPrEx>
          <w:tblCellMar>
            <w:top w:w="0" w:type="dxa"/>
            <w:left w:w="108" w:type="dxa"/>
            <w:bottom w:w="0" w:type="dxa"/>
            <w:right w:w="108" w:type="dxa"/>
          </w:tblCellMar>
        </w:tblPrEx>
        <w:tc>
          <w:tcPr>
            <w:tcW w:w="6204"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2324"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204" w:type="dxa"/>
          </w:tcPr>
          <w:p>
            <w:pPr>
              <w:spacing w:line="360" w:lineRule="auto"/>
              <w:rPr>
                <w:rFonts w:ascii="黑体" w:hAnsi="黑体" w:eastAsia="黑体"/>
                <w:szCs w:val="21"/>
                <w:highlight w:val="none"/>
              </w:rPr>
            </w:pPr>
            <w:r>
              <w:rPr>
                <w:rFonts w:hint="eastAsia" w:ascii="黑体" w:hAnsi="黑体" w:eastAsia="黑体"/>
                <w:szCs w:val="21"/>
                <w:highlight w:val="none"/>
              </w:rPr>
              <w:t>响应供应商法定代表人或被授权人（签名或盖私章）：</w:t>
            </w:r>
            <w:r>
              <w:rPr>
                <w:rFonts w:hint="eastAsia" w:ascii="黑体" w:hAnsi="黑体" w:eastAsia="黑体"/>
                <w:szCs w:val="21"/>
                <w:highlight w:val="none"/>
                <w:u w:val="single"/>
              </w:rPr>
              <w:t xml:space="preserve">         </w:t>
            </w:r>
          </w:p>
        </w:tc>
        <w:tc>
          <w:tcPr>
            <w:tcW w:w="2324"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204"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2324" w:type="dxa"/>
          </w:tcPr>
          <w:p>
            <w:pPr>
              <w:spacing w:line="360" w:lineRule="auto"/>
              <w:rPr>
                <w:rFonts w:ascii="黑体" w:hAnsi="黑体" w:eastAsia="黑体"/>
                <w:szCs w:val="21"/>
                <w:highlight w:val="none"/>
              </w:rPr>
            </w:pPr>
          </w:p>
        </w:tc>
      </w:tr>
    </w:tbl>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pStyle w:val="30"/>
        <w:pageBreakBefore/>
        <w:numPr>
          <w:ilvl w:val="0"/>
          <w:numId w:val="99"/>
        </w:numPr>
        <w:spacing w:before="624" w:beforeLines="200" w:line="480" w:lineRule="auto"/>
        <w:ind w:firstLineChars="0"/>
        <w:rPr>
          <w:rStyle w:val="21"/>
          <w:rFonts w:ascii="黑体" w:hAnsi="黑体" w:eastAsia="黑体"/>
          <w:bCs w:val="0"/>
          <w:spacing w:val="12"/>
          <w:szCs w:val="21"/>
          <w:highlight w:val="none"/>
        </w:rPr>
      </w:pPr>
      <w:bookmarkStart w:id="242" w:name="_Toc521951733"/>
      <w:bookmarkStart w:id="243" w:name="_Toc494567312"/>
      <w:bookmarkStart w:id="244" w:name="_Toc119663182"/>
      <w:r>
        <w:rPr>
          <w:rStyle w:val="21"/>
          <w:rFonts w:hint="eastAsia" w:ascii="黑体" w:hAnsi="黑体" w:eastAsia="黑体"/>
          <w:bCs w:val="0"/>
          <w:spacing w:val="12"/>
          <w:szCs w:val="21"/>
          <w:highlight w:val="none"/>
        </w:rPr>
        <w:t>分项报价表</w:t>
      </w:r>
      <w:bookmarkEnd w:id="242"/>
      <w:bookmarkEnd w:id="243"/>
      <w:bookmarkEnd w:id="244"/>
    </w:p>
    <w:p>
      <w:pPr>
        <w:spacing w:before="624" w:beforeLines="200" w:after="312" w:afterLines="100" w:line="360" w:lineRule="auto"/>
        <w:jc w:val="center"/>
        <w:rPr>
          <w:rFonts w:ascii="黑体" w:hAnsi="黑体" w:eastAsia="黑体"/>
          <w:b/>
          <w:spacing w:val="20"/>
          <w:sz w:val="28"/>
          <w:szCs w:val="28"/>
          <w:highlight w:val="none"/>
        </w:rPr>
      </w:pPr>
      <w:bookmarkStart w:id="245" w:name="_Toc391627756"/>
      <w:bookmarkStart w:id="246" w:name="_Toc405313960"/>
      <w:bookmarkStart w:id="247" w:name="_Toc521951141"/>
      <w:bookmarkStart w:id="248" w:name="_Toc21617978"/>
      <w:r>
        <w:rPr>
          <w:rFonts w:hint="eastAsia" w:ascii="黑体" w:hAnsi="黑体" w:eastAsia="黑体"/>
          <w:b/>
          <w:spacing w:val="20"/>
          <w:sz w:val="28"/>
          <w:szCs w:val="28"/>
          <w:highlight w:val="none"/>
        </w:rPr>
        <w:t>分项报价表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293"/>
        <w:gridCol w:w="1435"/>
        <w:gridCol w:w="1005"/>
        <w:gridCol w:w="1291"/>
        <w:gridCol w:w="1007"/>
        <w:gridCol w:w="717"/>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12"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序号</w:t>
            </w:r>
          </w:p>
        </w:tc>
        <w:tc>
          <w:tcPr>
            <w:tcW w:w="750"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分项名称</w:t>
            </w:r>
          </w:p>
        </w:tc>
        <w:tc>
          <w:tcPr>
            <w:tcW w:w="832"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制造商/</w:t>
            </w:r>
          </w:p>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生产厂家</w:t>
            </w:r>
          </w:p>
        </w:tc>
        <w:tc>
          <w:tcPr>
            <w:tcW w:w="583"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产地</w:t>
            </w:r>
          </w:p>
        </w:tc>
        <w:tc>
          <w:tcPr>
            <w:tcW w:w="749"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品牌、规格、型号</w:t>
            </w:r>
          </w:p>
        </w:tc>
        <w:tc>
          <w:tcPr>
            <w:tcW w:w="584"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单价（元）</w:t>
            </w:r>
          </w:p>
        </w:tc>
        <w:tc>
          <w:tcPr>
            <w:tcW w:w="416"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数量</w:t>
            </w:r>
          </w:p>
        </w:tc>
        <w:tc>
          <w:tcPr>
            <w:tcW w:w="674" w:type="pct"/>
            <w:vAlign w:val="center"/>
          </w:tcPr>
          <w:p>
            <w:pPr>
              <w:adjustRightInd w:val="0"/>
              <w:snapToGrid w:val="0"/>
              <w:spacing w:line="360" w:lineRule="auto"/>
              <w:jc w:val="center"/>
              <w:rPr>
                <w:rFonts w:ascii="黑体" w:hAnsi="黑体" w:eastAsia="黑体"/>
                <w:b/>
                <w:szCs w:val="21"/>
                <w:highlight w:val="none"/>
              </w:rPr>
            </w:pPr>
            <w:r>
              <w:rPr>
                <w:rFonts w:ascii="黑体" w:hAnsi="黑体" w:eastAsia="黑体"/>
                <w:b/>
                <w:szCs w:val="21"/>
                <w:highlight w:val="none"/>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黑体" w:hAnsi="黑体" w:eastAsia="黑体"/>
                <w:szCs w:val="21"/>
                <w:highlight w:val="none"/>
              </w:rPr>
            </w:pPr>
          </w:p>
        </w:tc>
        <w:tc>
          <w:tcPr>
            <w:tcW w:w="750" w:type="pct"/>
            <w:vAlign w:val="center"/>
          </w:tcPr>
          <w:p>
            <w:pPr>
              <w:adjustRightInd w:val="0"/>
              <w:snapToGrid w:val="0"/>
              <w:spacing w:line="480" w:lineRule="auto"/>
              <w:jc w:val="left"/>
              <w:rPr>
                <w:rFonts w:ascii="黑体" w:hAnsi="黑体" w:eastAsia="黑体"/>
                <w:szCs w:val="21"/>
                <w:highlight w:val="none"/>
              </w:rPr>
            </w:pPr>
          </w:p>
        </w:tc>
        <w:tc>
          <w:tcPr>
            <w:tcW w:w="832" w:type="pct"/>
            <w:vAlign w:val="center"/>
          </w:tcPr>
          <w:p>
            <w:pPr>
              <w:adjustRightInd w:val="0"/>
              <w:snapToGrid w:val="0"/>
              <w:spacing w:line="480" w:lineRule="auto"/>
              <w:jc w:val="left"/>
              <w:rPr>
                <w:rFonts w:ascii="黑体" w:hAnsi="黑体" w:eastAsia="黑体"/>
                <w:szCs w:val="21"/>
                <w:highlight w:val="none"/>
              </w:rPr>
            </w:pPr>
          </w:p>
        </w:tc>
        <w:tc>
          <w:tcPr>
            <w:tcW w:w="583" w:type="pct"/>
          </w:tcPr>
          <w:p>
            <w:pPr>
              <w:adjustRightInd w:val="0"/>
              <w:snapToGrid w:val="0"/>
              <w:spacing w:line="480" w:lineRule="auto"/>
              <w:jc w:val="left"/>
              <w:rPr>
                <w:rFonts w:ascii="黑体" w:hAnsi="黑体" w:eastAsia="黑体"/>
                <w:szCs w:val="21"/>
                <w:highlight w:val="none"/>
              </w:rPr>
            </w:pPr>
          </w:p>
        </w:tc>
        <w:tc>
          <w:tcPr>
            <w:tcW w:w="749" w:type="pct"/>
            <w:vAlign w:val="center"/>
          </w:tcPr>
          <w:p>
            <w:pPr>
              <w:adjustRightInd w:val="0"/>
              <w:snapToGrid w:val="0"/>
              <w:spacing w:line="480" w:lineRule="auto"/>
              <w:jc w:val="left"/>
              <w:rPr>
                <w:rFonts w:ascii="黑体" w:hAnsi="黑体" w:eastAsia="黑体"/>
                <w:szCs w:val="21"/>
                <w:highlight w:val="none"/>
              </w:rPr>
            </w:pPr>
          </w:p>
        </w:tc>
        <w:tc>
          <w:tcPr>
            <w:tcW w:w="584" w:type="pct"/>
            <w:vAlign w:val="center"/>
          </w:tcPr>
          <w:p>
            <w:pPr>
              <w:adjustRightInd w:val="0"/>
              <w:snapToGrid w:val="0"/>
              <w:spacing w:line="480" w:lineRule="auto"/>
              <w:jc w:val="left"/>
              <w:rPr>
                <w:rFonts w:ascii="黑体" w:hAnsi="黑体" w:eastAsia="黑体"/>
                <w:szCs w:val="21"/>
                <w:highlight w:val="none"/>
              </w:rPr>
            </w:pPr>
          </w:p>
        </w:tc>
        <w:tc>
          <w:tcPr>
            <w:tcW w:w="416" w:type="pct"/>
            <w:vAlign w:val="center"/>
          </w:tcPr>
          <w:p>
            <w:pPr>
              <w:adjustRightInd w:val="0"/>
              <w:snapToGrid w:val="0"/>
              <w:spacing w:line="480" w:lineRule="auto"/>
              <w:jc w:val="left"/>
              <w:rPr>
                <w:rFonts w:ascii="黑体" w:hAnsi="黑体" w:eastAsia="黑体"/>
                <w:szCs w:val="21"/>
                <w:highlight w:val="none"/>
              </w:rPr>
            </w:pPr>
          </w:p>
        </w:tc>
        <w:tc>
          <w:tcPr>
            <w:tcW w:w="674" w:type="pct"/>
            <w:vAlign w:val="center"/>
          </w:tcPr>
          <w:p>
            <w:pPr>
              <w:adjustRightInd w:val="0"/>
              <w:snapToGrid w:val="0"/>
              <w:spacing w:line="480" w:lineRule="auto"/>
              <w:jc w:val="left"/>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黑体" w:hAnsi="黑体" w:eastAsia="黑体"/>
                <w:szCs w:val="21"/>
                <w:highlight w:val="none"/>
              </w:rPr>
            </w:pPr>
          </w:p>
        </w:tc>
        <w:tc>
          <w:tcPr>
            <w:tcW w:w="750" w:type="pct"/>
            <w:vAlign w:val="center"/>
          </w:tcPr>
          <w:p>
            <w:pPr>
              <w:adjustRightInd w:val="0"/>
              <w:snapToGrid w:val="0"/>
              <w:spacing w:line="480" w:lineRule="auto"/>
              <w:jc w:val="left"/>
              <w:rPr>
                <w:rFonts w:ascii="黑体" w:hAnsi="黑体" w:eastAsia="黑体"/>
                <w:szCs w:val="21"/>
                <w:highlight w:val="none"/>
              </w:rPr>
            </w:pPr>
          </w:p>
        </w:tc>
        <w:tc>
          <w:tcPr>
            <w:tcW w:w="832" w:type="pct"/>
            <w:vAlign w:val="center"/>
          </w:tcPr>
          <w:p>
            <w:pPr>
              <w:adjustRightInd w:val="0"/>
              <w:snapToGrid w:val="0"/>
              <w:spacing w:line="480" w:lineRule="auto"/>
              <w:jc w:val="left"/>
              <w:rPr>
                <w:rFonts w:ascii="黑体" w:hAnsi="黑体" w:eastAsia="黑体"/>
                <w:szCs w:val="21"/>
                <w:highlight w:val="none"/>
              </w:rPr>
            </w:pPr>
          </w:p>
        </w:tc>
        <w:tc>
          <w:tcPr>
            <w:tcW w:w="583" w:type="pct"/>
          </w:tcPr>
          <w:p>
            <w:pPr>
              <w:adjustRightInd w:val="0"/>
              <w:snapToGrid w:val="0"/>
              <w:spacing w:line="480" w:lineRule="auto"/>
              <w:jc w:val="left"/>
              <w:rPr>
                <w:rFonts w:ascii="黑体" w:hAnsi="黑体" w:eastAsia="黑体"/>
                <w:szCs w:val="21"/>
                <w:highlight w:val="none"/>
              </w:rPr>
            </w:pPr>
          </w:p>
        </w:tc>
        <w:tc>
          <w:tcPr>
            <w:tcW w:w="749" w:type="pct"/>
            <w:vAlign w:val="center"/>
          </w:tcPr>
          <w:p>
            <w:pPr>
              <w:adjustRightInd w:val="0"/>
              <w:snapToGrid w:val="0"/>
              <w:spacing w:line="480" w:lineRule="auto"/>
              <w:jc w:val="left"/>
              <w:rPr>
                <w:rFonts w:ascii="黑体" w:hAnsi="黑体" w:eastAsia="黑体"/>
                <w:szCs w:val="21"/>
                <w:highlight w:val="none"/>
              </w:rPr>
            </w:pPr>
          </w:p>
        </w:tc>
        <w:tc>
          <w:tcPr>
            <w:tcW w:w="584" w:type="pct"/>
            <w:vAlign w:val="center"/>
          </w:tcPr>
          <w:p>
            <w:pPr>
              <w:adjustRightInd w:val="0"/>
              <w:snapToGrid w:val="0"/>
              <w:spacing w:line="480" w:lineRule="auto"/>
              <w:jc w:val="left"/>
              <w:rPr>
                <w:rFonts w:ascii="黑体" w:hAnsi="黑体" w:eastAsia="黑体"/>
                <w:szCs w:val="21"/>
                <w:highlight w:val="none"/>
              </w:rPr>
            </w:pPr>
          </w:p>
        </w:tc>
        <w:tc>
          <w:tcPr>
            <w:tcW w:w="416" w:type="pct"/>
            <w:vAlign w:val="center"/>
          </w:tcPr>
          <w:p>
            <w:pPr>
              <w:adjustRightInd w:val="0"/>
              <w:snapToGrid w:val="0"/>
              <w:spacing w:line="480" w:lineRule="auto"/>
              <w:jc w:val="left"/>
              <w:rPr>
                <w:rFonts w:ascii="黑体" w:hAnsi="黑体" w:eastAsia="黑体"/>
                <w:szCs w:val="21"/>
                <w:highlight w:val="none"/>
              </w:rPr>
            </w:pPr>
          </w:p>
        </w:tc>
        <w:tc>
          <w:tcPr>
            <w:tcW w:w="674" w:type="pct"/>
            <w:vAlign w:val="center"/>
          </w:tcPr>
          <w:p>
            <w:pPr>
              <w:adjustRightInd w:val="0"/>
              <w:snapToGrid w:val="0"/>
              <w:spacing w:line="480" w:lineRule="auto"/>
              <w:jc w:val="left"/>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黑体" w:hAnsi="黑体" w:eastAsia="黑体"/>
                <w:szCs w:val="21"/>
                <w:highlight w:val="none"/>
              </w:rPr>
            </w:pPr>
          </w:p>
        </w:tc>
        <w:tc>
          <w:tcPr>
            <w:tcW w:w="750" w:type="pct"/>
            <w:vAlign w:val="center"/>
          </w:tcPr>
          <w:p>
            <w:pPr>
              <w:adjustRightInd w:val="0"/>
              <w:snapToGrid w:val="0"/>
              <w:spacing w:line="480" w:lineRule="auto"/>
              <w:jc w:val="left"/>
              <w:rPr>
                <w:rFonts w:ascii="黑体" w:hAnsi="黑体" w:eastAsia="黑体"/>
                <w:szCs w:val="21"/>
                <w:highlight w:val="none"/>
              </w:rPr>
            </w:pPr>
          </w:p>
        </w:tc>
        <w:tc>
          <w:tcPr>
            <w:tcW w:w="832" w:type="pct"/>
            <w:vAlign w:val="center"/>
          </w:tcPr>
          <w:p>
            <w:pPr>
              <w:adjustRightInd w:val="0"/>
              <w:snapToGrid w:val="0"/>
              <w:spacing w:line="480" w:lineRule="auto"/>
              <w:jc w:val="left"/>
              <w:rPr>
                <w:rFonts w:ascii="黑体" w:hAnsi="黑体" w:eastAsia="黑体"/>
                <w:szCs w:val="21"/>
                <w:highlight w:val="none"/>
              </w:rPr>
            </w:pPr>
          </w:p>
        </w:tc>
        <w:tc>
          <w:tcPr>
            <w:tcW w:w="583" w:type="pct"/>
          </w:tcPr>
          <w:p>
            <w:pPr>
              <w:adjustRightInd w:val="0"/>
              <w:snapToGrid w:val="0"/>
              <w:spacing w:line="480" w:lineRule="auto"/>
              <w:jc w:val="left"/>
              <w:rPr>
                <w:rFonts w:ascii="黑体" w:hAnsi="黑体" w:eastAsia="黑体"/>
                <w:szCs w:val="21"/>
                <w:highlight w:val="none"/>
              </w:rPr>
            </w:pPr>
          </w:p>
        </w:tc>
        <w:tc>
          <w:tcPr>
            <w:tcW w:w="749" w:type="pct"/>
            <w:vAlign w:val="center"/>
          </w:tcPr>
          <w:p>
            <w:pPr>
              <w:adjustRightInd w:val="0"/>
              <w:snapToGrid w:val="0"/>
              <w:spacing w:line="480" w:lineRule="auto"/>
              <w:jc w:val="left"/>
              <w:rPr>
                <w:rFonts w:ascii="黑体" w:hAnsi="黑体" w:eastAsia="黑体"/>
                <w:szCs w:val="21"/>
                <w:highlight w:val="none"/>
              </w:rPr>
            </w:pPr>
          </w:p>
        </w:tc>
        <w:tc>
          <w:tcPr>
            <w:tcW w:w="584" w:type="pct"/>
            <w:vAlign w:val="center"/>
          </w:tcPr>
          <w:p>
            <w:pPr>
              <w:adjustRightInd w:val="0"/>
              <w:snapToGrid w:val="0"/>
              <w:spacing w:line="480" w:lineRule="auto"/>
              <w:jc w:val="left"/>
              <w:rPr>
                <w:rFonts w:ascii="黑体" w:hAnsi="黑体" w:eastAsia="黑体"/>
                <w:szCs w:val="21"/>
                <w:highlight w:val="none"/>
              </w:rPr>
            </w:pPr>
          </w:p>
        </w:tc>
        <w:tc>
          <w:tcPr>
            <w:tcW w:w="416" w:type="pct"/>
            <w:vAlign w:val="center"/>
          </w:tcPr>
          <w:p>
            <w:pPr>
              <w:adjustRightInd w:val="0"/>
              <w:snapToGrid w:val="0"/>
              <w:spacing w:line="480" w:lineRule="auto"/>
              <w:jc w:val="left"/>
              <w:rPr>
                <w:rFonts w:ascii="黑体" w:hAnsi="黑体" w:eastAsia="黑体"/>
                <w:szCs w:val="21"/>
                <w:highlight w:val="none"/>
              </w:rPr>
            </w:pPr>
          </w:p>
        </w:tc>
        <w:tc>
          <w:tcPr>
            <w:tcW w:w="674" w:type="pct"/>
            <w:vAlign w:val="center"/>
          </w:tcPr>
          <w:p>
            <w:pPr>
              <w:adjustRightInd w:val="0"/>
              <w:snapToGrid w:val="0"/>
              <w:spacing w:line="480" w:lineRule="auto"/>
              <w:jc w:val="left"/>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center"/>
              <w:rPr>
                <w:rFonts w:ascii="黑体" w:hAnsi="黑体" w:eastAsia="黑体"/>
                <w:szCs w:val="21"/>
                <w:highlight w:val="none"/>
              </w:rPr>
            </w:pPr>
          </w:p>
        </w:tc>
        <w:tc>
          <w:tcPr>
            <w:tcW w:w="750" w:type="pct"/>
            <w:vAlign w:val="center"/>
          </w:tcPr>
          <w:p>
            <w:pPr>
              <w:adjustRightInd w:val="0"/>
              <w:snapToGrid w:val="0"/>
              <w:spacing w:line="480" w:lineRule="auto"/>
              <w:jc w:val="left"/>
              <w:rPr>
                <w:rFonts w:ascii="黑体" w:hAnsi="黑体" w:eastAsia="黑体"/>
                <w:szCs w:val="21"/>
                <w:highlight w:val="none"/>
              </w:rPr>
            </w:pPr>
          </w:p>
        </w:tc>
        <w:tc>
          <w:tcPr>
            <w:tcW w:w="832" w:type="pct"/>
            <w:vAlign w:val="center"/>
          </w:tcPr>
          <w:p>
            <w:pPr>
              <w:adjustRightInd w:val="0"/>
              <w:snapToGrid w:val="0"/>
              <w:spacing w:line="480" w:lineRule="auto"/>
              <w:jc w:val="left"/>
              <w:rPr>
                <w:rFonts w:ascii="黑体" w:hAnsi="黑体" w:eastAsia="黑体"/>
                <w:szCs w:val="21"/>
                <w:highlight w:val="none"/>
              </w:rPr>
            </w:pPr>
          </w:p>
        </w:tc>
        <w:tc>
          <w:tcPr>
            <w:tcW w:w="583" w:type="pct"/>
          </w:tcPr>
          <w:p>
            <w:pPr>
              <w:adjustRightInd w:val="0"/>
              <w:snapToGrid w:val="0"/>
              <w:spacing w:line="480" w:lineRule="auto"/>
              <w:jc w:val="left"/>
              <w:rPr>
                <w:rFonts w:ascii="黑体" w:hAnsi="黑体" w:eastAsia="黑体"/>
                <w:szCs w:val="21"/>
                <w:highlight w:val="none"/>
              </w:rPr>
            </w:pPr>
          </w:p>
        </w:tc>
        <w:tc>
          <w:tcPr>
            <w:tcW w:w="749" w:type="pct"/>
            <w:vAlign w:val="center"/>
          </w:tcPr>
          <w:p>
            <w:pPr>
              <w:adjustRightInd w:val="0"/>
              <w:snapToGrid w:val="0"/>
              <w:spacing w:line="480" w:lineRule="auto"/>
              <w:jc w:val="left"/>
              <w:rPr>
                <w:rFonts w:ascii="黑体" w:hAnsi="黑体" w:eastAsia="黑体"/>
                <w:szCs w:val="21"/>
                <w:highlight w:val="none"/>
              </w:rPr>
            </w:pPr>
          </w:p>
        </w:tc>
        <w:tc>
          <w:tcPr>
            <w:tcW w:w="584" w:type="pct"/>
            <w:vAlign w:val="center"/>
          </w:tcPr>
          <w:p>
            <w:pPr>
              <w:adjustRightInd w:val="0"/>
              <w:snapToGrid w:val="0"/>
              <w:spacing w:line="480" w:lineRule="auto"/>
              <w:jc w:val="left"/>
              <w:rPr>
                <w:rFonts w:ascii="黑体" w:hAnsi="黑体" w:eastAsia="黑体"/>
                <w:szCs w:val="21"/>
                <w:highlight w:val="none"/>
              </w:rPr>
            </w:pPr>
          </w:p>
        </w:tc>
        <w:tc>
          <w:tcPr>
            <w:tcW w:w="416" w:type="pct"/>
            <w:vAlign w:val="center"/>
          </w:tcPr>
          <w:p>
            <w:pPr>
              <w:adjustRightInd w:val="0"/>
              <w:snapToGrid w:val="0"/>
              <w:spacing w:line="480" w:lineRule="auto"/>
              <w:jc w:val="left"/>
              <w:rPr>
                <w:rFonts w:ascii="黑体" w:hAnsi="黑体" w:eastAsia="黑体"/>
                <w:szCs w:val="21"/>
                <w:highlight w:val="none"/>
              </w:rPr>
            </w:pPr>
          </w:p>
        </w:tc>
        <w:tc>
          <w:tcPr>
            <w:tcW w:w="674" w:type="pct"/>
            <w:vAlign w:val="center"/>
          </w:tcPr>
          <w:p>
            <w:pPr>
              <w:adjustRightInd w:val="0"/>
              <w:snapToGrid w:val="0"/>
              <w:spacing w:line="480" w:lineRule="auto"/>
              <w:jc w:val="left"/>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pPr>
              <w:adjustRightInd w:val="0"/>
              <w:snapToGrid w:val="0"/>
              <w:spacing w:line="480" w:lineRule="auto"/>
              <w:jc w:val="left"/>
              <w:rPr>
                <w:rFonts w:ascii="黑体" w:hAnsi="黑体" w:eastAsia="黑体"/>
                <w:szCs w:val="21"/>
                <w:highlight w:val="none"/>
              </w:rPr>
            </w:pPr>
          </w:p>
        </w:tc>
        <w:tc>
          <w:tcPr>
            <w:tcW w:w="750" w:type="pct"/>
            <w:vAlign w:val="center"/>
          </w:tcPr>
          <w:p>
            <w:pPr>
              <w:adjustRightInd w:val="0"/>
              <w:snapToGrid w:val="0"/>
              <w:spacing w:line="480" w:lineRule="auto"/>
              <w:jc w:val="left"/>
              <w:rPr>
                <w:rFonts w:ascii="黑体" w:hAnsi="黑体" w:eastAsia="黑体"/>
                <w:szCs w:val="21"/>
                <w:highlight w:val="none"/>
              </w:rPr>
            </w:pPr>
          </w:p>
        </w:tc>
        <w:tc>
          <w:tcPr>
            <w:tcW w:w="832" w:type="pct"/>
            <w:vAlign w:val="center"/>
          </w:tcPr>
          <w:p>
            <w:pPr>
              <w:adjustRightInd w:val="0"/>
              <w:snapToGrid w:val="0"/>
              <w:spacing w:line="480" w:lineRule="auto"/>
              <w:jc w:val="left"/>
              <w:rPr>
                <w:rFonts w:ascii="黑体" w:hAnsi="黑体" w:eastAsia="黑体"/>
                <w:szCs w:val="21"/>
                <w:highlight w:val="none"/>
              </w:rPr>
            </w:pPr>
          </w:p>
        </w:tc>
        <w:tc>
          <w:tcPr>
            <w:tcW w:w="583" w:type="pct"/>
          </w:tcPr>
          <w:p>
            <w:pPr>
              <w:adjustRightInd w:val="0"/>
              <w:snapToGrid w:val="0"/>
              <w:spacing w:line="480" w:lineRule="auto"/>
              <w:jc w:val="left"/>
              <w:rPr>
                <w:rFonts w:ascii="黑体" w:hAnsi="黑体" w:eastAsia="黑体"/>
                <w:szCs w:val="21"/>
                <w:highlight w:val="none"/>
              </w:rPr>
            </w:pPr>
          </w:p>
        </w:tc>
        <w:tc>
          <w:tcPr>
            <w:tcW w:w="749" w:type="pct"/>
            <w:vAlign w:val="center"/>
          </w:tcPr>
          <w:p>
            <w:pPr>
              <w:adjustRightInd w:val="0"/>
              <w:snapToGrid w:val="0"/>
              <w:spacing w:line="480" w:lineRule="auto"/>
              <w:jc w:val="left"/>
              <w:rPr>
                <w:rFonts w:ascii="黑体" w:hAnsi="黑体" w:eastAsia="黑体"/>
                <w:szCs w:val="21"/>
                <w:highlight w:val="none"/>
              </w:rPr>
            </w:pPr>
          </w:p>
        </w:tc>
        <w:tc>
          <w:tcPr>
            <w:tcW w:w="584" w:type="pct"/>
            <w:vAlign w:val="center"/>
          </w:tcPr>
          <w:p>
            <w:pPr>
              <w:adjustRightInd w:val="0"/>
              <w:snapToGrid w:val="0"/>
              <w:spacing w:line="480" w:lineRule="auto"/>
              <w:jc w:val="left"/>
              <w:rPr>
                <w:rFonts w:ascii="黑体" w:hAnsi="黑体" w:eastAsia="黑体"/>
                <w:szCs w:val="21"/>
                <w:highlight w:val="none"/>
              </w:rPr>
            </w:pPr>
          </w:p>
        </w:tc>
        <w:tc>
          <w:tcPr>
            <w:tcW w:w="416" w:type="pct"/>
            <w:vAlign w:val="center"/>
          </w:tcPr>
          <w:p>
            <w:pPr>
              <w:adjustRightInd w:val="0"/>
              <w:snapToGrid w:val="0"/>
              <w:spacing w:line="480" w:lineRule="auto"/>
              <w:jc w:val="left"/>
              <w:rPr>
                <w:rFonts w:ascii="黑体" w:hAnsi="黑体" w:eastAsia="黑体"/>
                <w:szCs w:val="21"/>
                <w:highlight w:val="none"/>
              </w:rPr>
            </w:pPr>
          </w:p>
        </w:tc>
        <w:tc>
          <w:tcPr>
            <w:tcW w:w="674" w:type="pct"/>
            <w:vAlign w:val="center"/>
          </w:tcPr>
          <w:p>
            <w:pPr>
              <w:adjustRightInd w:val="0"/>
              <w:snapToGrid w:val="0"/>
              <w:spacing w:line="480" w:lineRule="auto"/>
              <w:jc w:val="left"/>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gridSpan w:val="4"/>
            <w:vAlign w:val="center"/>
          </w:tcPr>
          <w:p>
            <w:pPr>
              <w:adjustRightInd w:val="0"/>
              <w:snapToGrid w:val="0"/>
              <w:spacing w:line="480" w:lineRule="auto"/>
              <w:jc w:val="right"/>
              <w:rPr>
                <w:rFonts w:ascii="黑体" w:hAnsi="黑体" w:eastAsia="黑体"/>
                <w:szCs w:val="21"/>
                <w:highlight w:val="none"/>
              </w:rPr>
            </w:pPr>
            <w:r>
              <w:rPr>
                <w:rFonts w:ascii="黑体" w:hAnsi="黑体" w:eastAsia="黑体"/>
                <w:b/>
                <w:szCs w:val="21"/>
                <w:highlight w:val="none"/>
              </w:rPr>
              <w:t>总价（元）</w:t>
            </w:r>
          </w:p>
        </w:tc>
        <w:tc>
          <w:tcPr>
            <w:tcW w:w="2423" w:type="pct"/>
            <w:gridSpan w:val="4"/>
            <w:vAlign w:val="center"/>
          </w:tcPr>
          <w:p>
            <w:pPr>
              <w:spacing w:line="360" w:lineRule="auto"/>
              <w:rPr>
                <w:rFonts w:ascii="黑体" w:hAnsi="黑体" w:eastAsia="黑体"/>
                <w:szCs w:val="21"/>
                <w:highlight w:val="none"/>
              </w:rPr>
            </w:pPr>
            <w:r>
              <w:rPr>
                <w:rFonts w:hint="eastAsia" w:ascii="黑体" w:hAnsi="黑体" w:eastAsia="黑体"/>
                <w:szCs w:val="21"/>
                <w:highlight w:val="none"/>
              </w:rPr>
              <w:t>大写：</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元</w:t>
            </w:r>
          </w:p>
          <w:p>
            <w:pPr>
              <w:adjustRightInd w:val="0"/>
              <w:snapToGrid w:val="0"/>
              <w:spacing w:line="480" w:lineRule="auto"/>
              <w:jc w:val="left"/>
              <w:rPr>
                <w:rFonts w:ascii="黑体" w:hAnsi="黑体" w:eastAsia="黑体"/>
                <w:szCs w:val="21"/>
                <w:highlight w:val="none"/>
              </w:rPr>
            </w:pPr>
            <w:r>
              <w:rPr>
                <w:rFonts w:hint="eastAsia" w:ascii="黑体" w:hAnsi="黑体" w:eastAsia="黑体"/>
                <w:szCs w:val="21"/>
                <w:highlight w:val="none"/>
              </w:rPr>
              <w:t>小写：</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元</w:t>
            </w:r>
          </w:p>
        </w:tc>
      </w:tr>
    </w:tbl>
    <w:p>
      <w:pPr>
        <w:spacing w:before="312" w:beforeLines="100" w:line="360" w:lineRule="auto"/>
        <w:rPr>
          <w:rFonts w:ascii="黑体" w:hAnsi="黑体" w:eastAsia="黑体"/>
          <w:szCs w:val="21"/>
          <w:highlight w:val="none"/>
        </w:rPr>
      </w:pPr>
    </w:p>
    <w:p>
      <w:pPr>
        <w:spacing w:before="312" w:beforeLines="100" w:line="360" w:lineRule="auto"/>
        <w:rPr>
          <w:rFonts w:ascii="黑体" w:hAnsi="黑体" w:eastAsia="黑体"/>
          <w:szCs w:val="21"/>
          <w:highlight w:val="none"/>
        </w:rPr>
      </w:pPr>
      <w:r>
        <w:rPr>
          <w:rFonts w:hint="eastAsia" w:ascii="黑体" w:hAnsi="黑体" w:eastAsia="黑体"/>
          <w:szCs w:val="21"/>
          <w:highlight w:val="none"/>
        </w:rPr>
        <w:t>注明：</w:t>
      </w:r>
    </w:p>
    <w:p>
      <w:pPr>
        <w:pStyle w:val="30"/>
        <w:numPr>
          <w:ilvl w:val="0"/>
          <w:numId w:val="101"/>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此表为报价总表的分项报价表。</w:t>
      </w:r>
    </w:p>
    <w:p>
      <w:pPr>
        <w:pStyle w:val="30"/>
        <w:numPr>
          <w:ilvl w:val="0"/>
          <w:numId w:val="101"/>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如果单价和总价不符时，以单价为准，修正总价。</w:t>
      </w:r>
    </w:p>
    <w:p>
      <w:pPr>
        <w:pStyle w:val="30"/>
        <w:numPr>
          <w:ilvl w:val="0"/>
          <w:numId w:val="101"/>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响应供应商应列明按“采购需求”所要求提供的所有报价项的价格明细。</w:t>
      </w: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ascii="黑体" w:hAnsi="黑体" w:eastAsia="黑体"/>
                <w:szCs w:val="21"/>
                <w:highlight w:val="none"/>
                <w:u w:val="single"/>
              </w:rPr>
              <w:t xml:space="preserve">                         </w:t>
            </w:r>
          </w:p>
        </w:tc>
        <w:tc>
          <w:tcPr>
            <w:tcW w:w="3175" w:type="dxa"/>
          </w:tcPr>
          <w:p>
            <w:pPr>
              <w:spacing w:line="360" w:lineRule="auto"/>
              <w:rPr>
                <w:rFonts w:ascii="黑体" w:hAnsi="黑体" w:eastAsia="黑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ascii="黑体" w:hAnsi="黑体" w:eastAsia="黑体"/>
                <w:szCs w:val="21"/>
                <w:highlight w:val="none"/>
                <w:u w:val="single"/>
              </w:rPr>
              <w:t xml:space="preserve">             年           月            日</w:t>
            </w:r>
          </w:p>
        </w:tc>
        <w:tc>
          <w:tcPr>
            <w:tcW w:w="3175" w:type="dxa"/>
          </w:tcPr>
          <w:p>
            <w:pPr>
              <w:spacing w:line="360" w:lineRule="auto"/>
              <w:rPr>
                <w:rFonts w:ascii="黑体" w:hAnsi="黑体" w:eastAsia="黑体"/>
                <w:szCs w:val="21"/>
                <w:highlight w:val="none"/>
              </w:rPr>
            </w:pPr>
          </w:p>
        </w:tc>
      </w:tr>
      <w:bookmarkEnd w:id="245"/>
      <w:bookmarkEnd w:id="246"/>
      <w:bookmarkEnd w:id="247"/>
      <w:bookmarkEnd w:id="248"/>
    </w:tbl>
    <w:p>
      <w:pPr>
        <w:pStyle w:val="30"/>
        <w:pageBreakBefore/>
        <w:numPr>
          <w:ilvl w:val="0"/>
          <w:numId w:val="98"/>
        </w:numPr>
        <w:spacing w:line="360" w:lineRule="auto"/>
        <w:ind w:firstLineChars="0"/>
        <w:rPr>
          <w:rFonts w:ascii="黑体" w:hAnsi="黑体" w:eastAsia="黑体"/>
          <w:b/>
          <w:szCs w:val="21"/>
          <w:highlight w:val="none"/>
        </w:rPr>
      </w:pPr>
      <w:r>
        <w:rPr>
          <w:rFonts w:hint="eastAsia" w:ascii="黑体" w:hAnsi="黑体" w:eastAsia="黑体"/>
          <w:b/>
          <w:szCs w:val="21"/>
          <w:highlight w:val="none"/>
        </w:rPr>
        <w:t>商务技术文件格式</w:t>
      </w:r>
    </w:p>
    <w:p>
      <w:pPr>
        <w:spacing w:line="360" w:lineRule="auto"/>
        <w:ind w:right="105"/>
        <w:jc w:val="right"/>
        <w:rPr>
          <w:rFonts w:ascii="黑体" w:hAnsi="黑体" w:eastAsia="黑体"/>
          <w:b/>
          <w:szCs w:val="21"/>
          <w:highlight w:val="none"/>
        </w:rPr>
      </w:pPr>
      <w:r>
        <w:rPr>
          <w:rFonts w:hint="eastAsia" w:ascii="黑体" w:hAnsi="黑体" w:eastAsia="黑体"/>
          <w:b/>
          <w:szCs w:val="21"/>
          <w:highlight w:val="none"/>
        </w:rPr>
        <w:t>正本/副本</w:t>
      </w:r>
    </w:p>
    <w:p>
      <w:pPr>
        <w:spacing w:line="360" w:lineRule="auto"/>
        <w:ind w:right="105"/>
        <w:jc w:val="right"/>
        <w:rPr>
          <w:rFonts w:ascii="黑体" w:hAnsi="黑体" w:eastAsia="黑体"/>
          <w:b/>
          <w:szCs w:val="21"/>
          <w:highlight w:val="none"/>
        </w:rPr>
      </w:pPr>
    </w:p>
    <w:p>
      <w:pPr>
        <w:spacing w:line="360" w:lineRule="auto"/>
        <w:jc w:val="center"/>
        <w:rPr>
          <w:rFonts w:hint="eastAsia" w:ascii="黑体" w:hAnsi="黑体" w:eastAsia="黑体"/>
          <w:b/>
          <w:szCs w:val="21"/>
          <w:highlight w:val="none"/>
          <w:lang w:eastAsia="zh-CN"/>
        </w:rPr>
      </w:pPr>
      <w:r>
        <w:rPr>
          <w:rFonts w:hint="eastAsia" w:ascii="黑体" w:hAnsi="黑体" w:eastAsia="黑体"/>
          <w:b/>
          <w:bCs/>
          <w:sz w:val="52"/>
          <w:szCs w:val="52"/>
          <w:highlight w:val="none"/>
          <w:lang w:eastAsia="zh-CN"/>
        </w:rPr>
        <w:t>2023年省级事故现场应急通讯能力提升采购专项</w:t>
      </w:r>
    </w:p>
    <w:p>
      <w:pPr>
        <w:spacing w:line="360" w:lineRule="auto"/>
        <w:jc w:val="center"/>
        <w:rPr>
          <w:rFonts w:ascii="黑体" w:hAnsi="黑体" w:eastAsia="黑体"/>
          <w:b/>
          <w:szCs w:val="21"/>
          <w:highlight w:val="none"/>
        </w:rPr>
      </w:pPr>
    </w:p>
    <w:p>
      <w:pPr>
        <w:spacing w:line="360" w:lineRule="auto"/>
        <w:jc w:val="center"/>
        <w:rPr>
          <w:rFonts w:ascii="黑体" w:hAnsi="黑体" w:eastAsia="黑体"/>
          <w:b/>
          <w:szCs w:val="21"/>
          <w:highlight w:val="none"/>
        </w:rPr>
      </w:pPr>
      <w:r>
        <w:rPr>
          <w:rFonts w:hint="eastAsia" w:ascii="黑体" w:hAnsi="黑体" w:eastAsia="黑体"/>
          <w:b/>
          <w:szCs w:val="21"/>
          <w:highlight w:val="none"/>
        </w:rPr>
        <w:t>（项目编号：</w:t>
      </w:r>
      <w:r>
        <w:rPr>
          <w:rFonts w:hint="eastAsia" w:ascii="黑体" w:hAnsi="黑体" w:eastAsia="黑体"/>
          <w:b/>
          <w:szCs w:val="21"/>
          <w:highlight w:val="none"/>
          <w:u w:val="single"/>
        </w:rPr>
        <w:t xml:space="preserve">             </w:t>
      </w:r>
      <w:r>
        <w:rPr>
          <w:rFonts w:hint="eastAsia" w:ascii="黑体" w:hAnsi="黑体" w:eastAsia="黑体"/>
          <w:b/>
          <w:szCs w:val="21"/>
          <w:highlight w:val="none"/>
        </w:rPr>
        <w:t>）</w:t>
      </w:r>
    </w:p>
    <w:p>
      <w:pPr>
        <w:spacing w:before="1404" w:beforeLines="450" w:line="360" w:lineRule="auto"/>
        <w:jc w:val="center"/>
        <w:rPr>
          <w:rFonts w:ascii="黑体" w:hAnsi="黑体" w:eastAsia="黑体"/>
          <w:b/>
          <w:spacing w:val="60"/>
          <w:sz w:val="72"/>
          <w:szCs w:val="72"/>
          <w:highlight w:val="none"/>
        </w:rPr>
      </w:pPr>
      <w:r>
        <w:rPr>
          <w:rFonts w:hint="eastAsia" w:ascii="黑体" w:hAnsi="黑体" w:eastAsia="黑体"/>
          <w:b/>
          <w:spacing w:val="60"/>
          <w:sz w:val="72"/>
          <w:szCs w:val="72"/>
          <w:highlight w:val="none"/>
        </w:rPr>
        <w:t>商务技术文件</w:t>
      </w:r>
    </w:p>
    <w:p>
      <w:pPr>
        <w:spacing w:after="2028" w:afterLines="650" w:line="360" w:lineRule="auto"/>
        <w:jc w:val="center"/>
        <w:rPr>
          <w:rFonts w:ascii="黑体" w:hAnsi="黑体" w:eastAsia="黑体"/>
          <w:b/>
          <w:szCs w:val="21"/>
          <w:highlight w:val="none"/>
        </w:rPr>
      </w:pPr>
      <w:r>
        <w:rPr>
          <w:rFonts w:hint="eastAsia" w:ascii="黑体" w:hAnsi="黑体" w:eastAsia="黑体"/>
          <w:b/>
          <w:szCs w:val="21"/>
          <w:highlight w:val="none"/>
        </w:rPr>
        <w:t>（封面格式仅供参考）</w:t>
      </w:r>
    </w:p>
    <w:tbl>
      <w:tblPr>
        <w:tblStyle w:val="18"/>
        <w:tblW w:w="4184" w:type="pct"/>
        <w:jc w:val="center"/>
        <w:tblLayout w:type="autofit"/>
        <w:tblCellMar>
          <w:top w:w="0" w:type="dxa"/>
          <w:left w:w="108" w:type="dxa"/>
          <w:bottom w:w="0" w:type="dxa"/>
          <w:right w:w="108" w:type="dxa"/>
        </w:tblCellMar>
      </w:tblPr>
      <w:tblGrid>
        <w:gridCol w:w="2207"/>
        <w:gridCol w:w="5007"/>
      </w:tblGrid>
      <w:tr>
        <w:tblPrEx>
          <w:tblCellMar>
            <w:top w:w="0" w:type="dxa"/>
            <w:left w:w="108" w:type="dxa"/>
            <w:bottom w:w="0" w:type="dxa"/>
            <w:right w:w="108" w:type="dxa"/>
          </w:tblCellMar>
        </w:tblPrEx>
        <w:trPr>
          <w:trHeight w:val="507"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响应单位全称：</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56"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响应单位地址：</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50" w:hRule="atLeast"/>
          <w:jc w:val="center"/>
        </w:trPr>
        <w:tc>
          <w:tcPr>
            <w:tcW w:w="1530" w:type="pct"/>
            <w:vAlign w:val="center"/>
          </w:tcPr>
          <w:p>
            <w:pPr>
              <w:spacing w:line="360" w:lineRule="auto"/>
              <w:jc w:val="left"/>
              <w:rPr>
                <w:rFonts w:ascii="黑体" w:hAnsi="黑体" w:eastAsia="黑体"/>
                <w:spacing w:val="-10"/>
                <w:sz w:val="24"/>
                <w:szCs w:val="24"/>
                <w:highlight w:val="none"/>
              </w:rPr>
            </w:pPr>
            <w:r>
              <w:rPr>
                <w:rFonts w:hint="eastAsia" w:ascii="黑体" w:hAnsi="黑体" w:eastAsia="黑体"/>
                <w:sz w:val="24"/>
                <w:szCs w:val="24"/>
                <w:highlight w:val="none"/>
              </w:rPr>
              <w:t>响应</w:t>
            </w:r>
            <w:r>
              <w:rPr>
                <w:rFonts w:hint="eastAsia" w:ascii="黑体" w:hAnsi="黑体" w:eastAsia="黑体"/>
                <w:spacing w:val="-10"/>
                <w:sz w:val="24"/>
                <w:szCs w:val="24"/>
                <w:highlight w:val="none"/>
              </w:rPr>
              <w:t>单位联系人：</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58"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响应单位固话：</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r>
        <w:tblPrEx>
          <w:tblCellMar>
            <w:top w:w="0" w:type="dxa"/>
            <w:left w:w="108" w:type="dxa"/>
            <w:bottom w:w="0" w:type="dxa"/>
            <w:right w:w="108" w:type="dxa"/>
          </w:tblCellMar>
        </w:tblPrEx>
        <w:trPr>
          <w:trHeight w:val="566" w:hRule="atLeast"/>
          <w:jc w:val="center"/>
        </w:trPr>
        <w:tc>
          <w:tcPr>
            <w:tcW w:w="1530" w:type="pct"/>
            <w:vAlign w:val="center"/>
          </w:tcPr>
          <w:p>
            <w:pPr>
              <w:spacing w:line="360" w:lineRule="auto"/>
              <w:jc w:val="left"/>
              <w:rPr>
                <w:rFonts w:ascii="黑体" w:hAnsi="黑体" w:eastAsia="黑体"/>
                <w:sz w:val="24"/>
                <w:szCs w:val="24"/>
                <w:highlight w:val="none"/>
              </w:rPr>
            </w:pPr>
            <w:r>
              <w:rPr>
                <w:rFonts w:hint="eastAsia" w:ascii="黑体" w:hAnsi="黑体" w:eastAsia="黑体"/>
                <w:sz w:val="24"/>
                <w:szCs w:val="24"/>
                <w:highlight w:val="none"/>
              </w:rPr>
              <w:t>响应单位传真：</w:t>
            </w:r>
          </w:p>
        </w:tc>
        <w:tc>
          <w:tcPr>
            <w:tcW w:w="3470" w:type="pct"/>
            <w:vAlign w:val="center"/>
          </w:tcPr>
          <w:p>
            <w:pPr>
              <w:spacing w:line="360" w:lineRule="auto"/>
              <w:jc w:val="left"/>
              <w:rPr>
                <w:rFonts w:ascii="黑体" w:hAnsi="黑体" w:eastAsia="黑体"/>
                <w:sz w:val="24"/>
                <w:szCs w:val="24"/>
                <w:highlight w:val="none"/>
                <w:u w:val="single"/>
              </w:rPr>
            </w:pPr>
            <w:r>
              <w:rPr>
                <w:rFonts w:hint="eastAsia" w:ascii="黑体" w:hAnsi="黑体" w:eastAsia="黑体"/>
                <w:sz w:val="24"/>
                <w:szCs w:val="24"/>
                <w:highlight w:val="none"/>
                <w:u w:val="single"/>
              </w:rPr>
              <w:t xml:space="preserve">                                       </w:t>
            </w:r>
          </w:p>
        </w:tc>
      </w:tr>
    </w:tbl>
    <w:p>
      <w:pPr>
        <w:spacing w:line="360" w:lineRule="auto"/>
        <w:rPr>
          <w:rFonts w:ascii="黑体" w:hAnsi="黑体" w:eastAsia="黑体"/>
          <w:szCs w:val="21"/>
          <w:highlight w:val="none"/>
        </w:rPr>
      </w:pPr>
    </w:p>
    <w:p>
      <w:pPr>
        <w:spacing w:before="312" w:beforeLines="100" w:after="156" w:afterLines="50" w:line="600" w:lineRule="exact"/>
        <w:jc w:val="center"/>
        <w:rPr>
          <w:rFonts w:ascii="黑体" w:hAnsi="黑体" w:eastAsia="黑体"/>
          <w:b/>
          <w:bCs/>
          <w:spacing w:val="40"/>
          <w:sz w:val="24"/>
          <w:szCs w:val="24"/>
          <w:highlight w:val="none"/>
        </w:rPr>
      </w:pPr>
      <w:r>
        <w:rPr>
          <w:rFonts w:hint="eastAsia" w:ascii="黑体" w:hAnsi="黑体" w:eastAsia="黑体"/>
          <w:b/>
          <w:spacing w:val="40"/>
          <w:sz w:val="24"/>
          <w:szCs w:val="24"/>
          <w:highlight w:val="none"/>
        </w:rPr>
        <w:t>日期：   年  月  日</w:t>
      </w:r>
    </w:p>
    <w:p>
      <w:pPr>
        <w:pStyle w:val="38"/>
        <w:spacing w:before="312" w:beforeLines="100" w:line="360" w:lineRule="auto"/>
        <w:ind w:firstLine="0" w:firstLineChars="0"/>
        <w:rPr>
          <w:rFonts w:ascii="黑体" w:hAnsi="黑体" w:eastAsia="黑体"/>
          <w:b/>
          <w:sz w:val="21"/>
          <w:szCs w:val="21"/>
          <w:highlight w:val="none"/>
        </w:rPr>
      </w:pPr>
    </w:p>
    <w:p>
      <w:pPr>
        <w:pStyle w:val="30"/>
        <w:numPr>
          <w:ilvl w:val="0"/>
          <w:numId w:val="102"/>
        </w:numPr>
        <w:spacing w:before="624" w:beforeLines="200" w:line="480" w:lineRule="auto"/>
        <w:ind w:firstLineChars="0"/>
        <w:rPr>
          <w:rStyle w:val="21"/>
          <w:rFonts w:ascii="黑体" w:hAnsi="黑体" w:eastAsia="黑体"/>
          <w:bCs w:val="0"/>
          <w:spacing w:val="12"/>
          <w:highlight w:val="none"/>
        </w:rPr>
      </w:pPr>
      <w:bookmarkStart w:id="249" w:name="_Toc405313961"/>
      <w:bookmarkStart w:id="250" w:name="_Toc391627757"/>
      <w:bookmarkStart w:id="251" w:name="_Toc13821088"/>
      <w:r>
        <w:rPr>
          <w:rStyle w:val="21"/>
          <w:rFonts w:hint="eastAsia" w:ascii="黑体" w:hAnsi="黑体" w:eastAsia="黑体"/>
          <w:bCs w:val="0"/>
          <w:spacing w:val="12"/>
          <w:highlight w:val="none"/>
        </w:rPr>
        <w:t>资格性与符合性自查索引表</w:t>
      </w:r>
    </w:p>
    <w:p>
      <w:pPr>
        <w:spacing w:before="156" w:beforeLines="50" w:after="156" w:afterLines="50"/>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资格性与符合性自查索引表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4854"/>
        <w:gridCol w:w="1290"/>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序号</w:t>
            </w:r>
          </w:p>
        </w:tc>
        <w:tc>
          <w:tcPr>
            <w:tcW w:w="2815" w:type="pct"/>
            <w:tcBorders>
              <w:bottom w:val="single" w:color="auto" w:sz="4" w:space="0"/>
              <w:tl2br w:val="nil"/>
            </w:tcBorders>
            <w:vAlign w:val="center"/>
          </w:tcPr>
          <w:p>
            <w:pPr>
              <w:spacing w:line="360" w:lineRule="auto"/>
              <w:ind w:left="210" w:hanging="210" w:hangingChars="100"/>
              <w:jc w:val="center"/>
              <w:rPr>
                <w:rFonts w:ascii="黑体" w:hAnsi="黑体" w:eastAsia="黑体"/>
                <w:bCs/>
                <w:szCs w:val="21"/>
                <w:highlight w:val="none"/>
              </w:rPr>
            </w:pPr>
            <w:r>
              <w:rPr>
                <w:rFonts w:hint="eastAsia" w:ascii="黑体" w:hAnsi="黑体" w:eastAsia="黑体"/>
                <w:bCs/>
                <w:szCs w:val="21"/>
                <w:highlight w:val="none"/>
              </w:rPr>
              <w:t>审查内容</w:t>
            </w:r>
          </w:p>
        </w:tc>
        <w:tc>
          <w:tcPr>
            <w:tcW w:w="748"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自查</w:t>
            </w:r>
          </w:p>
          <w:p>
            <w:pPr>
              <w:spacing w:line="360" w:lineRule="auto"/>
              <w:jc w:val="center"/>
              <w:rPr>
                <w:rFonts w:ascii="黑体" w:hAnsi="黑体" w:eastAsia="黑体"/>
                <w:bCs/>
                <w:szCs w:val="21"/>
                <w:highlight w:val="none"/>
              </w:rPr>
            </w:pPr>
            <w:r>
              <w:rPr>
                <w:rFonts w:hint="eastAsia" w:ascii="黑体" w:hAnsi="黑体" w:eastAsia="黑体"/>
                <w:bCs/>
                <w:szCs w:val="21"/>
                <w:highlight w:val="none"/>
              </w:rPr>
              <w:t>结论</w:t>
            </w:r>
          </w:p>
        </w:tc>
        <w:tc>
          <w:tcPr>
            <w:tcW w:w="1030" w:type="pct"/>
            <w:vAlign w:val="center"/>
          </w:tcPr>
          <w:p>
            <w:pPr>
              <w:spacing w:line="360" w:lineRule="auto"/>
              <w:jc w:val="center"/>
              <w:rPr>
                <w:rFonts w:ascii="黑体" w:hAnsi="黑体" w:eastAsia="黑体"/>
                <w:bCs/>
                <w:spacing w:val="-10"/>
                <w:szCs w:val="21"/>
                <w:highlight w:val="none"/>
              </w:rPr>
            </w:pPr>
            <w:r>
              <w:rPr>
                <w:rFonts w:hint="eastAsia" w:ascii="黑体" w:hAnsi="黑体" w:eastAsia="黑体"/>
                <w:bCs/>
                <w:spacing w:val="-10"/>
                <w:szCs w:val="21"/>
                <w:highlight w:val="none"/>
              </w:rPr>
              <w:t>商务技术/价格响应文件响应页码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1</w:t>
            </w:r>
          </w:p>
        </w:tc>
        <w:tc>
          <w:tcPr>
            <w:tcW w:w="2815" w:type="pct"/>
            <w:tcBorders>
              <w:tl2br w:val="nil"/>
            </w:tcBorders>
            <w:vAlign w:val="center"/>
          </w:tcPr>
          <w:p>
            <w:pPr>
              <w:jc w:val="left"/>
              <w:rPr>
                <w:highlight w:val="none"/>
              </w:rPr>
            </w:pPr>
          </w:p>
        </w:tc>
        <w:tc>
          <w:tcPr>
            <w:tcW w:w="748" w:type="pct"/>
            <w:vAlign w:val="center"/>
          </w:tcPr>
          <w:p>
            <w:pPr>
              <w:spacing w:line="360" w:lineRule="auto"/>
              <w:jc w:val="center"/>
              <w:rPr>
                <w:rFonts w:ascii="黑体" w:hAnsi="黑体" w:eastAsia="黑体"/>
                <w:bCs/>
                <w:szCs w:val="21"/>
                <w:highlight w:val="none"/>
              </w:rPr>
            </w:pPr>
          </w:p>
        </w:tc>
        <w:tc>
          <w:tcPr>
            <w:tcW w:w="1030" w:type="pct"/>
            <w:vAlign w:val="center"/>
          </w:tcPr>
          <w:p>
            <w:pPr>
              <w:spacing w:line="360" w:lineRule="auto"/>
              <w:jc w:val="center"/>
              <w:rPr>
                <w:rFonts w:ascii="黑体" w:hAnsi="黑体" w:eastAsia="黑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2</w:t>
            </w:r>
          </w:p>
        </w:tc>
        <w:tc>
          <w:tcPr>
            <w:tcW w:w="2815" w:type="pct"/>
            <w:vAlign w:val="center"/>
          </w:tcPr>
          <w:p>
            <w:pPr>
              <w:spacing w:line="360" w:lineRule="auto"/>
              <w:jc w:val="left"/>
              <w:rPr>
                <w:rFonts w:ascii="黑体" w:hAnsi="黑体" w:eastAsia="黑体"/>
                <w:b/>
                <w:bCs/>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3</w:t>
            </w:r>
          </w:p>
        </w:tc>
        <w:tc>
          <w:tcPr>
            <w:tcW w:w="2815" w:type="pct"/>
            <w:vAlign w:val="center"/>
          </w:tcPr>
          <w:p>
            <w:pPr>
              <w:spacing w:line="360" w:lineRule="auto"/>
              <w:jc w:val="left"/>
              <w:rPr>
                <w:rFonts w:ascii="黑体" w:hAnsi="黑体" w:eastAsia="黑体"/>
                <w:b/>
                <w:bCs/>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4</w:t>
            </w:r>
          </w:p>
        </w:tc>
        <w:tc>
          <w:tcPr>
            <w:tcW w:w="2815" w:type="pct"/>
            <w:vAlign w:val="center"/>
          </w:tcPr>
          <w:p>
            <w:pPr>
              <w:spacing w:line="360" w:lineRule="auto"/>
              <w:jc w:val="left"/>
              <w:rPr>
                <w:rFonts w:ascii="黑体" w:hAnsi="黑体" w:eastAsia="黑体"/>
                <w:b/>
                <w:bCs/>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5</w:t>
            </w:r>
          </w:p>
        </w:tc>
        <w:tc>
          <w:tcPr>
            <w:tcW w:w="2815" w:type="pct"/>
            <w:vAlign w:val="center"/>
          </w:tcPr>
          <w:p>
            <w:pPr>
              <w:spacing w:line="360" w:lineRule="auto"/>
              <w:jc w:val="left"/>
              <w:rPr>
                <w:rFonts w:ascii="黑体" w:hAnsi="黑体" w:eastAsia="黑体"/>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6</w:t>
            </w:r>
          </w:p>
        </w:tc>
        <w:tc>
          <w:tcPr>
            <w:tcW w:w="2815" w:type="pct"/>
            <w:vAlign w:val="center"/>
          </w:tcPr>
          <w:p>
            <w:pPr>
              <w:spacing w:line="360" w:lineRule="auto"/>
              <w:jc w:val="left"/>
              <w:rPr>
                <w:rFonts w:ascii="黑体" w:hAnsi="黑体" w:eastAsia="黑体"/>
                <w:b/>
                <w:bCs/>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7</w:t>
            </w:r>
          </w:p>
        </w:tc>
        <w:tc>
          <w:tcPr>
            <w:tcW w:w="2815" w:type="pct"/>
            <w:vAlign w:val="center"/>
          </w:tcPr>
          <w:p>
            <w:pPr>
              <w:spacing w:line="360" w:lineRule="auto"/>
              <w:jc w:val="left"/>
              <w:rPr>
                <w:rFonts w:ascii="黑体" w:hAnsi="黑体" w:eastAsia="黑体"/>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8</w:t>
            </w:r>
          </w:p>
        </w:tc>
        <w:tc>
          <w:tcPr>
            <w:tcW w:w="2815" w:type="pct"/>
            <w:vAlign w:val="center"/>
          </w:tcPr>
          <w:p>
            <w:pPr>
              <w:spacing w:line="360" w:lineRule="auto"/>
              <w:jc w:val="left"/>
              <w:rPr>
                <w:rFonts w:ascii="黑体" w:hAnsi="黑体" w:eastAsia="黑体"/>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pPr>
              <w:spacing w:line="360" w:lineRule="auto"/>
              <w:jc w:val="center"/>
              <w:rPr>
                <w:rFonts w:ascii="黑体" w:hAnsi="黑体" w:eastAsia="黑体"/>
                <w:bCs/>
                <w:szCs w:val="21"/>
                <w:highlight w:val="none"/>
              </w:rPr>
            </w:pPr>
            <w:r>
              <w:rPr>
                <w:rFonts w:hint="eastAsia" w:ascii="黑体" w:hAnsi="黑体" w:eastAsia="黑体"/>
                <w:bCs/>
                <w:szCs w:val="21"/>
                <w:highlight w:val="none"/>
              </w:rPr>
              <w:t>9</w:t>
            </w:r>
          </w:p>
        </w:tc>
        <w:tc>
          <w:tcPr>
            <w:tcW w:w="2815" w:type="pct"/>
            <w:vAlign w:val="center"/>
          </w:tcPr>
          <w:p>
            <w:pPr>
              <w:spacing w:line="360" w:lineRule="auto"/>
              <w:jc w:val="left"/>
              <w:rPr>
                <w:rFonts w:ascii="黑体" w:hAnsi="黑体" w:eastAsia="黑体"/>
                <w:bCs/>
                <w:szCs w:val="21"/>
                <w:highlight w:val="none"/>
              </w:rPr>
            </w:pPr>
          </w:p>
        </w:tc>
        <w:tc>
          <w:tcPr>
            <w:tcW w:w="748" w:type="pct"/>
            <w:vAlign w:val="center"/>
          </w:tcPr>
          <w:p>
            <w:pPr>
              <w:spacing w:line="360" w:lineRule="auto"/>
              <w:jc w:val="center"/>
              <w:rPr>
                <w:rFonts w:ascii="黑体" w:hAnsi="黑体" w:eastAsia="黑体"/>
                <w:b/>
                <w:bCs/>
                <w:szCs w:val="21"/>
                <w:highlight w:val="none"/>
              </w:rPr>
            </w:pPr>
          </w:p>
        </w:tc>
        <w:tc>
          <w:tcPr>
            <w:tcW w:w="1030" w:type="pct"/>
            <w:vAlign w:val="center"/>
          </w:tcPr>
          <w:p>
            <w:pPr>
              <w:spacing w:line="360" w:lineRule="auto"/>
              <w:jc w:val="center"/>
              <w:rPr>
                <w:rFonts w:ascii="黑体" w:hAnsi="黑体" w:eastAsia="黑体"/>
                <w:b/>
                <w:bCs/>
                <w:szCs w:val="21"/>
                <w:highlight w:val="none"/>
              </w:rPr>
            </w:pPr>
          </w:p>
        </w:tc>
      </w:tr>
    </w:tbl>
    <w:p>
      <w:pPr>
        <w:spacing w:before="312" w:beforeLines="100" w:line="360" w:lineRule="auto"/>
        <w:rPr>
          <w:rFonts w:ascii="黑体" w:hAnsi="黑体" w:eastAsia="黑体"/>
          <w:highlight w:val="none"/>
        </w:rPr>
      </w:pPr>
      <w:r>
        <w:rPr>
          <w:rFonts w:hint="eastAsia" w:ascii="黑体" w:hAnsi="黑体" w:eastAsia="黑体"/>
          <w:highlight w:val="none"/>
        </w:rPr>
        <w:t>注明：</w:t>
      </w:r>
    </w:p>
    <w:p>
      <w:pPr>
        <w:pStyle w:val="30"/>
        <w:numPr>
          <w:ilvl w:val="0"/>
          <w:numId w:val="103"/>
        </w:numPr>
        <w:spacing w:line="360" w:lineRule="auto"/>
        <w:ind w:firstLineChars="0"/>
        <w:rPr>
          <w:rFonts w:ascii="黑体" w:hAnsi="黑体" w:eastAsia="黑体"/>
          <w:highlight w:val="none"/>
        </w:rPr>
      </w:pPr>
      <w:r>
        <w:rPr>
          <w:rFonts w:hint="eastAsia" w:ascii="黑体" w:hAnsi="黑体" w:eastAsia="黑体"/>
          <w:highlight w:val="none"/>
        </w:rPr>
        <w:t>自查结论处请填写：通过/不通过；</w:t>
      </w:r>
    </w:p>
    <w:p>
      <w:pPr>
        <w:pStyle w:val="30"/>
        <w:numPr>
          <w:ilvl w:val="0"/>
          <w:numId w:val="103"/>
        </w:numPr>
        <w:spacing w:line="360" w:lineRule="auto"/>
        <w:ind w:firstLineChars="0"/>
        <w:rPr>
          <w:rFonts w:ascii="黑体" w:hAnsi="黑体" w:eastAsia="黑体"/>
          <w:highlight w:val="none"/>
        </w:rPr>
      </w:pPr>
      <w:r>
        <w:rPr>
          <w:rFonts w:hint="eastAsia" w:ascii="黑体" w:hAnsi="黑体" w:eastAsia="黑体"/>
          <w:szCs w:val="21"/>
          <w:highlight w:val="none"/>
        </w:rPr>
        <w:t>附表一资格性与符合性审查表相对应条款填写</w:t>
      </w:r>
      <w:r>
        <w:rPr>
          <w:rFonts w:hint="eastAsia" w:ascii="黑体" w:hAnsi="黑体" w:eastAsia="黑体"/>
          <w:highlight w:val="none"/>
        </w:rPr>
        <w:t>。</w:t>
      </w:r>
    </w:p>
    <w:p>
      <w:pPr>
        <w:pStyle w:val="30"/>
        <w:spacing w:line="360" w:lineRule="auto"/>
        <w:ind w:firstLine="0" w:firstLineChars="0"/>
        <w:rPr>
          <w:rFonts w:ascii="黑体" w:hAnsi="黑体" w:eastAsia="黑体"/>
          <w:sz w:val="18"/>
          <w:szCs w:val="18"/>
          <w:highlight w:val="none"/>
        </w:rPr>
      </w:pPr>
    </w:p>
    <w:p>
      <w:pPr>
        <w:pStyle w:val="30"/>
        <w:spacing w:line="360" w:lineRule="auto"/>
        <w:ind w:firstLine="0" w:firstLineChars="0"/>
        <w:rPr>
          <w:rFonts w:ascii="黑体" w:hAnsi="黑体" w:eastAsia="黑体"/>
          <w:sz w:val="18"/>
          <w:szCs w:val="18"/>
          <w:highlight w:val="none"/>
        </w:rPr>
      </w:pPr>
    </w:p>
    <w:tbl>
      <w:tblPr>
        <w:tblStyle w:val="18"/>
        <w:tblW w:w="0" w:type="auto"/>
        <w:tblInd w:w="0" w:type="dxa"/>
        <w:tblLayout w:type="autofit"/>
        <w:tblCellMar>
          <w:top w:w="0" w:type="dxa"/>
          <w:left w:w="108" w:type="dxa"/>
          <w:bottom w:w="0" w:type="dxa"/>
          <w:right w:w="108" w:type="dxa"/>
        </w:tblCellMar>
      </w:tblPr>
      <w:tblGrid>
        <w:gridCol w:w="6096"/>
        <w:gridCol w:w="2210"/>
      </w:tblGrid>
      <w:tr>
        <w:tblPrEx>
          <w:tblCellMar>
            <w:top w:w="0" w:type="dxa"/>
            <w:left w:w="108" w:type="dxa"/>
            <w:bottom w:w="0" w:type="dxa"/>
            <w:right w:w="108" w:type="dxa"/>
          </w:tblCellMar>
        </w:tblPrEx>
        <w:tc>
          <w:tcPr>
            <w:tcW w:w="6096"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2210"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096"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2210" w:type="dxa"/>
          </w:tcPr>
          <w:p>
            <w:pPr>
              <w:spacing w:line="360" w:lineRule="auto"/>
              <w:rPr>
                <w:rFonts w:ascii="黑体" w:hAnsi="黑体" w:eastAsia="黑体"/>
                <w:szCs w:val="21"/>
                <w:highlight w:val="none"/>
              </w:rPr>
            </w:pPr>
          </w:p>
        </w:tc>
      </w:tr>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r>
        <w:rPr>
          <w:rStyle w:val="21"/>
          <w:rFonts w:hint="eastAsia" w:ascii="黑体" w:hAnsi="黑体" w:eastAsia="黑体"/>
          <w:bCs w:val="0"/>
          <w:spacing w:val="12"/>
          <w:highlight w:val="none"/>
        </w:rPr>
        <w:t>谈判函</w:t>
      </w:r>
      <w:bookmarkEnd w:id="249"/>
      <w:bookmarkEnd w:id="250"/>
      <w:bookmarkEnd w:id="251"/>
    </w:p>
    <w:p>
      <w:pPr>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谈判函</w:t>
      </w:r>
    </w:p>
    <w:p>
      <w:pPr>
        <w:spacing w:line="360" w:lineRule="auto"/>
        <w:rPr>
          <w:rFonts w:ascii="黑体" w:hAnsi="黑体" w:eastAsia="黑体"/>
          <w:b/>
          <w:highlight w:val="none"/>
        </w:rPr>
      </w:pPr>
      <w:r>
        <w:rPr>
          <w:rFonts w:hint="eastAsia" w:ascii="黑体" w:hAnsi="黑体" w:eastAsia="黑体"/>
          <w:b/>
          <w:highlight w:val="none"/>
        </w:rPr>
        <w:t>致：广东智汇城市招标采购有限公司</w:t>
      </w:r>
    </w:p>
    <w:p>
      <w:pPr>
        <w:autoSpaceDE w:val="0"/>
        <w:autoSpaceDN w:val="0"/>
        <w:adjustRightInd w:val="0"/>
        <w:spacing w:line="360" w:lineRule="auto"/>
        <w:ind w:right="26" w:firstLine="420" w:firstLineChars="200"/>
        <w:rPr>
          <w:rFonts w:ascii="黑体" w:hAnsi="黑体" w:eastAsia="黑体"/>
          <w:kern w:val="0"/>
          <w:szCs w:val="21"/>
          <w:highlight w:val="none"/>
        </w:rPr>
      </w:pPr>
      <w:r>
        <w:rPr>
          <w:rFonts w:hint="eastAsia" w:ascii="黑体" w:hAnsi="黑体" w:eastAsia="黑体"/>
          <w:kern w:val="0"/>
          <w:szCs w:val="21"/>
          <w:highlight w:val="none"/>
        </w:rPr>
        <w:t>依据贵方</w:t>
      </w:r>
      <w:r>
        <w:rPr>
          <w:rFonts w:hint="eastAsia" w:ascii="黑体" w:hAnsi="黑体" w:eastAsia="黑体"/>
          <w:b/>
          <w:kern w:val="0"/>
          <w:szCs w:val="21"/>
          <w:highlight w:val="none"/>
          <w:u w:val="single"/>
        </w:rPr>
        <w:t xml:space="preserve">    </w:t>
      </w:r>
      <w:r>
        <w:rPr>
          <w:rFonts w:hint="eastAsia" w:ascii="黑体" w:hAnsi="黑体" w:eastAsia="黑体"/>
          <w:b/>
          <w:szCs w:val="21"/>
          <w:highlight w:val="none"/>
          <w:u w:val="single"/>
        </w:rPr>
        <w:t>项目名称</w:t>
      </w:r>
      <w:r>
        <w:rPr>
          <w:rFonts w:hint="eastAsia" w:ascii="黑体" w:hAnsi="黑体" w:eastAsia="黑体"/>
          <w:szCs w:val="21"/>
          <w:highlight w:val="none"/>
          <w:u w:val="single"/>
        </w:rPr>
        <w:t xml:space="preserve">     </w:t>
      </w:r>
      <w:r>
        <w:rPr>
          <w:rFonts w:hint="eastAsia" w:ascii="黑体" w:hAnsi="黑体" w:eastAsia="黑体"/>
          <w:kern w:val="0"/>
          <w:szCs w:val="21"/>
          <w:highlight w:val="none"/>
        </w:rPr>
        <w:t>项目</w:t>
      </w:r>
      <w:r>
        <w:rPr>
          <w:rFonts w:hint="eastAsia" w:ascii="黑体" w:hAnsi="黑体" w:eastAsia="黑体"/>
          <w:szCs w:val="21"/>
          <w:highlight w:val="none"/>
          <w:u w:val="single"/>
        </w:rPr>
        <w:t>（</w:t>
      </w:r>
      <w:r>
        <w:rPr>
          <w:rFonts w:hint="eastAsia" w:ascii="黑体" w:hAnsi="黑体" w:eastAsia="黑体"/>
          <w:b/>
          <w:szCs w:val="21"/>
          <w:highlight w:val="none"/>
          <w:u w:val="single"/>
        </w:rPr>
        <w:t xml:space="preserve">项目编号：      </w:t>
      </w:r>
      <w:r>
        <w:rPr>
          <w:rFonts w:hint="eastAsia" w:ascii="黑体" w:hAnsi="黑体" w:eastAsia="黑体"/>
          <w:szCs w:val="21"/>
          <w:highlight w:val="none"/>
          <w:u w:val="single"/>
        </w:rPr>
        <w:t>)</w:t>
      </w:r>
      <w:r>
        <w:rPr>
          <w:rFonts w:hint="eastAsia" w:ascii="黑体" w:hAnsi="黑体" w:eastAsia="黑体"/>
          <w:kern w:val="0"/>
          <w:szCs w:val="21"/>
          <w:highlight w:val="none"/>
        </w:rPr>
        <w:t>的谈判邀请，我方代表</w:t>
      </w:r>
      <w:r>
        <w:rPr>
          <w:rFonts w:hint="eastAsia" w:ascii="黑体" w:hAnsi="黑体" w:eastAsia="黑体"/>
          <w:kern w:val="0"/>
          <w:szCs w:val="21"/>
          <w:highlight w:val="none"/>
          <w:u w:val="single"/>
        </w:rPr>
        <w:t xml:space="preserve"> </w:t>
      </w:r>
      <w:r>
        <w:rPr>
          <w:rFonts w:hint="eastAsia" w:ascii="黑体" w:hAnsi="黑体" w:eastAsia="黑体"/>
          <w:szCs w:val="21"/>
          <w:highlight w:val="none"/>
          <w:u w:val="single"/>
        </w:rPr>
        <w:t>（</w:t>
      </w:r>
      <w:r>
        <w:rPr>
          <w:rFonts w:hint="eastAsia" w:ascii="黑体" w:hAnsi="黑体" w:eastAsia="黑体"/>
          <w:b/>
          <w:szCs w:val="21"/>
          <w:highlight w:val="none"/>
          <w:u w:val="single"/>
        </w:rPr>
        <w:t>姓名、职务</w:t>
      </w:r>
      <w:r>
        <w:rPr>
          <w:rFonts w:hint="eastAsia" w:ascii="黑体" w:hAnsi="黑体" w:eastAsia="黑体"/>
          <w:szCs w:val="21"/>
          <w:highlight w:val="none"/>
          <w:u w:val="single"/>
        </w:rPr>
        <w:t xml:space="preserve">） </w:t>
      </w:r>
      <w:r>
        <w:rPr>
          <w:rFonts w:hint="eastAsia" w:ascii="黑体" w:hAnsi="黑体" w:eastAsia="黑体"/>
          <w:kern w:val="0"/>
          <w:szCs w:val="21"/>
          <w:highlight w:val="none"/>
        </w:rPr>
        <w:t>经正式授权并代表</w:t>
      </w:r>
      <w:r>
        <w:rPr>
          <w:rFonts w:hint="eastAsia" w:ascii="黑体" w:hAnsi="黑体" w:eastAsia="黑体"/>
          <w:kern w:val="0"/>
          <w:szCs w:val="21"/>
          <w:highlight w:val="none"/>
          <w:u w:val="single"/>
        </w:rPr>
        <w:t xml:space="preserve"> </w:t>
      </w:r>
      <w:r>
        <w:rPr>
          <w:rFonts w:hint="eastAsia" w:ascii="黑体" w:hAnsi="黑体" w:eastAsia="黑体"/>
          <w:szCs w:val="21"/>
          <w:highlight w:val="none"/>
          <w:u w:val="single"/>
        </w:rPr>
        <w:t>（</w:t>
      </w:r>
      <w:r>
        <w:rPr>
          <w:rFonts w:hint="eastAsia" w:ascii="黑体" w:hAnsi="黑体" w:eastAsia="黑体"/>
          <w:b/>
          <w:szCs w:val="21"/>
          <w:highlight w:val="none"/>
          <w:u w:val="single"/>
        </w:rPr>
        <w:t>谈判供应商名称</w:t>
      </w:r>
      <w:r>
        <w:rPr>
          <w:rFonts w:hint="eastAsia" w:ascii="黑体" w:hAnsi="黑体" w:eastAsia="黑体"/>
          <w:szCs w:val="21"/>
          <w:highlight w:val="none"/>
          <w:u w:val="single"/>
        </w:rPr>
        <w:t xml:space="preserve">） </w:t>
      </w:r>
      <w:r>
        <w:rPr>
          <w:rFonts w:hint="eastAsia" w:ascii="黑体" w:hAnsi="黑体" w:eastAsia="黑体"/>
          <w:szCs w:val="21"/>
          <w:highlight w:val="none"/>
        </w:rPr>
        <w:t>提交电子文件一份，</w:t>
      </w:r>
      <w:r>
        <w:rPr>
          <w:rFonts w:hint="eastAsia" w:ascii="黑体" w:hAnsi="黑体" w:eastAsia="黑体"/>
          <w:kern w:val="0"/>
          <w:szCs w:val="21"/>
          <w:highlight w:val="none"/>
        </w:rPr>
        <w:t>响应文件(含价格文件、商务技术文件)各正本一份，副本</w:t>
      </w:r>
      <w:r>
        <w:rPr>
          <w:rFonts w:hint="eastAsia" w:ascii="黑体" w:hAnsi="黑体" w:eastAsia="黑体"/>
          <w:kern w:val="0"/>
          <w:szCs w:val="21"/>
          <w:highlight w:val="none"/>
          <w:u w:val="single"/>
        </w:rPr>
        <w:t xml:space="preserve"> （</w:t>
      </w:r>
      <w:r>
        <w:rPr>
          <w:rFonts w:hint="eastAsia" w:ascii="黑体" w:hAnsi="黑体" w:eastAsia="黑体"/>
          <w:b/>
          <w:kern w:val="0"/>
          <w:szCs w:val="21"/>
          <w:highlight w:val="none"/>
          <w:u w:val="single"/>
        </w:rPr>
        <w:t>详见</w:t>
      </w:r>
      <w:bookmarkStart w:id="252" w:name="_Hlk91063693"/>
      <w:r>
        <w:rPr>
          <w:rFonts w:hint="eastAsia" w:ascii="黑体" w:hAnsi="黑体" w:eastAsia="黑体"/>
          <w:b/>
          <w:kern w:val="0"/>
          <w:szCs w:val="21"/>
          <w:highlight w:val="none"/>
          <w:u w:val="single"/>
        </w:rPr>
        <w:t>谈判</w:t>
      </w:r>
      <w:bookmarkEnd w:id="252"/>
      <w:r>
        <w:rPr>
          <w:rFonts w:hint="eastAsia" w:ascii="黑体" w:hAnsi="黑体" w:eastAsia="黑体"/>
          <w:b/>
          <w:kern w:val="0"/>
          <w:szCs w:val="21"/>
          <w:highlight w:val="none"/>
          <w:u w:val="single"/>
        </w:rPr>
        <w:t>须知前附表</w:t>
      </w:r>
      <w:r>
        <w:rPr>
          <w:rFonts w:ascii="黑体" w:hAnsi="黑体" w:eastAsia="黑体"/>
          <w:kern w:val="0"/>
          <w:szCs w:val="21"/>
          <w:highlight w:val="none"/>
          <w:u w:val="single"/>
        </w:rPr>
        <w:t>）</w:t>
      </w:r>
      <w:r>
        <w:rPr>
          <w:rFonts w:hint="eastAsia" w:ascii="黑体" w:hAnsi="黑体" w:eastAsia="黑体"/>
          <w:kern w:val="0"/>
          <w:szCs w:val="21"/>
          <w:highlight w:val="none"/>
          <w:u w:val="single"/>
        </w:rPr>
        <w:t xml:space="preserve">  </w:t>
      </w:r>
      <w:r>
        <w:rPr>
          <w:rFonts w:hint="eastAsia" w:ascii="黑体" w:hAnsi="黑体" w:eastAsia="黑体"/>
          <w:kern w:val="0"/>
          <w:szCs w:val="21"/>
          <w:highlight w:val="none"/>
        </w:rPr>
        <w:t>份。</w:t>
      </w:r>
    </w:p>
    <w:p>
      <w:pPr>
        <w:autoSpaceDE w:val="0"/>
        <w:autoSpaceDN w:val="0"/>
        <w:adjustRightInd w:val="0"/>
        <w:spacing w:line="360" w:lineRule="auto"/>
        <w:ind w:right="244"/>
        <w:rPr>
          <w:rFonts w:ascii="黑体" w:hAnsi="黑体" w:eastAsia="黑体"/>
          <w:kern w:val="0"/>
          <w:szCs w:val="21"/>
          <w:highlight w:val="none"/>
        </w:rPr>
      </w:pPr>
      <w:bookmarkStart w:id="253" w:name="_Hlk91019630"/>
      <w:r>
        <w:rPr>
          <w:rFonts w:ascii="黑体" w:hAnsi="黑体" w:eastAsia="黑体"/>
          <w:kern w:val="0"/>
          <w:szCs w:val="21"/>
          <w:highlight w:val="none"/>
        </w:rPr>
        <w:t>我方已完全明白采购文件的所有条款要求，并</w:t>
      </w:r>
      <w:r>
        <w:rPr>
          <w:rFonts w:hint="eastAsia" w:ascii="黑体" w:hAnsi="黑体" w:eastAsia="黑体"/>
          <w:kern w:val="0"/>
          <w:szCs w:val="21"/>
          <w:highlight w:val="none"/>
        </w:rPr>
        <w:t>声明</w:t>
      </w:r>
      <w:r>
        <w:rPr>
          <w:rFonts w:ascii="黑体" w:hAnsi="黑体" w:eastAsia="黑体"/>
          <w:kern w:val="0"/>
          <w:szCs w:val="21"/>
          <w:highlight w:val="none"/>
        </w:rPr>
        <w:t>如下：</w:t>
      </w:r>
    </w:p>
    <w:bookmarkEnd w:id="253"/>
    <w:p>
      <w:pPr>
        <w:pStyle w:val="59"/>
        <w:numPr>
          <w:ilvl w:val="0"/>
          <w:numId w:val="104"/>
        </w:numPr>
        <w:spacing w:line="360" w:lineRule="auto"/>
        <w:ind w:firstLineChars="0"/>
        <w:rPr>
          <w:rFonts w:ascii="黑体" w:hAnsi="黑体" w:eastAsia="黑体"/>
          <w:szCs w:val="21"/>
          <w:highlight w:val="none"/>
        </w:rPr>
      </w:pPr>
      <w:bookmarkStart w:id="254" w:name="_Hlk91019664"/>
      <w:r>
        <w:rPr>
          <w:rFonts w:hint="eastAsia" w:ascii="黑体" w:hAnsi="黑体" w:eastAsia="黑体"/>
          <w:szCs w:val="21"/>
          <w:highlight w:val="none"/>
        </w:rPr>
        <w:t>我方在参与响应前已详细研究了采购文件的所有内容，包括澄清、修改文件（如果有）和所有已提供的参考资料以及有关附件，我方完全明白并认为此采购文件没有倾向性，也不存在排斥潜在供应商的内容，我方同意采购文件的相关条款，放弃对采购文件提出误解和质疑的一切权力</w:t>
      </w:r>
      <w:r>
        <w:rPr>
          <w:rFonts w:ascii="黑体" w:hAnsi="黑体" w:eastAsia="黑体"/>
          <w:szCs w:val="21"/>
          <w:highlight w:val="none"/>
        </w:rPr>
        <w:t>。</w:t>
      </w:r>
    </w:p>
    <w:p>
      <w:pPr>
        <w:pStyle w:val="59"/>
        <w:numPr>
          <w:ilvl w:val="0"/>
          <w:numId w:val="104"/>
        </w:numPr>
        <w:spacing w:line="360" w:lineRule="auto"/>
        <w:ind w:firstLineChars="0"/>
        <w:rPr>
          <w:rFonts w:ascii="黑体" w:hAnsi="黑体" w:eastAsia="黑体"/>
          <w:szCs w:val="21"/>
          <w:highlight w:val="none"/>
        </w:rPr>
      </w:pPr>
      <w:r>
        <w:rPr>
          <w:rFonts w:hint="eastAsia" w:ascii="黑体" w:hAnsi="黑体" w:eastAsia="黑体"/>
          <w:szCs w:val="21"/>
          <w:highlight w:val="none"/>
        </w:rPr>
        <w:t>同意并接受采购文件的各项要求，遵守采购文件中的各项规定，按采购文件的要求提供报价。</w:t>
      </w:r>
    </w:p>
    <w:p>
      <w:pPr>
        <w:pStyle w:val="59"/>
        <w:numPr>
          <w:ilvl w:val="0"/>
          <w:numId w:val="104"/>
        </w:numPr>
        <w:spacing w:line="360" w:lineRule="auto"/>
        <w:ind w:firstLineChars="0"/>
        <w:rPr>
          <w:rFonts w:ascii="黑体" w:hAnsi="黑体" w:eastAsia="黑体"/>
          <w:szCs w:val="21"/>
          <w:highlight w:val="none"/>
        </w:rPr>
      </w:pPr>
      <w:r>
        <w:rPr>
          <w:rFonts w:hint="eastAsia" w:ascii="黑体" w:hAnsi="黑体" w:eastAsia="黑体"/>
          <w:szCs w:val="21"/>
          <w:highlight w:val="none"/>
        </w:rPr>
        <w:t>本响应文件的有效期为从提交响应文件的截止之日起90日历天。如成交，有效期将延至合同终止日为止。</w:t>
      </w:r>
    </w:p>
    <w:p>
      <w:pPr>
        <w:pStyle w:val="59"/>
        <w:numPr>
          <w:ilvl w:val="0"/>
          <w:numId w:val="104"/>
        </w:numPr>
        <w:spacing w:line="360" w:lineRule="auto"/>
        <w:ind w:firstLineChars="0"/>
        <w:rPr>
          <w:rFonts w:ascii="黑体" w:hAnsi="黑体" w:eastAsia="黑体"/>
          <w:szCs w:val="21"/>
          <w:highlight w:val="none"/>
        </w:rPr>
      </w:pPr>
      <w:r>
        <w:rPr>
          <w:rFonts w:hint="eastAsia" w:ascii="黑体" w:hAnsi="黑体" w:eastAsia="黑体"/>
          <w:szCs w:val="21"/>
          <w:highlight w:val="none"/>
        </w:rPr>
        <w:t>我方已毫无保留地向贵方提供一切所需的证明材料。</w:t>
      </w:r>
    </w:p>
    <w:p>
      <w:pPr>
        <w:pStyle w:val="59"/>
        <w:numPr>
          <w:ilvl w:val="0"/>
          <w:numId w:val="104"/>
        </w:numPr>
        <w:spacing w:line="360" w:lineRule="auto"/>
        <w:ind w:firstLineChars="0"/>
        <w:rPr>
          <w:rFonts w:ascii="黑体" w:hAnsi="黑体" w:eastAsia="黑体"/>
          <w:szCs w:val="21"/>
          <w:highlight w:val="none"/>
        </w:rPr>
      </w:pPr>
      <w:r>
        <w:rPr>
          <w:rFonts w:hint="eastAsia" w:ascii="黑体" w:hAnsi="黑体" w:eastAsia="黑体"/>
          <w:szCs w:val="21"/>
          <w:highlight w:val="none"/>
        </w:rPr>
        <w:t>我方承诺在本次响应文件中提供的一切文件，无论是原件还是复印件均为真实和准确的，绝无任何虚假、伪造和夸大的成份，否则，愿承担相应的后果和法律责任。</w:t>
      </w:r>
    </w:p>
    <w:p>
      <w:pPr>
        <w:pStyle w:val="59"/>
        <w:numPr>
          <w:ilvl w:val="0"/>
          <w:numId w:val="104"/>
        </w:numPr>
        <w:spacing w:line="360" w:lineRule="auto"/>
        <w:ind w:firstLineChars="0"/>
        <w:rPr>
          <w:rFonts w:ascii="黑体" w:hAnsi="黑体" w:eastAsia="黑体"/>
          <w:szCs w:val="21"/>
          <w:highlight w:val="none"/>
        </w:rPr>
      </w:pPr>
      <w:r>
        <w:rPr>
          <w:rFonts w:ascii="黑体" w:hAnsi="黑体" w:eastAsia="黑体"/>
          <w:szCs w:val="21"/>
          <w:highlight w:val="none"/>
        </w:rPr>
        <w:t>我方如果成交，将保证履行采购文件及其澄清、修改文件（如果有）中的全部责任和义务，按质、按量、按期完成 《采购需求》及《合同书》中的全部任务。</w:t>
      </w:r>
    </w:p>
    <w:bookmarkEnd w:id="254"/>
    <w:p>
      <w:pPr>
        <w:pStyle w:val="59"/>
        <w:numPr>
          <w:ilvl w:val="0"/>
          <w:numId w:val="104"/>
        </w:numPr>
        <w:spacing w:line="360" w:lineRule="auto"/>
        <w:ind w:firstLineChars="0"/>
        <w:rPr>
          <w:rFonts w:ascii="黑体" w:hAnsi="黑体" w:eastAsia="黑体"/>
          <w:szCs w:val="21"/>
          <w:highlight w:val="none"/>
        </w:rPr>
      </w:pPr>
      <w:r>
        <w:rPr>
          <w:rFonts w:hint="eastAsia" w:ascii="黑体" w:hAnsi="黑体" w:eastAsia="黑体"/>
          <w:szCs w:val="21"/>
          <w:highlight w:val="none"/>
        </w:rPr>
        <w:t>我方同意按采购文件规定向采购代理机构缴纳采购代理服务费。</w:t>
      </w:r>
    </w:p>
    <w:p>
      <w:pPr>
        <w:pStyle w:val="59"/>
        <w:numPr>
          <w:ilvl w:val="0"/>
          <w:numId w:val="104"/>
        </w:numPr>
        <w:spacing w:line="360" w:lineRule="auto"/>
        <w:ind w:firstLineChars="0"/>
        <w:rPr>
          <w:rFonts w:ascii="黑体" w:hAnsi="黑体" w:eastAsia="黑体"/>
          <w:szCs w:val="21"/>
          <w:highlight w:val="none"/>
        </w:rPr>
      </w:pPr>
      <w:r>
        <w:rPr>
          <w:rFonts w:hint="eastAsia" w:ascii="黑体" w:hAnsi="黑体" w:eastAsia="黑体"/>
          <w:szCs w:val="21"/>
          <w:highlight w:val="none"/>
        </w:rPr>
        <w:t>所有与本项目有关的函件请发往下列地址：汕头市龙湖区黄山路65号诚融大厦8楼809号房</w:t>
      </w:r>
    </w:p>
    <w:tbl>
      <w:tblPr>
        <w:tblStyle w:val="18"/>
        <w:tblW w:w="5000" w:type="pct"/>
        <w:jc w:val="center"/>
        <w:tblLayout w:type="autofit"/>
        <w:tblCellMar>
          <w:top w:w="0" w:type="dxa"/>
          <w:left w:w="108" w:type="dxa"/>
          <w:bottom w:w="0" w:type="dxa"/>
          <w:right w:w="108" w:type="dxa"/>
        </w:tblCellMar>
      </w:tblPr>
      <w:tblGrid>
        <w:gridCol w:w="4310"/>
        <w:gridCol w:w="4311"/>
      </w:tblGrid>
      <w:tr>
        <w:tblPrEx>
          <w:tblCellMar>
            <w:top w:w="0" w:type="dxa"/>
            <w:left w:w="108" w:type="dxa"/>
            <w:bottom w:w="0" w:type="dxa"/>
            <w:right w:w="108" w:type="dxa"/>
          </w:tblCellMar>
        </w:tblPrEx>
        <w:trPr>
          <w:jc w:val="center"/>
        </w:trPr>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响应供应商地址：</w:t>
            </w:r>
            <w:r>
              <w:rPr>
                <w:rFonts w:hint="eastAsia" w:ascii="黑体" w:hAnsi="黑体" w:eastAsia="黑体"/>
                <w:szCs w:val="21"/>
                <w:highlight w:val="none"/>
                <w:u w:val="single"/>
              </w:rPr>
              <w:t xml:space="preserve">                          </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邮编：</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联系电话：</w:t>
            </w:r>
            <w:r>
              <w:rPr>
                <w:rFonts w:hint="eastAsia" w:ascii="黑体" w:hAnsi="黑体" w:eastAsia="黑体"/>
                <w:szCs w:val="21"/>
                <w:highlight w:val="none"/>
                <w:u w:val="single"/>
              </w:rPr>
              <w:t xml:space="preserve">                            </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传真：</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项目联系人：</w:t>
            </w:r>
            <w:r>
              <w:rPr>
                <w:rFonts w:hint="eastAsia" w:ascii="黑体" w:hAnsi="黑体" w:eastAsia="黑体"/>
                <w:szCs w:val="21"/>
                <w:highlight w:val="none"/>
                <w:u w:val="single"/>
              </w:rPr>
              <w:t xml:space="preserve">                          </w:t>
            </w:r>
          </w:p>
        </w:tc>
        <w:tc>
          <w:tcPr>
            <w:tcW w:w="2500" w:type="pct"/>
          </w:tcPr>
          <w:p>
            <w:pPr>
              <w:spacing w:line="360" w:lineRule="auto"/>
              <w:rPr>
                <w:rFonts w:ascii="黑体" w:hAnsi="黑体" w:eastAsia="黑体"/>
                <w:szCs w:val="21"/>
                <w:highlight w:val="none"/>
              </w:rPr>
            </w:pPr>
            <w:r>
              <w:rPr>
                <w:rFonts w:hint="eastAsia" w:ascii="黑体" w:hAnsi="黑体" w:eastAsia="黑体"/>
                <w:szCs w:val="21"/>
                <w:highlight w:val="none"/>
              </w:rPr>
              <w:t>手机：</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5000" w:type="pct"/>
            <w:gridSpan w:val="2"/>
          </w:tcPr>
          <w:p>
            <w:pPr>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5000" w:type="pct"/>
            <w:gridSpan w:val="2"/>
          </w:tcPr>
          <w:p>
            <w:pPr>
              <w:spacing w:line="360" w:lineRule="auto"/>
              <w:jc w:val="left"/>
              <w:rPr>
                <w:rFonts w:ascii="黑体" w:hAnsi="黑体" w:eastAsia="黑体"/>
                <w:szCs w:val="21"/>
                <w:highlight w:val="none"/>
              </w:rPr>
            </w:pPr>
            <w:r>
              <w:rPr>
                <w:rFonts w:hint="eastAsia" w:ascii="黑体" w:hAnsi="黑体" w:eastAsia="黑体"/>
                <w:szCs w:val="21"/>
                <w:highlight w:val="none"/>
              </w:rPr>
              <w:t>响应供应商法定代表人或被授权人（签名或盖私章）：</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5000" w:type="pct"/>
            <w:gridSpan w:val="2"/>
          </w:tcPr>
          <w:p>
            <w:pPr>
              <w:spacing w:line="360" w:lineRule="auto"/>
              <w:jc w:val="left"/>
              <w:rPr>
                <w:rFonts w:ascii="黑体" w:hAnsi="黑体" w:eastAsia="黑体"/>
                <w:szCs w:val="21"/>
                <w:highlight w:val="none"/>
              </w:rPr>
            </w:pPr>
            <w:r>
              <w:rPr>
                <w:rFonts w:hint="eastAsia" w:ascii="黑体" w:hAnsi="黑体" w:eastAsia="黑体"/>
                <w:szCs w:val="21"/>
                <w:highlight w:val="none"/>
              </w:rPr>
              <w:t>日期：</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年</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月</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hint="eastAsia" w:ascii="黑体" w:hAnsi="黑体" w:eastAsia="黑体"/>
                <w:szCs w:val="21"/>
                <w:highlight w:val="none"/>
                <w:u w:val="single"/>
              </w:rPr>
              <w:t>日</w:t>
            </w:r>
          </w:p>
        </w:tc>
      </w:tr>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55" w:name="_Toc391627758"/>
      <w:bookmarkStart w:id="256" w:name="_Toc405313962"/>
      <w:bookmarkStart w:id="257" w:name="_Toc13821089"/>
      <w:r>
        <w:rPr>
          <w:rStyle w:val="21"/>
          <w:rFonts w:hint="eastAsia" w:ascii="黑体" w:hAnsi="黑体" w:eastAsia="黑体"/>
          <w:bCs w:val="0"/>
          <w:spacing w:val="12"/>
          <w:highlight w:val="none"/>
        </w:rPr>
        <w:t>法定代表人（分公司负责人）身份证明书</w:t>
      </w:r>
      <w:bookmarkEnd w:id="255"/>
      <w:bookmarkEnd w:id="256"/>
      <w:bookmarkEnd w:id="257"/>
    </w:p>
    <w:p>
      <w:pPr>
        <w:spacing w:before="156" w:beforeLines="50" w:line="360" w:lineRule="auto"/>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法定代表人（分公司负责人）身份证明书</w:t>
      </w:r>
    </w:p>
    <w:p>
      <w:pPr>
        <w:spacing w:before="312" w:beforeLines="100" w:after="312" w:afterLines="100" w:line="360" w:lineRule="auto"/>
        <w:rPr>
          <w:rFonts w:ascii="黑体" w:hAnsi="黑体" w:eastAsia="黑体"/>
          <w:b/>
          <w:highlight w:val="none"/>
        </w:rPr>
      </w:pPr>
      <w:r>
        <w:rPr>
          <w:rFonts w:hint="eastAsia" w:ascii="黑体" w:hAnsi="黑体" w:eastAsia="黑体"/>
          <w:b/>
          <w:highlight w:val="none"/>
        </w:rPr>
        <w:t>致：广东智汇城市招标采购有限公司</w:t>
      </w:r>
    </w:p>
    <w:tbl>
      <w:tblPr>
        <w:tblStyle w:val="1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3"/>
        <w:gridCol w:w="5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黑体" w:hAnsi="黑体" w:eastAsia="黑体"/>
                <w:szCs w:val="21"/>
                <w:highlight w:val="none"/>
              </w:rPr>
            </w:pPr>
            <w:r>
              <w:rPr>
                <w:rFonts w:ascii="黑体" w:hAnsi="黑体" w:eastAsia="黑体"/>
                <w:szCs w:val="21"/>
                <w:highlight w:val="none"/>
                <w:u w:val="single"/>
              </w:rPr>
              <w:t xml:space="preserve">                 </w:t>
            </w:r>
            <w:r>
              <w:rPr>
                <w:rFonts w:hint="eastAsia" w:ascii="黑体" w:hAnsi="黑体" w:eastAsia="黑体"/>
                <w:szCs w:val="21"/>
                <w:highlight w:val="none"/>
              </w:rPr>
              <w:t>同志，现任我单位</w:t>
            </w:r>
            <w:r>
              <w:rPr>
                <w:rFonts w:ascii="黑体" w:hAnsi="黑体" w:eastAsia="黑体"/>
                <w:szCs w:val="21"/>
                <w:highlight w:val="none"/>
                <w:u w:val="single"/>
              </w:rPr>
              <w:t xml:space="preserve">               </w:t>
            </w:r>
            <w:r>
              <w:rPr>
                <w:rFonts w:hint="eastAsia" w:ascii="黑体" w:hAnsi="黑体" w:eastAsia="黑体"/>
                <w:szCs w:val="21"/>
                <w:highlight w:val="none"/>
              </w:rPr>
              <w:t>职务，为法定代表人（分公司负责人），特此证明。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r>
              <w:rPr>
                <w:rFonts w:hint="eastAsia" w:ascii="黑体" w:hAnsi="黑体" w:eastAsia="黑体"/>
                <w:szCs w:val="21"/>
                <w:highlight w:val="none"/>
              </w:rPr>
              <w:t>附：</w:t>
            </w:r>
          </w:p>
          <w:p>
            <w:pPr>
              <w:spacing w:line="360" w:lineRule="auto"/>
              <w:rPr>
                <w:rFonts w:ascii="黑体" w:hAnsi="黑体" w:eastAsia="黑体"/>
                <w:szCs w:val="21"/>
                <w:highlight w:val="none"/>
              </w:rPr>
            </w:pPr>
            <w:r>
              <w:rPr>
                <w:rFonts w:hint="eastAsia" w:ascii="黑体" w:hAnsi="黑体" w:eastAsia="黑体"/>
                <w:szCs w:val="21"/>
                <w:highlight w:val="none"/>
              </w:rPr>
              <w:t xml:space="preserve">代表人性别：    </w:t>
            </w:r>
          </w:p>
          <w:p>
            <w:pPr>
              <w:spacing w:line="360" w:lineRule="auto"/>
              <w:rPr>
                <w:rFonts w:ascii="黑体" w:hAnsi="黑体" w:eastAsia="黑体"/>
                <w:szCs w:val="21"/>
                <w:highlight w:val="none"/>
              </w:rPr>
            </w:pPr>
            <w:r>
              <w:rPr>
                <w:rFonts w:hint="eastAsia" w:ascii="黑体" w:hAnsi="黑体" w:eastAsia="黑体"/>
                <w:szCs w:val="21"/>
                <w:highlight w:val="none"/>
              </w:rPr>
              <w:t xml:space="preserve">身份证号码： </w:t>
            </w:r>
          </w:p>
          <w:p>
            <w:pPr>
              <w:spacing w:line="360" w:lineRule="auto"/>
              <w:rPr>
                <w:rFonts w:ascii="黑体" w:hAnsi="黑体" w:eastAsia="黑体"/>
                <w:szCs w:val="21"/>
                <w:highlight w:val="none"/>
              </w:rPr>
            </w:pPr>
            <w:r>
              <w:rPr>
                <w:rFonts w:hint="eastAsia" w:ascii="黑体" w:hAnsi="黑体" w:eastAsia="黑体"/>
                <w:szCs w:val="21"/>
                <w:highlight w:val="none"/>
              </w:rPr>
              <w:t xml:space="preserve">联系电话：  </w:t>
            </w:r>
          </w:p>
          <w:p>
            <w:pPr>
              <w:spacing w:line="360" w:lineRule="auto"/>
              <w:rPr>
                <w:rFonts w:ascii="黑体" w:hAnsi="黑体" w:eastAsia="黑体"/>
                <w:szCs w:val="21"/>
                <w:highlight w:val="none"/>
              </w:rPr>
            </w:pPr>
            <w:r>
              <w:rPr>
                <w:rFonts w:hint="eastAsia" w:ascii="黑体" w:hAnsi="黑体" w:eastAsia="黑体"/>
                <w:szCs w:val="21"/>
                <w:highlight w:val="none"/>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ascii="黑体" w:hAnsi="黑体" w:eastAsia="黑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黑体" w:hAnsi="黑体" w:eastAsia="黑体"/>
                <w:szCs w:val="21"/>
                <w:highlight w:val="none"/>
              </w:rPr>
            </w:pPr>
          </w:p>
        </w:tc>
        <w:tc>
          <w:tcPr>
            <w:tcW w:w="3357" w:type="pct"/>
          </w:tcPr>
          <w:p>
            <w:pPr>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ascii="黑体" w:hAnsi="黑体" w:eastAsia="黑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黑体" w:hAnsi="黑体" w:eastAsia="黑体"/>
                <w:szCs w:val="21"/>
                <w:highlight w:val="none"/>
              </w:rPr>
            </w:pPr>
          </w:p>
        </w:tc>
        <w:tc>
          <w:tcPr>
            <w:tcW w:w="3357" w:type="pct"/>
          </w:tcPr>
          <w:p>
            <w:pPr>
              <w:spacing w:line="360" w:lineRule="auto"/>
              <w:rPr>
                <w:rFonts w:ascii="黑体" w:hAnsi="黑体" w:eastAsia="黑体"/>
                <w:szCs w:val="21"/>
                <w:highlight w:val="none"/>
              </w:rPr>
            </w:pPr>
            <w:r>
              <w:rPr>
                <w:rFonts w:hint="eastAsia" w:ascii="黑体" w:hAnsi="黑体" w:eastAsia="黑体"/>
                <w:szCs w:val="21"/>
                <w:highlight w:val="none"/>
              </w:rPr>
              <w:t>法定代表人（分公司负责人）（签名或盖私章）：</w:t>
            </w:r>
            <w:r>
              <w:rPr>
                <w:rFonts w:ascii="黑体" w:hAnsi="黑体" w:eastAsia="黑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黑体" w:hAnsi="黑体" w:eastAsia="黑体"/>
                <w:szCs w:val="21"/>
                <w:highlight w:val="none"/>
              </w:rPr>
            </w:pPr>
          </w:p>
        </w:tc>
        <w:tc>
          <w:tcPr>
            <w:tcW w:w="3357" w:type="pct"/>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ascii="黑体" w:hAnsi="黑体" w:eastAsia="黑体"/>
                <w:szCs w:val="21"/>
                <w:highlight w:val="none"/>
                <w:u w:val="single"/>
              </w:rPr>
              <w:t xml:space="preserve">             年             月              日</w:t>
            </w:r>
          </w:p>
        </w:tc>
      </w:tr>
    </w:tbl>
    <w:p>
      <w:pPr>
        <w:spacing w:before="468" w:beforeLines="150" w:after="93" w:afterLines="30" w:line="360" w:lineRule="auto"/>
        <w:rPr>
          <w:rFonts w:ascii="黑体" w:hAnsi="黑体" w:eastAsia="黑体"/>
          <w:szCs w:val="21"/>
          <w:highlight w:val="none"/>
        </w:rPr>
      </w:pPr>
      <w:r>
        <w:rPr>
          <w:rFonts w:hint="eastAsia" w:ascii="黑体" w:hAnsi="黑体" w:eastAsia="黑体"/>
          <w:szCs w:val="21"/>
          <w:highlight w:val="none"/>
        </w:rPr>
        <w:t>须附：法定代表人（分公司负责人）有效期内身份证复印件</w:t>
      </w:r>
    </w:p>
    <w:tbl>
      <w:tblPr>
        <w:tblStyle w:val="18"/>
        <w:tblW w:w="8522"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4261" w:type="dxa"/>
            <w:vAlign w:val="center"/>
          </w:tcPr>
          <w:p>
            <w:pPr>
              <w:pStyle w:val="38"/>
              <w:spacing w:line="460" w:lineRule="exact"/>
              <w:ind w:firstLine="0" w:firstLineChars="0"/>
              <w:jc w:val="center"/>
              <w:rPr>
                <w:rFonts w:ascii="黑体" w:hAnsi="黑体" w:eastAsia="黑体"/>
                <w:sz w:val="22"/>
                <w:szCs w:val="22"/>
                <w:highlight w:val="none"/>
              </w:rPr>
            </w:pPr>
            <w:r>
              <w:rPr>
                <w:rFonts w:hint="eastAsia" w:ascii="黑体" w:hAnsi="黑体" w:eastAsia="黑体"/>
                <w:sz w:val="22"/>
                <w:szCs w:val="22"/>
                <w:highlight w:val="none"/>
              </w:rPr>
              <w:t>正面</w:t>
            </w:r>
          </w:p>
        </w:tc>
        <w:tc>
          <w:tcPr>
            <w:tcW w:w="4261" w:type="dxa"/>
            <w:vAlign w:val="center"/>
          </w:tcPr>
          <w:p>
            <w:pPr>
              <w:pStyle w:val="38"/>
              <w:spacing w:line="460" w:lineRule="exact"/>
              <w:ind w:firstLine="0" w:firstLineChars="0"/>
              <w:jc w:val="center"/>
              <w:rPr>
                <w:rFonts w:ascii="黑体" w:hAnsi="黑体" w:eastAsia="黑体"/>
                <w:sz w:val="22"/>
                <w:szCs w:val="22"/>
                <w:highlight w:val="none"/>
              </w:rPr>
            </w:pPr>
            <w:r>
              <w:rPr>
                <w:rFonts w:hint="eastAsia" w:ascii="黑体" w:hAnsi="黑体" w:eastAsia="黑体"/>
                <w:sz w:val="22"/>
                <w:szCs w:val="22"/>
                <w:highlight w:val="none"/>
              </w:rPr>
              <w:t>背面</w:t>
            </w:r>
          </w:p>
        </w:tc>
      </w:tr>
    </w:tbl>
    <w:p>
      <w:pPr>
        <w:rPr>
          <w:rFonts w:ascii="黑体" w:hAnsi="黑体" w:eastAsia="黑体"/>
          <w:sz w:val="28"/>
          <w:szCs w:val="28"/>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58" w:name="_Toc405313963"/>
      <w:bookmarkStart w:id="259" w:name="_Toc391627759"/>
      <w:bookmarkStart w:id="260" w:name="_Toc13821090"/>
      <w:r>
        <w:rPr>
          <w:rStyle w:val="21"/>
          <w:rFonts w:hint="eastAsia" w:ascii="黑体" w:hAnsi="黑体" w:eastAsia="黑体"/>
          <w:bCs w:val="0"/>
          <w:spacing w:val="12"/>
          <w:highlight w:val="none"/>
        </w:rPr>
        <w:t>法定代表人（分公司负责人）授权委托书</w:t>
      </w:r>
      <w:bookmarkEnd w:id="258"/>
      <w:bookmarkEnd w:id="259"/>
      <w:bookmarkEnd w:id="260"/>
    </w:p>
    <w:p>
      <w:pPr>
        <w:spacing w:before="156" w:beforeLines="50" w:line="360" w:lineRule="auto"/>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法定代表人（分公司负责人）授权委托书</w:t>
      </w:r>
    </w:p>
    <w:p>
      <w:pPr>
        <w:spacing w:before="468" w:beforeLines="150" w:after="312" w:afterLines="100" w:line="360" w:lineRule="auto"/>
        <w:rPr>
          <w:rFonts w:ascii="黑体" w:hAnsi="黑体" w:eastAsia="黑体"/>
          <w:b/>
          <w:highlight w:val="none"/>
        </w:rPr>
      </w:pPr>
      <w:r>
        <w:rPr>
          <w:rFonts w:hint="eastAsia" w:ascii="黑体" w:hAnsi="黑体" w:eastAsia="黑体"/>
          <w:b/>
          <w:highlight w:val="none"/>
        </w:rPr>
        <w:t>致：广东智汇城市招标采购有限公司</w:t>
      </w:r>
    </w:p>
    <w:p>
      <w:pPr>
        <w:pStyle w:val="38"/>
        <w:spacing w:line="360" w:lineRule="auto"/>
        <w:ind w:firstLine="450" w:firstLineChars="0"/>
        <w:rPr>
          <w:rFonts w:ascii="黑体" w:hAnsi="黑体" w:eastAsia="黑体"/>
          <w:sz w:val="21"/>
          <w:szCs w:val="21"/>
          <w:highlight w:val="none"/>
        </w:rPr>
      </w:pPr>
      <w:r>
        <w:rPr>
          <w:rFonts w:hint="eastAsia" w:ascii="黑体" w:hAnsi="黑体" w:eastAsia="黑体"/>
          <w:sz w:val="21"/>
          <w:szCs w:val="21"/>
          <w:highlight w:val="none"/>
        </w:rPr>
        <w:t>本人</w:t>
      </w:r>
      <w:r>
        <w:rPr>
          <w:rFonts w:hint="eastAsia" w:ascii="黑体" w:hAnsi="黑体" w:eastAsia="黑体"/>
          <w:sz w:val="21"/>
          <w:szCs w:val="21"/>
          <w:highlight w:val="none"/>
          <w:u w:val="single"/>
        </w:rPr>
        <w:t xml:space="preserve">   （姓名）  </w:t>
      </w:r>
      <w:r>
        <w:rPr>
          <w:rFonts w:hint="eastAsia" w:ascii="黑体" w:hAnsi="黑体" w:eastAsia="黑体"/>
          <w:sz w:val="21"/>
          <w:szCs w:val="21"/>
          <w:highlight w:val="none"/>
        </w:rPr>
        <w:t>系</w:t>
      </w:r>
      <w:r>
        <w:rPr>
          <w:rFonts w:hint="eastAsia" w:ascii="黑体" w:hAnsi="黑体" w:eastAsia="黑体"/>
          <w:sz w:val="21"/>
          <w:szCs w:val="21"/>
          <w:highlight w:val="none"/>
          <w:u w:val="single"/>
        </w:rPr>
        <w:t xml:space="preserve">     （谈判供应商名称）    </w:t>
      </w:r>
      <w:r>
        <w:rPr>
          <w:rFonts w:hint="eastAsia" w:ascii="黑体" w:hAnsi="黑体" w:eastAsia="黑体"/>
          <w:sz w:val="21"/>
          <w:szCs w:val="21"/>
          <w:highlight w:val="none"/>
        </w:rPr>
        <w:t>的法定代表人（分公司负责人），现委托</w:t>
      </w:r>
      <w:r>
        <w:rPr>
          <w:rFonts w:hint="eastAsia" w:ascii="黑体" w:hAnsi="黑体" w:eastAsia="黑体"/>
          <w:sz w:val="21"/>
          <w:szCs w:val="21"/>
          <w:highlight w:val="none"/>
          <w:u w:val="single"/>
        </w:rPr>
        <w:t xml:space="preserve"> （姓名） </w:t>
      </w:r>
      <w:r>
        <w:rPr>
          <w:rFonts w:hint="eastAsia" w:ascii="黑体" w:hAnsi="黑体" w:eastAsia="黑体"/>
          <w:sz w:val="21"/>
          <w:szCs w:val="21"/>
          <w:highlight w:val="none"/>
        </w:rPr>
        <w:t>为我方合法代理人。代理人根据授权，以我方名义签署、澄清、说明、补正、递交、撤回、修改</w:t>
      </w:r>
      <w:r>
        <w:rPr>
          <w:rFonts w:hint="eastAsia" w:ascii="黑体" w:hAnsi="黑体" w:eastAsia="黑体"/>
          <w:sz w:val="21"/>
          <w:szCs w:val="21"/>
          <w:highlight w:val="none"/>
          <w:u w:val="single"/>
        </w:rPr>
        <w:t xml:space="preserve">          （项目名称）      </w:t>
      </w:r>
      <w:r>
        <w:rPr>
          <w:rFonts w:hint="eastAsia" w:ascii="黑体" w:hAnsi="黑体" w:eastAsia="黑体"/>
          <w:sz w:val="21"/>
          <w:szCs w:val="21"/>
          <w:highlight w:val="none"/>
        </w:rPr>
        <w:t>（项目编号：</w:t>
      </w:r>
      <w:r>
        <w:rPr>
          <w:rFonts w:hint="eastAsia" w:ascii="黑体" w:hAnsi="黑体" w:eastAsia="黑体"/>
          <w:sz w:val="21"/>
          <w:szCs w:val="21"/>
          <w:highlight w:val="none"/>
          <w:u w:val="single"/>
        </w:rPr>
        <w:t>　　     　</w:t>
      </w:r>
      <w:r>
        <w:rPr>
          <w:rFonts w:hint="eastAsia" w:ascii="黑体" w:hAnsi="黑体" w:eastAsia="黑体"/>
          <w:sz w:val="21"/>
          <w:szCs w:val="21"/>
          <w:highlight w:val="none"/>
        </w:rPr>
        <w:t>）响应文件、签订合同和处理有关事宜，其法律后果由我方承担。</w:t>
      </w:r>
    </w:p>
    <w:p>
      <w:pPr>
        <w:pStyle w:val="38"/>
        <w:spacing w:line="360" w:lineRule="auto"/>
        <w:ind w:firstLine="428" w:firstLineChars="204"/>
        <w:rPr>
          <w:rFonts w:ascii="黑体" w:hAnsi="黑体" w:eastAsia="黑体"/>
          <w:sz w:val="21"/>
          <w:szCs w:val="21"/>
          <w:highlight w:val="none"/>
        </w:rPr>
      </w:pPr>
      <w:r>
        <w:rPr>
          <w:rFonts w:hint="eastAsia" w:ascii="黑体" w:hAnsi="黑体" w:eastAsia="黑体"/>
          <w:sz w:val="21"/>
          <w:szCs w:val="21"/>
          <w:highlight w:val="none"/>
        </w:rPr>
        <w:t>本委托书于</w:t>
      </w:r>
      <w:r>
        <w:rPr>
          <w:rFonts w:hint="eastAsia" w:ascii="黑体" w:hAnsi="黑体" w:eastAsia="黑体"/>
          <w:sz w:val="21"/>
          <w:szCs w:val="21"/>
          <w:highlight w:val="none"/>
          <w:u w:val="single"/>
        </w:rPr>
        <w:t xml:space="preserve">　    </w:t>
      </w:r>
      <w:r>
        <w:rPr>
          <w:rFonts w:hint="eastAsia" w:ascii="黑体" w:hAnsi="黑体" w:eastAsia="黑体"/>
          <w:sz w:val="21"/>
          <w:szCs w:val="21"/>
          <w:highlight w:val="none"/>
        </w:rPr>
        <w:t>年</w:t>
      </w:r>
      <w:r>
        <w:rPr>
          <w:rFonts w:hint="eastAsia" w:ascii="黑体" w:hAnsi="黑体" w:eastAsia="黑体"/>
          <w:sz w:val="21"/>
          <w:szCs w:val="21"/>
          <w:highlight w:val="none"/>
          <w:u w:val="single"/>
        </w:rPr>
        <w:t xml:space="preserve">　 </w:t>
      </w:r>
      <w:r>
        <w:rPr>
          <w:rFonts w:hint="eastAsia" w:ascii="黑体" w:hAnsi="黑体" w:eastAsia="黑体"/>
          <w:sz w:val="21"/>
          <w:szCs w:val="21"/>
          <w:highlight w:val="none"/>
        </w:rPr>
        <w:t>月</w:t>
      </w:r>
      <w:r>
        <w:rPr>
          <w:rFonts w:hint="eastAsia" w:ascii="黑体" w:hAnsi="黑体" w:eastAsia="黑体"/>
          <w:sz w:val="21"/>
          <w:szCs w:val="21"/>
          <w:highlight w:val="none"/>
          <w:u w:val="single"/>
        </w:rPr>
        <w:t xml:space="preserve">　 </w:t>
      </w:r>
      <w:r>
        <w:rPr>
          <w:rFonts w:hint="eastAsia" w:ascii="黑体" w:hAnsi="黑体" w:eastAsia="黑体"/>
          <w:sz w:val="21"/>
          <w:szCs w:val="21"/>
          <w:highlight w:val="none"/>
        </w:rPr>
        <w:t>日签字生效，特此证明。</w:t>
      </w:r>
    </w:p>
    <w:p>
      <w:pPr>
        <w:pStyle w:val="38"/>
        <w:spacing w:line="360" w:lineRule="auto"/>
        <w:ind w:firstLine="428" w:firstLineChars="204"/>
        <w:rPr>
          <w:rFonts w:ascii="黑体" w:hAnsi="黑体" w:eastAsia="黑体"/>
          <w:sz w:val="21"/>
          <w:szCs w:val="21"/>
          <w:highlight w:val="none"/>
        </w:rPr>
      </w:pPr>
      <w:r>
        <w:rPr>
          <w:rFonts w:hint="eastAsia" w:ascii="黑体" w:hAnsi="黑体" w:eastAsia="黑体"/>
          <w:sz w:val="21"/>
          <w:szCs w:val="21"/>
          <w:highlight w:val="none"/>
        </w:rPr>
        <w:t>受委托人无转委托权。</w:t>
      </w:r>
    </w:p>
    <w:p>
      <w:pPr>
        <w:pStyle w:val="38"/>
        <w:spacing w:line="360" w:lineRule="auto"/>
        <w:ind w:firstLine="0" w:firstLineChars="0"/>
        <w:rPr>
          <w:rFonts w:ascii="黑体" w:hAnsi="黑体" w:eastAsia="黑体"/>
          <w:sz w:val="21"/>
          <w:szCs w:val="21"/>
          <w:highlight w:val="none"/>
        </w:rPr>
      </w:pPr>
    </w:p>
    <w:p>
      <w:pPr>
        <w:pStyle w:val="38"/>
        <w:spacing w:line="360" w:lineRule="auto"/>
        <w:ind w:firstLine="0" w:firstLineChars="0"/>
        <w:rPr>
          <w:rFonts w:ascii="黑体" w:hAnsi="黑体" w:eastAsia="黑体"/>
          <w:sz w:val="21"/>
          <w:szCs w:val="21"/>
          <w:highlight w:val="none"/>
        </w:rPr>
      </w:pPr>
    </w:p>
    <w:tbl>
      <w:tblPr>
        <w:tblStyle w:val="18"/>
        <w:tblW w:w="0" w:type="auto"/>
        <w:tblInd w:w="0" w:type="dxa"/>
        <w:tblLayout w:type="autofit"/>
        <w:tblCellMar>
          <w:top w:w="0" w:type="dxa"/>
          <w:left w:w="108" w:type="dxa"/>
          <w:bottom w:w="0" w:type="dxa"/>
          <w:right w:w="108" w:type="dxa"/>
        </w:tblCellMar>
      </w:tblPr>
      <w:tblGrid>
        <w:gridCol w:w="2802"/>
        <w:gridCol w:w="5726"/>
      </w:tblGrid>
      <w:tr>
        <w:tblPrEx>
          <w:tblCellMar>
            <w:top w:w="0" w:type="dxa"/>
            <w:left w:w="108" w:type="dxa"/>
            <w:bottom w:w="0" w:type="dxa"/>
            <w:right w:w="108" w:type="dxa"/>
          </w:tblCellMar>
        </w:tblPrEx>
        <w:tc>
          <w:tcPr>
            <w:tcW w:w="2802" w:type="dxa"/>
          </w:tcPr>
          <w:p>
            <w:pPr>
              <w:pStyle w:val="38"/>
              <w:spacing w:line="360" w:lineRule="auto"/>
              <w:ind w:firstLine="0" w:firstLineChars="0"/>
              <w:rPr>
                <w:rFonts w:ascii="黑体" w:hAnsi="黑体" w:eastAsia="黑体"/>
                <w:sz w:val="21"/>
                <w:szCs w:val="21"/>
                <w:highlight w:val="none"/>
              </w:rPr>
            </w:pPr>
          </w:p>
        </w:tc>
        <w:tc>
          <w:tcPr>
            <w:tcW w:w="5726" w:type="dxa"/>
          </w:tcPr>
          <w:p>
            <w:pPr>
              <w:spacing w:line="360" w:lineRule="auto"/>
              <w:rPr>
                <w:rFonts w:ascii="黑体" w:hAnsi="黑体" w:eastAsia="黑体"/>
                <w:szCs w:val="21"/>
                <w:highlight w:val="none"/>
              </w:rPr>
            </w:pPr>
            <w:r>
              <w:rPr>
                <w:rFonts w:hint="eastAsia" w:ascii="黑体" w:hAnsi="黑体" w:eastAsia="黑体"/>
                <w:szCs w:val="21"/>
                <w:highlight w:val="none"/>
              </w:rPr>
              <w:t>谈判供应商名称（加盖公章）：</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黑体" w:hAnsi="黑体" w:eastAsia="黑体"/>
                <w:sz w:val="21"/>
                <w:szCs w:val="21"/>
                <w:highlight w:val="none"/>
              </w:rPr>
            </w:pPr>
          </w:p>
        </w:tc>
        <w:tc>
          <w:tcPr>
            <w:tcW w:w="5726" w:type="dxa"/>
          </w:tcPr>
          <w:p>
            <w:pPr>
              <w:spacing w:line="360" w:lineRule="auto"/>
              <w:rPr>
                <w:rFonts w:ascii="黑体" w:hAnsi="黑体" w:eastAsia="黑体"/>
                <w:szCs w:val="21"/>
                <w:highlight w:val="none"/>
              </w:rPr>
            </w:pPr>
            <w:r>
              <w:rPr>
                <w:rFonts w:hint="eastAsia" w:ascii="黑体" w:hAnsi="黑体" w:eastAsia="黑体"/>
                <w:szCs w:val="21"/>
                <w:highlight w:val="none"/>
              </w:rPr>
              <w:t>法定代表人（分公司负责人）（签名或盖私章）：</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黑体" w:hAnsi="黑体" w:eastAsia="黑体"/>
                <w:sz w:val="21"/>
                <w:szCs w:val="21"/>
                <w:highlight w:val="none"/>
              </w:rPr>
            </w:pPr>
          </w:p>
        </w:tc>
        <w:tc>
          <w:tcPr>
            <w:tcW w:w="5726" w:type="dxa"/>
          </w:tcPr>
          <w:p>
            <w:pPr>
              <w:spacing w:line="360" w:lineRule="auto"/>
              <w:rPr>
                <w:rFonts w:ascii="黑体" w:hAnsi="黑体" w:eastAsia="黑体"/>
                <w:szCs w:val="21"/>
                <w:highlight w:val="none"/>
              </w:rPr>
            </w:pPr>
            <w:r>
              <w:rPr>
                <w:rFonts w:hint="eastAsia" w:ascii="黑体" w:hAnsi="黑体" w:eastAsia="黑体"/>
                <w:szCs w:val="21"/>
                <w:highlight w:val="none"/>
              </w:rPr>
              <w:t>身份证号码：</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黑体" w:hAnsi="黑体" w:eastAsia="黑体"/>
                <w:sz w:val="21"/>
                <w:szCs w:val="21"/>
                <w:highlight w:val="none"/>
              </w:rPr>
            </w:pPr>
          </w:p>
        </w:tc>
        <w:tc>
          <w:tcPr>
            <w:tcW w:w="5726" w:type="dxa"/>
          </w:tcPr>
          <w:p>
            <w:pPr>
              <w:spacing w:line="360" w:lineRule="auto"/>
              <w:rPr>
                <w:rFonts w:ascii="黑体" w:hAnsi="黑体" w:eastAsia="黑体"/>
                <w:szCs w:val="21"/>
                <w:highlight w:val="none"/>
              </w:rPr>
            </w:pPr>
            <w:r>
              <w:rPr>
                <w:rFonts w:hint="eastAsia" w:ascii="黑体" w:hAnsi="黑体" w:eastAsia="黑体"/>
                <w:szCs w:val="21"/>
                <w:highlight w:val="none"/>
              </w:rPr>
              <w:t>被授权人（签名或盖私章）：</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黑体" w:hAnsi="黑体" w:eastAsia="黑体"/>
                <w:sz w:val="21"/>
                <w:szCs w:val="21"/>
                <w:highlight w:val="none"/>
              </w:rPr>
            </w:pPr>
          </w:p>
        </w:tc>
        <w:tc>
          <w:tcPr>
            <w:tcW w:w="5726" w:type="dxa"/>
          </w:tcPr>
          <w:p>
            <w:pPr>
              <w:spacing w:line="360" w:lineRule="auto"/>
              <w:rPr>
                <w:rFonts w:ascii="黑体" w:hAnsi="黑体" w:eastAsia="黑体"/>
                <w:szCs w:val="21"/>
                <w:highlight w:val="none"/>
              </w:rPr>
            </w:pPr>
            <w:r>
              <w:rPr>
                <w:rFonts w:hint="eastAsia" w:ascii="黑体" w:hAnsi="黑体" w:eastAsia="黑体"/>
                <w:szCs w:val="21"/>
                <w:highlight w:val="none"/>
              </w:rPr>
              <w:t>身份证号码：</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c>
          <w:tcPr>
            <w:tcW w:w="2802" w:type="dxa"/>
          </w:tcPr>
          <w:p>
            <w:pPr>
              <w:pStyle w:val="38"/>
              <w:spacing w:line="360" w:lineRule="auto"/>
              <w:ind w:firstLine="0" w:firstLineChars="0"/>
              <w:rPr>
                <w:rFonts w:ascii="黑体" w:hAnsi="黑体" w:eastAsia="黑体"/>
                <w:sz w:val="21"/>
                <w:szCs w:val="21"/>
                <w:highlight w:val="none"/>
              </w:rPr>
            </w:pPr>
          </w:p>
        </w:tc>
        <w:tc>
          <w:tcPr>
            <w:tcW w:w="5726"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r>
    </w:tbl>
    <w:p>
      <w:pPr>
        <w:pStyle w:val="38"/>
        <w:spacing w:line="360" w:lineRule="auto"/>
        <w:ind w:firstLine="0" w:firstLineChars="0"/>
        <w:rPr>
          <w:rFonts w:ascii="黑体" w:hAnsi="黑体" w:eastAsia="黑体"/>
          <w:sz w:val="21"/>
          <w:szCs w:val="21"/>
          <w:highlight w:val="none"/>
        </w:rPr>
      </w:pPr>
    </w:p>
    <w:p>
      <w:pPr>
        <w:pStyle w:val="38"/>
        <w:spacing w:line="360" w:lineRule="auto"/>
        <w:ind w:firstLine="0" w:firstLineChars="0"/>
        <w:rPr>
          <w:rFonts w:ascii="黑体" w:hAnsi="黑体" w:eastAsia="黑体"/>
          <w:sz w:val="21"/>
          <w:szCs w:val="21"/>
          <w:highlight w:val="none"/>
        </w:rPr>
      </w:pPr>
    </w:p>
    <w:p>
      <w:pPr>
        <w:spacing w:after="156" w:afterLines="50" w:line="360" w:lineRule="auto"/>
        <w:rPr>
          <w:rFonts w:ascii="黑体" w:hAnsi="黑体" w:eastAsia="黑体"/>
          <w:szCs w:val="21"/>
          <w:highlight w:val="none"/>
        </w:rPr>
      </w:pPr>
      <w:r>
        <w:rPr>
          <w:rFonts w:hint="eastAsia" w:ascii="黑体" w:hAnsi="黑体" w:eastAsia="黑体"/>
          <w:szCs w:val="21"/>
          <w:highlight w:val="none"/>
        </w:rPr>
        <w:t>须附：授权委托人有效期内身份证复印件</w:t>
      </w:r>
    </w:p>
    <w:tbl>
      <w:tblPr>
        <w:tblStyle w:val="18"/>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10"/>
        <w:gridCol w:w="431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pPr>
              <w:pStyle w:val="38"/>
              <w:spacing w:line="460" w:lineRule="exact"/>
              <w:ind w:firstLine="0" w:firstLineChars="0"/>
              <w:jc w:val="center"/>
              <w:rPr>
                <w:rFonts w:ascii="黑体" w:hAnsi="黑体" w:eastAsia="黑体"/>
                <w:sz w:val="21"/>
                <w:szCs w:val="21"/>
                <w:highlight w:val="none"/>
              </w:rPr>
            </w:pPr>
            <w:r>
              <w:rPr>
                <w:rFonts w:hint="eastAsia" w:ascii="黑体" w:hAnsi="黑体" w:eastAsia="黑体"/>
                <w:sz w:val="21"/>
                <w:szCs w:val="21"/>
                <w:highlight w:val="none"/>
              </w:rPr>
              <w:t>正面</w:t>
            </w:r>
          </w:p>
        </w:tc>
        <w:tc>
          <w:tcPr>
            <w:tcW w:w="2500" w:type="pct"/>
            <w:vAlign w:val="center"/>
          </w:tcPr>
          <w:p>
            <w:pPr>
              <w:pStyle w:val="38"/>
              <w:spacing w:line="460" w:lineRule="exact"/>
              <w:ind w:firstLine="0" w:firstLineChars="0"/>
              <w:jc w:val="center"/>
              <w:rPr>
                <w:rFonts w:ascii="黑体" w:hAnsi="黑体" w:eastAsia="黑体"/>
                <w:sz w:val="21"/>
                <w:szCs w:val="21"/>
                <w:highlight w:val="none"/>
              </w:rPr>
            </w:pPr>
            <w:r>
              <w:rPr>
                <w:rFonts w:hint="eastAsia" w:ascii="黑体" w:hAnsi="黑体" w:eastAsia="黑体"/>
                <w:sz w:val="21"/>
                <w:szCs w:val="21"/>
                <w:highlight w:val="none"/>
              </w:rPr>
              <w:t>背面</w:t>
            </w:r>
          </w:p>
        </w:tc>
      </w:tr>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61" w:name="_Toc13821096"/>
      <w:bookmarkStart w:id="262" w:name="_Toc405313969"/>
      <w:bookmarkStart w:id="263" w:name="_Toc391627764"/>
      <w:bookmarkStart w:id="264" w:name="_Toc405313964"/>
      <w:bookmarkStart w:id="265" w:name="_Toc391627760"/>
      <w:bookmarkStart w:id="266" w:name="_Toc13821091"/>
      <w:r>
        <w:rPr>
          <w:rStyle w:val="21"/>
          <w:rFonts w:hint="eastAsia" w:ascii="黑体" w:hAnsi="黑体" w:eastAsia="黑体"/>
          <w:bCs w:val="0"/>
          <w:spacing w:val="12"/>
          <w:highlight w:val="none"/>
        </w:rPr>
        <w:t>资格</w:t>
      </w:r>
      <w:bookmarkEnd w:id="261"/>
      <w:bookmarkEnd w:id="262"/>
      <w:bookmarkEnd w:id="263"/>
      <w:r>
        <w:rPr>
          <w:rStyle w:val="21"/>
          <w:rFonts w:hint="eastAsia" w:ascii="黑体" w:hAnsi="黑体" w:eastAsia="黑体"/>
          <w:bCs w:val="0"/>
          <w:spacing w:val="12"/>
          <w:highlight w:val="none"/>
        </w:rPr>
        <w:t>声明函</w:t>
      </w:r>
    </w:p>
    <w:p>
      <w:pPr>
        <w:spacing w:before="156" w:beforeLines="50" w:after="312" w:afterLines="100" w:line="360" w:lineRule="auto"/>
        <w:jc w:val="center"/>
        <w:rPr>
          <w:rFonts w:ascii="黑体" w:hAnsi="黑体" w:eastAsia="黑体"/>
          <w:b/>
          <w:spacing w:val="20"/>
          <w:sz w:val="30"/>
          <w:szCs w:val="30"/>
          <w:highlight w:val="none"/>
        </w:rPr>
      </w:pPr>
      <w:bookmarkStart w:id="267" w:name="_Toc391627766"/>
      <w:bookmarkStart w:id="268" w:name="_Toc13821097"/>
      <w:bookmarkStart w:id="269" w:name="_Toc405313970"/>
      <w:r>
        <w:rPr>
          <w:rFonts w:hint="eastAsia" w:ascii="黑体" w:hAnsi="黑体" w:eastAsia="黑体"/>
          <w:b/>
          <w:spacing w:val="20"/>
          <w:sz w:val="30"/>
          <w:szCs w:val="30"/>
          <w:highlight w:val="none"/>
        </w:rPr>
        <w:t>资格声明函</w:t>
      </w:r>
    </w:p>
    <w:p>
      <w:pPr>
        <w:adjustRightInd w:val="0"/>
        <w:snapToGrid w:val="0"/>
        <w:spacing w:after="156" w:afterLines="50" w:line="360" w:lineRule="auto"/>
        <w:rPr>
          <w:rFonts w:ascii="黑体" w:hAnsi="黑体" w:eastAsia="黑体"/>
          <w:b/>
          <w:szCs w:val="21"/>
          <w:highlight w:val="none"/>
        </w:rPr>
      </w:pPr>
      <w:r>
        <w:rPr>
          <w:rFonts w:hint="eastAsia" w:ascii="黑体" w:hAnsi="黑体" w:eastAsia="黑体"/>
          <w:b/>
          <w:szCs w:val="21"/>
          <w:highlight w:val="none"/>
        </w:rPr>
        <w:t>广东智汇城市招标采购有限公司：</w:t>
      </w:r>
    </w:p>
    <w:p>
      <w:pPr>
        <w:adjustRightInd w:val="0"/>
        <w:snapToGrid w:val="0"/>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 xml:space="preserve">关于贵公司 </w:t>
      </w:r>
      <w:r>
        <w:rPr>
          <w:rFonts w:hint="eastAsia" w:ascii="黑体" w:hAnsi="黑体" w:eastAsia="黑体"/>
          <w:szCs w:val="21"/>
          <w:highlight w:val="none"/>
          <w:u w:val="single"/>
        </w:rPr>
        <w:t xml:space="preserve">     </w:t>
      </w:r>
      <w:r>
        <w:rPr>
          <w:rFonts w:hint="eastAsia" w:ascii="黑体" w:hAnsi="黑体" w:eastAsia="黑体"/>
          <w:szCs w:val="21"/>
          <w:highlight w:val="none"/>
        </w:rPr>
        <w:t>年</w:t>
      </w:r>
      <w:r>
        <w:rPr>
          <w:rFonts w:hint="eastAsia" w:ascii="黑体" w:hAnsi="黑体" w:eastAsia="黑体"/>
          <w:szCs w:val="21"/>
          <w:highlight w:val="none"/>
          <w:u w:val="single"/>
        </w:rPr>
        <w:t xml:space="preserve">      </w:t>
      </w:r>
      <w:r>
        <w:rPr>
          <w:rFonts w:hint="eastAsia" w:ascii="黑体" w:hAnsi="黑体" w:eastAsia="黑体"/>
          <w:szCs w:val="21"/>
          <w:highlight w:val="none"/>
        </w:rPr>
        <w:t>月</w:t>
      </w:r>
      <w:r>
        <w:rPr>
          <w:rFonts w:hint="eastAsia" w:ascii="黑体" w:hAnsi="黑体" w:eastAsia="黑体"/>
          <w:szCs w:val="21"/>
          <w:highlight w:val="none"/>
          <w:u w:val="single"/>
        </w:rPr>
        <w:t xml:space="preserve">     </w:t>
      </w:r>
      <w:r>
        <w:rPr>
          <w:rFonts w:hint="eastAsia" w:ascii="黑体" w:hAnsi="黑体" w:eastAsia="黑体"/>
          <w:szCs w:val="21"/>
          <w:highlight w:val="none"/>
        </w:rPr>
        <w:t>日发布</w:t>
      </w:r>
      <w:r>
        <w:rPr>
          <w:rFonts w:hint="eastAsia" w:ascii="黑体" w:hAnsi="黑体" w:eastAsia="黑体"/>
          <w:szCs w:val="21"/>
          <w:highlight w:val="none"/>
          <w:u w:val="single"/>
        </w:rPr>
        <w:t xml:space="preserve">               </w:t>
      </w:r>
      <w:r>
        <w:rPr>
          <w:rFonts w:hint="eastAsia" w:ascii="黑体" w:hAnsi="黑体" w:eastAsia="黑体"/>
          <w:szCs w:val="21"/>
          <w:highlight w:val="none"/>
        </w:rPr>
        <w:t>项目（项目编号：</w:t>
      </w:r>
      <w:r>
        <w:rPr>
          <w:rFonts w:hint="eastAsia" w:ascii="黑体" w:hAnsi="黑体" w:eastAsia="黑体"/>
          <w:szCs w:val="21"/>
          <w:highlight w:val="none"/>
          <w:u w:val="single"/>
        </w:rPr>
        <w:t xml:space="preserve">           </w:t>
      </w:r>
      <w:r>
        <w:rPr>
          <w:rFonts w:hint="eastAsia" w:ascii="黑体" w:hAnsi="黑体" w:eastAsia="黑体"/>
          <w:szCs w:val="21"/>
          <w:highlight w:val="none"/>
        </w:rPr>
        <w:t>）的采购公告，本公司（企业）愿意参加谈判，并声明：</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本单位具有依法缴纳税收和社会保障资金的良好记录。</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本单位具有良好的商业信誉和健全的财务会计制度。</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本单位具有履行合同所必需的设备和专业技术能力。</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本单位具备法律、行政法规规定的其他条件。</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本单位承诺单位负责人为同一人或者存在直接控股、管理关系的不同供应商，不得同时参加本采购项目（或采购包）投标。</w:t>
      </w:r>
    </w:p>
    <w:p>
      <w:pPr>
        <w:numPr>
          <w:ilvl w:val="0"/>
          <w:numId w:val="105"/>
        </w:numPr>
        <w:adjustRightInd w:val="0"/>
        <w:snapToGrid w:val="0"/>
        <w:spacing w:line="360" w:lineRule="auto"/>
        <w:rPr>
          <w:rFonts w:ascii="黑体" w:hAnsi="黑体" w:eastAsia="黑体" w:cs="Times New Roman"/>
          <w:szCs w:val="21"/>
          <w:highlight w:val="none"/>
        </w:rPr>
      </w:pPr>
      <w:r>
        <w:rPr>
          <w:rFonts w:hint="eastAsia" w:ascii="黑体" w:hAnsi="黑体" w:eastAsia="黑体" w:cs="Times New Roman"/>
          <w:szCs w:val="21"/>
          <w:highlight w:val="none"/>
        </w:rPr>
        <w:t>本单位承诺为本项目提供整体设计、规范编制或者项目管理、监理、检测等服务的供应商，不得再参与本项目投标。</w:t>
      </w:r>
    </w:p>
    <w:p>
      <w:pPr>
        <w:adjustRightInd w:val="0"/>
        <w:snapToGrid w:val="0"/>
        <w:spacing w:line="360" w:lineRule="auto"/>
        <w:ind w:firstLine="420"/>
        <w:rPr>
          <w:rFonts w:ascii="黑体" w:hAnsi="黑体" w:eastAsia="黑体" w:cs="Times New Roman"/>
          <w:szCs w:val="21"/>
          <w:highlight w:val="none"/>
        </w:rPr>
      </w:pPr>
      <w:r>
        <w:rPr>
          <w:rFonts w:hint="eastAsia" w:ascii="黑体" w:hAnsi="黑体" w:eastAsia="黑体" w:cs="Times New Roman"/>
          <w:szCs w:val="21"/>
          <w:highlight w:val="none"/>
        </w:rPr>
        <w:t>本单位承诺在本次采购活动中，如有违法、违规、弄虚作假行为，所造成的损失、不良后果及法律责任，一律由本单位承担。</w:t>
      </w:r>
    </w:p>
    <w:p>
      <w:pPr>
        <w:adjustRightInd w:val="0"/>
        <w:snapToGrid w:val="0"/>
        <w:spacing w:line="360" w:lineRule="auto"/>
        <w:ind w:firstLine="420"/>
        <w:rPr>
          <w:rFonts w:ascii="黑体" w:hAnsi="黑体" w:eastAsia="黑体" w:cs="Times New Roman"/>
          <w:szCs w:val="21"/>
          <w:highlight w:val="none"/>
        </w:rPr>
      </w:pPr>
      <w:r>
        <w:rPr>
          <w:rFonts w:hint="eastAsia" w:ascii="黑体" w:hAnsi="黑体" w:eastAsia="黑体" w:cs="Times New Roman"/>
          <w:szCs w:val="21"/>
          <w:highlight w:val="none"/>
        </w:rPr>
        <w:t>特此声明！</w:t>
      </w:r>
    </w:p>
    <w:p>
      <w:pPr>
        <w:adjustRightInd w:val="0"/>
        <w:snapToGrid w:val="0"/>
        <w:spacing w:before="312" w:beforeLines="100" w:line="360" w:lineRule="auto"/>
        <w:ind w:firstLine="420"/>
        <w:rPr>
          <w:rFonts w:ascii="黑体" w:hAnsi="黑体" w:eastAsia="黑体"/>
          <w:b/>
          <w:szCs w:val="21"/>
          <w:highlight w:val="none"/>
        </w:rPr>
      </w:pPr>
      <w:r>
        <w:rPr>
          <w:rFonts w:hint="eastAsia" w:ascii="黑体" w:hAnsi="黑体" w:eastAsia="黑体"/>
          <w:b/>
          <w:szCs w:val="21"/>
          <w:highlight w:val="none"/>
        </w:rPr>
        <w:t>备注：1.本声明函必须提供且内容不得擅自删改，否则视为无效响应。</w:t>
      </w:r>
    </w:p>
    <w:p>
      <w:pPr>
        <w:adjustRightInd w:val="0"/>
        <w:snapToGrid w:val="0"/>
        <w:spacing w:line="360" w:lineRule="auto"/>
        <w:ind w:firstLine="1138" w:firstLineChars="540"/>
        <w:rPr>
          <w:rFonts w:ascii="黑体" w:hAnsi="黑体" w:eastAsia="黑体"/>
          <w:b/>
          <w:szCs w:val="21"/>
          <w:highlight w:val="none"/>
        </w:rPr>
      </w:pPr>
      <w:r>
        <w:rPr>
          <w:rFonts w:ascii="黑体" w:hAnsi="黑体" w:eastAsia="黑体"/>
          <w:b/>
          <w:szCs w:val="21"/>
          <w:highlight w:val="none"/>
        </w:rPr>
        <w:t>2.本</w:t>
      </w:r>
      <w:bookmarkStart w:id="270" w:name="_Hlk20518506"/>
      <w:r>
        <w:rPr>
          <w:rFonts w:ascii="黑体" w:hAnsi="黑体" w:eastAsia="黑体"/>
          <w:b/>
          <w:szCs w:val="21"/>
          <w:highlight w:val="none"/>
        </w:rPr>
        <w:t>声明</w:t>
      </w:r>
      <w:bookmarkEnd w:id="270"/>
      <w:r>
        <w:rPr>
          <w:rFonts w:ascii="黑体" w:hAnsi="黑体" w:eastAsia="黑体"/>
          <w:b/>
          <w:szCs w:val="21"/>
          <w:highlight w:val="none"/>
        </w:rPr>
        <w:t>函如有虚假或与事实不符的，作无效响应处理。</w:t>
      </w:r>
    </w:p>
    <w:p>
      <w:pPr>
        <w:adjustRightInd w:val="0"/>
        <w:snapToGrid w:val="0"/>
        <w:spacing w:after="156" w:afterLines="50" w:line="360" w:lineRule="auto"/>
        <w:jc w:val="left"/>
        <w:rPr>
          <w:rFonts w:ascii="黑体" w:hAnsi="黑体" w:eastAsia="黑体"/>
          <w:b/>
          <w:szCs w:val="21"/>
          <w:highlight w:val="none"/>
        </w:rPr>
      </w:pPr>
    </w:p>
    <w:p>
      <w:pPr>
        <w:adjustRightInd w:val="0"/>
        <w:snapToGrid w:val="0"/>
        <w:spacing w:after="156" w:afterLines="50" w:line="360" w:lineRule="auto"/>
        <w:jc w:val="left"/>
        <w:rPr>
          <w:rFonts w:ascii="黑体" w:hAnsi="黑体" w:eastAsia="黑体"/>
          <w:b/>
          <w:szCs w:val="21"/>
          <w:highlight w:val="none"/>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49" w:type="dxa"/>
          </w:tcPr>
          <w:p>
            <w:pPr>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ascii="黑体" w:hAnsi="黑体" w:eastAsia="黑体"/>
                <w:szCs w:val="21"/>
                <w:highlight w:val="none"/>
                <w:u w:val="single"/>
              </w:rPr>
              <w:t xml:space="preserve">                         </w:t>
            </w:r>
          </w:p>
        </w:tc>
        <w:tc>
          <w:tcPr>
            <w:tcW w:w="3173" w:type="dxa"/>
          </w:tcPr>
          <w:p>
            <w:pPr>
              <w:spacing w:line="360" w:lineRule="auto"/>
              <w:rPr>
                <w:rFonts w:ascii="黑体" w:hAnsi="黑体" w:eastAsia="黑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ascii="黑体" w:hAnsi="黑体" w:eastAsia="黑体"/>
                <w:szCs w:val="21"/>
                <w:highlight w:val="none"/>
                <w:u w:val="single"/>
              </w:rPr>
              <w:t xml:space="preserve">             年           月            日</w:t>
            </w:r>
          </w:p>
        </w:tc>
        <w:tc>
          <w:tcPr>
            <w:tcW w:w="3173" w:type="dxa"/>
          </w:tcPr>
          <w:p>
            <w:pPr>
              <w:spacing w:line="360" w:lineRule="auto"/>
              <w:rPr>
                <w:rFonts w:ascii="黑体" w:hAnsi="黑体" w:eastAsia="黑体"/>
                <w:szCs w:val="21"/>
                <w:highlight w:val="none"/>
              </w:rPr>
            </w:pPr>
          </w:p>
        </w:tc>
      </w:tr>
      <w:bookmarkEnd w:id="267"/>
      <w:bookmarkEnd w:id="268"/>
      <w:bookmarkEnd w:id="269"/>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r>
        <w:rPr>
          <w:rStyle w:val="21"/>
          <w:rFonts w:hint="eastAsia" w:ascii="黑体" w:hAnsi="黑体" w:eastAsia="黑体"/>
          <w:bCs w:val="0"/>
          <w:spacing w:val="12"/>
          <w:highlight w:val="none"/>
        </w:rPr>
        <w:t>响应供应商基本情况说明</w:t>
      </w:r>
      <w:bookmarkEnd w:id="264"/>
      <w:bookmarkEnd w:id="265"/>
      <w:bookmarkEnd w:id="266"/>
    </w:p>
    <w:p>
      <w:pPr>
        <w:spacing w:before="156" w:beforeLines="50" w:after="156" w:afterLines="50" w:line="360" w:lineRule="auto"/>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响应供应商基本情况说明</w:t>
      </w:r>
    </w:p>
    <w:p>
      <w:pPr>
        <w:pStyle w:val="30"/>
        <w:numPr>
          <w:ilvl w:val="0"/>
          <w:numId w:val="106"/>
        </w:numPr>
        <w:spacing w:after="156" w:afterLines="50" w:line="360" w:lineRule="auto"/>
        <w:ind w:firstLineChars="0"/>
        <w:rPr>
          <w:rFonts w:ascii="黑体" w:hAnsi="黑体" w:eastAsia="黑体"/>
          <w:szCs w:val="21"/>
          <w:highlight w:val="none"/>
        </w:rPr>
      </w:pPr>
      <w:r>
        <w:rPr>
          <w:rFonts w:ascii="黑体" w:hAnsi="黑体" w:eastAsia="黑体"/>
          <w:szCs w:val="21"/>
          <w:highlight w:val="none"/>
        </w:rPr>
        <w:t>公司基本情况</w:t>
      </w:r>
    </w:p>
    <w:tbl>
      <w:tblPr>
        <w:tblStyle w:val="18"/>
        <w:tblW w:w="5000" w:type="pct"/>
        <w:jc w:val="center"/>
        <w:tblLayout w:type="autofit"/>
        <w:tblCellMar>
          <w:top w:w="0" w:type="dxa"/>
          <w:left w:w="108" w:type="dxa"/>
          <w:bottom w:w="0" w:type="dxa"/>
          <w:right w:w="108" w:type="dxa"/>
        </w:tblCellMar>
      </w:tblPr>
      <w:tblGrid>
        <w:gridCol w:w="1724"/>
        <w:gridCol w:w="2397"/>
        <w:gridCol w:w="1052"/>
        <w:gridCol w:w="1241"/>
        <w:gridCol w:w="2207"/>
      </w:tblGrid>
      <w:tr>
        <w:tblPrEx>
          <w:tblCellMar>
            <w:top w:w="0" w:type="dxa"/>
            <w:left w:w="108" w:type="dxa"/>
            <w:bottom w:w="0" w:type="dxa"/>
            <w:right w:w="108" w:type="dxa"/>
          </w:tblCellMar>
        </w:tblPrEx>
        <w:trPr>
          <w:jc w:val="center"/>
        </w:trPr>
        <w:tc>
          <w:tcPr>
            <w:tcW w:w="3000" w:type="pct"/>
            <w:gridSpan w:val="3"/>
          </w:tcPr>
          <w:p>
            <w:pPr>
              <w:spacing w:line="360" w:lineRule="auto"/>
              <w:rPr>
                <w:rFonts w:ascii="黑体" w:hAnsi="黑体" w:eastAsia="黑体"/>
                <w:szCs w:val="21"/>
                <w:highlight w:val="none"/>
              </w:rPr>
            </w:pPr>
            <w:r>
              <w:rPr>
                <w:rFonts w:ascii="黑体" w:hAnsi="黑体" w:eastAsia="黑体"/>
                <w:szCs w:val="21"/>
                <w:highlight w:val="none"/>
              </w:rPr>
              <w:t>公司名称：</w:t>
            </w:r>
            <w:r>
              <w:rPr>
                <w:rFonts w:ascii="黑体" w:hAnsi="黑体" w:eastAsia="黑体"/>
                <w:szCs w:val="21"/>
                <w:highlight w:val="none"/>
                <w:u w:val="single"/>
              </w:rPr>
              <w:t xml:space="preserve">           </w:t>
            </w:r>
            <w:r>
              <w:rPr>
                <w:rFonts w:hint="eastAsia" w:ascii="黑体" w:hAnsi="黑体" w:eastAsia="黑体"/>
                <w:szCs w:val="21"/>
                <w:highlight w:val="none"/>
                <w:u w:val="single"/>
              </w:rPr>
              <w:t xml:space="preserve">                    </w:t>
            </w:r>
            <w:r>
              <w:rPr>
                <w:rFonts w:ascii="黑体" w:hAnsi="黑体" w:eastAsia="黑体"/>
                <w:szCs w:val="21"/>
                <w:highlight w:val="none"/>
                <w:u w:val="single"/>
              </w:rPr>
              <w:t xml:space="preserve">    </w:t>
            </w:r>
            <w:r>
              <w:rPr>
                <w:rFonts w:ascii="黑体" w:hAnsi="黑体" w:eastAsia="黑体"/>
                <w:szCs w:val="21"/>
                <w:highlight w:val="none"/>
              </w:rPr>
              <w:t xml:space="preserve"> </w:t>
            </w:r>
          </w:p>
        </w:tc>
        <w:tc>
          <w:tcPr>
            <w:tcW w:w="2000" w:type="pct"/>
            <w:gridSpan w:val="2"/>
          </w:tcPr>
          <w:p>
            <w:pPr>
              <w:spacing w:line="360" w:lineRule="auto"/>
              <w:rPr>
                <w:rFonts w:ascii="黑体" w:hAnsi="黑体" w:eastAsia="黑体"/>
                <w:szCs w:val="21"/>
                <w:highlight w:val="none"/>
              </w:rPr>
            </w:pPr>
            <w:r>
              <w:rPr>
                <w:rFonts w:hint="eastAsia" w:ascii="黑体" w:hAnsi="黑体" w:eastAsia="黑体"/>
                <w:szCs w:val="21"/>
                <w:highlight w:val="none"/>
              </w:rPr>
              <w:t>公司固话：</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3000" w:type="pct"/>
            <w:gridSpan w:val="3"/>
          </w:tcPr>
          <w:p>
            <w:pPr>
              <w:spacing w:line="360" w:lineRule="auto"/>
              <w:rPr>
                <w:rFonts w:ascii="黑体" w:hAnsi="黑体" w:eastAsia="黑体"/>
                <w:szCs w:val="21"/>
                <w:highlight w:val="none"/>
              </w:rPr>
            </w:pPr>
            <w:r>
              <w:rPr>
                <w:rFonts w:hint="eastAsia" w:ascii="黑体" w:hAnsi="黑体" w:eastAsia="黑体"/>
                <w:szCs w:val="21"/>
                <w:highlight w:val="none"/>
              </w:rPr>
              <w:t>单位地址：</w:t>
            </w:r>
            <w:r>
              <w:rPr>
                <w:rFonts w:hint="eastAsia" w:ascii="黑体" w:hAnsi="黑体" w:eastAsia="黑体"/>
                <w:szCs w:val="21"/>
                <w:highlight w:val="none"/>
                <w:u w:val="single"/>
              </w:rPr>
              <w:t xml:space="preserve">                                    </w:t>
            </w:r>
          </w:p>
        </w:tc>
        <w:tc>
          <w:tcPr>
            <w:tcW w:w="2000" w:type="pct"/>
            <w:gridSpan w:val="2"/>
          </w:tcPr>
          <w:p>
            <w:pPr>
              <w:spacing w:line="360" w:lineRule="auto"/>
              <w:rPr>
                <w:rFonts w:ascii="黑体" w:hAnsi="黑体" w:eastAsia="黑体"/>
                <w:szCs w:val="21"/>
                <w:highlight w:val="none"/>
              </w:rPr>
            </w:pPr>
            <w:r>
              <w:rPr>
                <w:rFonts w:hint="eastAsia" w:ascii="黑体" w:hAnsi="黑体" w:eastAsia="黑体"/>
                <w:szCs w:val="21"/>
                <w:highlight w:val="none"/>
              </w:rPr>
              <w:t>公司传真：</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3000" w:type="pct"/>
            <w:gridSpan w:val="3"/>
          </w:tcPr>
          <w:p>
            <w:pPr>
              <w:spacing w:line="360" w:lineRule="auto"/>
              <w:rPr>
                <w:rFonts w:ascii="黑体" w:hAnsi="黑体" w:eastAsia="黑体"/>
                <w:szCs w:val="21"/>
                <w:highlight w:val="none"/>
              </w:rPr>
            </w:pPr>
            <w:r>
              <w:rPr>
                <w:rFonts w:hint="eastAsia" w:ascii="黑体" w:hAnsi="黑体" w:eastAsia="黑体"/>
                <w:szCs w:val="21"/>
                <w:highlight w:val="none"/>
              </w:rPr>
              <w:t>注册资金：</w:t>
            </w:r>
            <w:r>
              <w:rPr>
                <w:rFonts w:hint="eastAsia" w:ascii="黑体" w:hAnsi="黑体" w:eastAsia="黑体"/>
                <w:szCs w:val="21"/>
                <w:highlight w:val="none"/>
                <w:u w:val="single"/>
              </w:rPr>
              <w:t xml:space="preserve">                                    </w:t>
            </w:r>
          </w:p>
        </w:tc>
        <w:tc>
          <w:tcPr>
            <w:tcW w:w="2000" w:type="pct"/>
            <w:gridSpan w:val="2"/>
          </w:tcPr>
          <w:p>
            <w:pPr>
              <w:spacing w:line="360" w:lineRule="auto"/>
              <w:rPr>
                <w:rFonts w:ascii="黑体" w:hAnsi="黑体" w:eastAsia="黑体"/>
                <w:szCs w:val="21"/>
                <w:highlight w:val="none"/>
              </w:rPr>
            </w:pPr>
            <w:r>
              <w:rPr>
                <w:rFonts w:hint="eastAsia" w:ascii="黑体" w:hAnsi="黑体" w:eastAsia="黑体"/>
                <w:szCs w:val="21"/>
                <w:highlight w:val="none"/>
              </w:rPr>
              <w:t>单位性质：</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3000" w:type="pct"/>
            <w:gridSpan w:val="3"/>
          </w:tcPr>
          <w:p>
            <w:pPr>
              <w:spacing w:line="360" w:lineRule="auto"/>
              <w:rPr>
                <w:rFonts w:ascii="黑体" w:hAnsi="黑体" w:eastAsia="黑体"/>
                <w:szCs w:val="21"/>
                <w:highlight w:val="none"/>
              </w:rPr>
            </w:pPr>
            <w:r>
              <w:rPr>
                <w:rFonts w:hint="eastAsia" w:ascii="黑体" w:hAnsi="黑体" w:eastAsia="黑体"/>
                <w:szCs w:val="21"/>
                <w:highlight w:val="none"/>
              </w:rPr>
              <w:t>公司开户银行名称：</w:t>
            </w:r>
            <w:r>
              <w:rPr>
                <w:rFonts w:hint="eastAsia" w:ascii="黑体" w:hAnsi="黑体" w:eastAsia="黑体"/>
                <w:szCs w:val="21"/>
                <w:highlight w:val="none"/>
                <w:u w:val="single"/>
              </w:rPr>
              <w:t xml:space="preserve">                            </w:t>
            </w:r>
          </w:p>
        </w:tc>
        <w:tc>
          <w:tcPr>
            <w:tcW w:w="2000" w:type="pct"/>
            <w:gridSpan w:val="2"/>
          </w:tcPr>
          <w:p>
            <w:pPr>
              <w:spacing w:line="360" w:lineRule="auto"/>
              <w:rPr>
                <w:rFonts w:ascii="黑体" w:hAnsi="黑体" w:eastAsia="黑体"/>
                <w:szCs w:val="21"/>
                <w:highlight w:val="none"/>
              </w:rPr>
            </w:pPr>
            <w:r>
              <w:rPr>
                <w:rFonts w:hint="eastAsia" w:ascii="黑体" w:hAnsi="黑体" w:eastAsia="黑体"/>
                <w:szCs w:val="21"/>
                <w:highlight w:val="none"/>
              </w:rPr>
              <w:t>开户账号：</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jc w:val="center"/>
        </w:trPr>
        <w:tc>
          <w:tcPr>
            <w:tcW w:w="5000" w:type="pct"/>
            <w:gridSpan w:val="5"/>
          </w:tcPr>
          <w:p>
            <w:pPr>
              <w:spacing w:line="360" w:lineRule="auto"/>
              <w:rPr>
                <w:rFonts w:ascii="黑体" w:hAnsi="黑体" w:eastAsia="黑体"/>
                <w:szCs w:val="21"/>
                <w:highlight w:val="none"/>
              </w:rPr>
            </w:pPr>
            <w:r>
              <w:rPr>
                <w:rFonts w:ascii="黑体" w:hAnsi="黑体" w:eastAsia="黑体"/>
                <w:szCs w:val="21"/>
                <w:highlight w:val="none"/>
              </w:rPr>
              <w:t>营业注册执照</w:t>
            </w:r>
            <w:r>
              <w:rPr>
                <w:rFonts w:hint="eastAsia" w:ascii="黑体" w:hAnsi="黑体" w:eastAsia="黑体"/>
                <w:szCs w:val="21"/>
                <w:highlight w:val="none"/>
              </w:rPr>
              <w:t>或事业单位法人证书</w:t>
            </w:r>
            <w:r>
              <w:rPr>
                <w:rFonts w:ascii="黑体" w:hAnsi="黑体" w:eastAsia="黑体"/>
                <w:szCs w:val="21"/>
                <w:highlight w:val="none"/>
              </w:rPr>
              <w:t>号</w:t>
            </w:r>
            <w:r>
              <w:rPr>
                <w:rFonts w:hint="eastAsia" w:ascii="黑体" w:hAnsi="黑体" w:eastAsia="黑体"/>
                <w:szCs w:val="21"/>
                <w:highlight w:val="none"/>
              </w:rPr>
              <w:t>：</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rPr>
          <w:trHeight w:val="583" w:hRule="atLeast"/>
          <w:jc w:val="center"/>
        </w:trPr>
        <w:tc>
          <w:tcPr>
            <w:tcW w:w="5000" w:type="pct"/>
            <w:gridSpan w:val="5"/>
          </w:tcPr>
          <w:p>
            <w:pPr>
              <w:spacing w:line="360" w:lineRule="auto"/>
              <w:rPr>
                <w:rFonts w:ascii="黑体" w:hAnsi="黑体" w:eastAsia="黑体"/>
                <w:szCs w:val="21"/>
                <w:highlight w:val="none"/>
              </w:rPr>
            </w:pPr>
            <w:r>
              <w:rPr>
                <w:rFonts w:hint="eastAsia" w:ascii="黑体" w:hAnsi="黑体" w:eastAsia="黑体"/>
                <w:szCs w:val="21"/>
                <w:highlight w:val="none"/>
              </w:rPr>
              <w:t>公司财务状况：（如需）                         【价格单位：（人民币）元】</w:t>
            </w:r>
          </w:p>
        </w:tc>
      </w:tr>
      <w:tr>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年  度</w:t>
            </w:r>
          </w:p>
        </w:tc>
        <w:tc>
          <w:tcPr>
            <w:tcW w:w="139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总资产（元）</w:t>
            </w:r>
          </w:p>
        </w:tc>
        <w:tc>
          <w:tcPr>
            <w:tcW w:w="1330" w:type="pct"/>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年营业额（元）</w:t>
            </w:r>
          </w:p>
        </w:tc>
        <w:tc>
          <w:tcPr>
            <w:tcW w:w="128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年净利润（元）</w:t>
            </w:r>
          </w:p>
        </w:tc>
      </w:tr>
      <w:tr>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c>
          <w:tcPr>
            <w:tcW w:w="1390" w:type="pct"/>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c>
          <w:tcPr>
            <w:tcW w:w="1330" w:type="pct"/>
            <w:gridSpan w:val="2"/>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c>
          <w:tcPr>
            <w:tcW w:w="1280" w:type="pct"/>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c>
          <w:tcPr>
            <w:tcW w:w="1390" w:type="pct"/>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c>
          <w:tcPr>
            <w:tcW w:w="1330" w:type="pct"/>
            <w:gridSpan w:val="2"/>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c>
          <w:tcPr>
            <w:tcW w:w="1280" w:type="pct"/>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highlight w:val="none"/>
              </w:rPr>
            </w:pPr>
          </w:p>
        </w:tc>
      </w:tr>
    </w:tbl>
    <w:p>
      <w:pPr>
        <w:pStyle w:val="30"/>
        <w:numPr>
          <w:ilvl w:val="0"/>
          <w:numId w:val="106"/>
        </w:numPr>
        <w:spacing w:after="156" w:afterLines="50" w:line="360" w:lineRule="auto"/>
        <w:ind w:firstLineChars="0"/>
        <w:rPr>
          <w:rFonts w:ascii="黑体" w:hAnsi="黑体" w:eastAsia="黑体"/>
          <w:szCs w:val="21"/>
          <w:highlight w:val="none"/>
        </w:rPr>
      </w:pPr>
      <w:r>
        <w:rPr>
          <w:rFonts w:ascii="黑体" w:hAnsi="黑体" w:eastAsia="黑体"/>
          <w:szCs w:val="21"/>
          <w:highlight w:val="none"/>
        </w:rPr>
        <w:t>响应供应商获得国家有关部门颁发的资质证明</w:t>
      </w:r>
      <w:r>
        <w:rPr>
          <w:rFonts w:hint="eastAsia" w:ascii="黑体" w:hAnsi="黑体" w:eastAsia="黑体"/>
          <w:szCs w:val="21"/>
          <w:highlight w:val="none"/>
        </w:rPr>
        <w:t>或荣誉</w:t>
      </w:r>
      <w:r>
        <w:rPr>
          <w:rFonts w:ascii="黑体" w:hAnsi="黑体" w:eastAsia="黑体"/>
          <w:szCs w:val="21"/>
          <w:highlight w:val="none"/>
        </w:rPr>
        <w:t>：</w:t>
      </w:r>
      <w:r>
        <w:rPr>
          <w:rFonts w:hint="eastAsia" w:ascii="黑体" w:hAnsi="黑体" w:eastAsia="黑体"/>
          <w:szCs w:val="21"/>
          <w:highlight w:val="none"/>
        </w:rPr>
        <w:t>（如需）</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5"/>
        <w:gridCol w:w="2155"/>
        <w:gridCol w:w="2155"/>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pPr>
              <w:spacing w:line="360" w:lineRule="auto"/>
              <w:jc w:val="center"/>
              <w:rPr>
                <w:rFonts w:ascii="黑体" w:hAnsi="黑体" w:eastAsia="黑体"/>
                <w:szCs w:val="21"/>
                <w:highlight w:val="none"/>
              </w:rPr>
            </w:pPr>
            <w:r>
              <w:rPr>
                <w:rFonts w:ascii="黑体" w:hAnsi="黑体" w:eastAsia="黑体"/>
                <w:szCs w:val="21"/>
                <w:highlight w:val="none"/>
              </w:rPr>
              <w:t>证书名称</w:t>
            </w:r>
          </w:p>
        </w:tc>
        <w:tc>
          <w:tcPr>
            <w:tcW w:w="1250" w:type="pct"/>
            <w:vAlign w:val="center"/>
          </w:tcPr>
          <w:p>
            <w:pPr>
              <w:spacing w:line="360" w:lineRule="auto"/>
              <w:jc w:val="center"/>
              <w:rPr>
                <w:rFonts w:ascii="黑体" w:hAnsi="黑体" w:eastAsia="黑体"/>
                <w:szCs w:val="21"/>
                <w:highlight w:val="none"/>
              </w:rPr>
            </w:pPr>
            <w:r>
              <w:rPr>
                <w:rFonts w:ascii="黑体" w:hAnsi="黑体" w:eastAsia="黑体"/>
                <w:szCs w:val="21"/>
                <w:highlight w:val="none"/>
              </w:rPr>
              <w:t>发证单位</w:t>
            </w:r>
          </w:p>
        </w:tc>
        <w:tc>
          <w:tcPr>
            <w:tcW w:w="1250" w:type="pct"/>
            <w:vAlign w:val="center"/>
          </w:tcPr>
          <w:p>
            <w:pPr>
              <w:spacing w:line="360" w:lineRule="auto"/>
              <w:jc w:val="center"/>
              <w:rPr>
                <w:rFonts w:ascii="黑体" w:hAnsi="黑体" w:eastAsia="黑体"/>
                <w:szCs w:val="21"/>
                <w:highlight w:val="none"/>
              </w:rPr>
            </w:pPr>
            <w:r>
              <w:rPr>
                <w:rFonts w:ascii="黑体" w:hAnsi="黑体" w:eastAsia="黑体"/>
                <w:szCs w:val="21"/>
                <w:highlight w:val="none"/>
              </w:rPr>
              <w:t>证书等级</w:t>
            </w:r>
          </w:p>
        </w:tc>
        <w:tc>
          <w:tcPr>
            <w:tcW w:w="1250" w:type="pct"/>
            <w:vAlign w:val="center"/>
          </w:tcPr>
          <w:p>
            <w:pPr>
              <w:spacing w:line="360" w:lineRule="auto"/>
              <w:jc w:val="center"/>
              <w:rPr>
                <w:rFonts w:ascii="黑体" w:hAnsi="黑体" w:eastAsia="黑体"/>
                <w:szCs w:val="21"/>
                <w:highlight w:val="none"/>
              </w:rPr>
            </w:pPr>
            <w:r>
              <w:rPr>
                <w:rFonts w:ascii="黑体" w:hAnsi="黑体" w:eastAsia="黑体"/>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黑体" w:hAnsi="黑体" w:eastAsia="黑体"/>
                <w:szCs w:val="21"/>
                <w:highlight w:val="none"/>
              </w:rPr>
            </w:pPr>
          </w:p>
        </w:tc>
        <w:tc>
          <w:tcPr>
            <w:tcW w:w="1250" w:type="pct"/>
          </w:tcPr>
          <w:p>
            <w:pPr>
              <w:spacing w:line="360" w:lineRule="auto"/>
              <w:rPr>
                <w:rFonts w:ascii="黑体" w:hAnsi="黑体" w:eastAsia="黑体"/>
                <w:szCs w:val="21"/>
                <w:highlight w:val="none"/>
              </w:rPr>
            </w:pPr>
          </w:p>
        </w:tc>
        <w:tc>
          <w:tcPr>
            <w:tcW w:w="1250" w:type="pct"/>
          </w:tcPr>
          <w:p>
            <w:pPr>
              <w:spacing w:line="360" w:lineRule="auto"/>
              <w:rPr>
                <w:rFonts w:ascii="黑体" w:hAnsi="黑体" w:eastAsia="黑体"/>
                <w:szCs w:val="21"/>
                <w:highlight w:val="none"/>
              </w:rPr>
            </w:pPr>
          </w:p>
        </w:tc>
        <w:tc>
          <w:tcPr>
            <w:tcW w:w="1250" w:type="pct"/>
          </w:tcPr>
          <w:p>
            <w:pPr>
              <w:spacing w:line="360" w:lineRule="auto"/>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黑体" w:hAnsi="黑体" w:eastAsia="黑体"/>
                <w:szCs w:val="21"/>
                <w:highlight w:val="none"/>
              </w:rPr>
            </w:pPr>
          </w:p>
        </w:tc>
        <w:tc>
          <w:tcPr>
            <w:tcW w:w="1250" w:type="pct"/>
          </w:tcPr>
          <w:p>
            <w:pPr>
              <w:spacing w:line="360" w:lineRule="auto"/>
              <w:rPr>
                <w:rFonts w:ascii="黑体" w:hAnsi="黑体" w:eastAsia="黑体"/>
                <w:szCs w:val="21"/>
                <w:highlight w:val="none"/>
              </w:rPr>
            </w:pPr>
          </w:p>
        </w:tc>
        <w:tc>
          <w:tcPr>
            <w:tcW w:w="1250" w:type="pct"/>
          </w:tcPr>
          <w:p>
            <w:pPr>
              <w:spacing w:line="360" w:lineRule="auto"/>
              <w:rPr>
                <w:rFonts w:ascii="黑体" w:hAnsi="黑体" w:eastAsia="黑体"/>
                <w:szCs w:val="21"/>
                <w:highlight w:val="none"/>
              </w:rPr>
            </w:pPr>
          </w:p>
        </w:tc>
        <w:tc>
          <w:tcPr>
            <w:tcW w:w="1250" w:type="pct"/>
          </w:tcPr>
          <w:p>
            <w:pPr>
              <w:spacing w:line="360" w:lineRule="auto"/>
              <w:rPr>
                <w:rFonts w:ascii="黑体" w:hAnsi="黑体" w:eastAsia="黑体"/>
                <w:szCs w:val="21"/>
                <w:highlight w:val="none"/>
              </w:rPr>
            </w:pPr>
          </w:p>
        </w:tc>
      </w:tr>
    </w:tbl>
    <w:p>
      <w:pPr>
        <w:spacing w:before="156" w:beforeLines="50" w:after="156" w:afterLines="50" w:line="360" w:lineRule="auto"/>
        <w:rPr>
          <w:rFonts w:ascii="黑体" w:hAnsi="黑体" w:eastAsia="黑体"/>
          <w:szCs w:val="21"/>
          <w:highlight w:val="none"/>
        </w:rPr>
      </w:pPr>
      <w:r>
        <w:rPr>
          <w:rFonts w:hint="eastAsia" w:ascii="黑体" w:hAnsi="黑体" w:eastAsia="黑体"/>
          <w:szCs w:val="21"/>
          <w:highlight w:val="none"/>
        </w:rPr>
        <w:t>兹证明上述声明是真实、正确的，并提供了全部能提供的资料和数据，我方同意遵照贵方要求出示有关证明文件。</w:t>
      </w:r>
    </w:p>
    <w:p>
      <w:pPr>
        <w:spacing w:before="156" w:beforeLines="50" w:after="156" w:afterLines="50" w:line="360" w:lineRule="auto"/>
        <w:rPr>
          <w:rFonts w:ascii="黑体" w:hAnsi="黑体" w:eastAsia="黑体"/>
          <w:szCs w:val="21"/>
          <w:highlight w:val="none"/>
        </w:rPr>
      </w:pPr>
    </w:p>
    <w:tbl>
      <w:tblPr>
        <w:tblStyle w:val="18"/>
        <w:tblW w:w="0" w:type="auto"/>
        <w:tblInd w:w="0" w:type="dxa"/>
        <w:tblLayout w:type="autofit"/>
        <w:tblCellMar>
          <w:top w:w="0" w:type="dxa"/>
          <w:left w:w="108" w:type="dxa"/>
          <w:bottom w:w="0" w:type="dxa"/>
          <w:right w:w="108" w:type="dxa"/>
        </w:tblCellMar>
      </w:tblPr>
      <w:tblGrid>
        <w:gridCol w:w="6237"/>
        <w:gridCol w:w="2069"/>
      </w:tblGrid>
      <w:tr>
        <w:tblPrEx>
          <w:tblCellMar>
            <w:top w:w="0" w:type="dxa"/>
            <w:left w:w="108" w:type="dxa"/>
            <w:bottom w:w="0" w:type="dxa"/>
            <w:right w:w="108" w:type="dxa"/>
          </w:tblCellMar>
        </w:tblPrEx>
        <w:tc>
          <w:tcPr>
            <w:tcW w:w="6237"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2069"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237"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2069" w:type="dxa"/>
          </w:tcPr>
          <w:p>
            <w:pPr>
              <w:spacing w:line="360" w:lineRule="auto"/>
              <w:rPr>
                <w:rFonts w:ascii="黑体" w:hAnsi="黑体" w:eastAsia="黑体"/>
                <w:szCs w:val="21"/>
                <w:highlight w:val="none"/>
              </w:rPr>
            </w:pPr>
          </w:p>
        </w:tc>
      </w:tr>
    </w:tbl>
    <w:p>
      <w:pPr>
        <w:spacing w:line="360" w:lineRule="auto"/>
        <w:rPr>
          <w:rFonts w:ascii="黑体" w:hAnsi="黑体" w:eastAsia="黑体"/>
          <w:szCs w:val="21"/>
          <w:highlight w:val="none"/>
        </w:rPr>
      </w:pPr>
    </w:p>
    <w:p>
      <w:pPr>
        <w:pStyle w:val="30"/>
        <w:pageBreakBefore/>
        <w:numPr>
          <w:ilvl w:val="0"/>
          <w:numId w:val="107"/>
        </w:numPr>
        <w:ind w:firstLineChars="0"/>
        <w:rPr>
          <w:rFonts w:ascii="黑体" w:hAnsi="黑体" w:eastAsia="黑体"/>
          <w:b/>
          <w:bCs/>
          <w:highlight w:val="none"/>
        </w:rPr>
      </w:pPr>
      <w:bookmarkStart w:id="271" w:name="_Toc91018658"/>
      <w:bookmarkStart w:id="272" w:name="_Toc90976522"/>
      <w:bookmarkStart w:id="273" w:name="_Toc90980152"/>
      <w:bookmarkStart w:id="274" w:name="_Toc405313965"/>
      <w:bookmarkStart w:id="275" w:name="_Toc391627761"/>
      <w:r>
        <w:rPr>
          <w:rFonts w:hint="eastAsia" w:ascii="黑体" w:hAnsi="黑体" w:eastAsia="黑体"/>
          <w:b/>
          <w:bCs/>
          <w:highlight w:val="none"/>
        </w:rPr>
        <w:t>供应商资格证明文件</w:t>
      </w:r>
      <w:bookmarkEnd w:id="271"/>
      <w:bookmarkEnd w:id="272"/>
      <w:bookmarkEnd w:id="273"/>
    </w:p>
    <w:bookmarkEnd w:id="274"/>
    <w:bookmarkEnd w:id="275"/>
    <w:p>
      <w:pPr>
        <w:spacing w:line="360" w:lineRule="auto"/>
        <w:rPr>
          <w:rFonts w:ascii="黑体" w:hAnsi="黑体" w:eastAsia="黑体"/>
          <w:szCs w:val="21"/>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76" w:name="_Toc13821095"/>
      <w:bookmarkStart w:id="277" w:name="_Toc391627765"/>
      <w:bookmarkStart w:id="278" w:name="_Toc405313968"/>
      <w:r>
        <w:rPr>
          <w:rStyle w:val="21"/>
          <w:rFonts w:hint="eastAsia" w:ascii="黑体" w:hAnsi="黑体" w:eastAsia="黑体"/>
          <w:bCs w:val="0"/>
          <w:spacing w:val="12"/>
          <w:highlight w:val="none"/>
        </w:rPr>
        <w:t>业绩表</w:t>
      </w:r>
      <w:bookmarkEnd w:id="276"/>
      <w:bookmarkEnd w:id="277"/>
      <w:bookmarkEnd w:id="278"/>
    </w:p>
    <w:p>
      <w:pPr>
        <w:spacing w:after="312" w:afterLines="100" w:line="360" w:lineRule="auto"/>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业绩表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791"/>
        <w:gridCol w:w="1145"/>
        <w:gridCol w:w="1193"/>
        <w:gridCol w:w="2004"/>
        <w:gridCol w:w="1100"/>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pPr>
              <w:spacing w:before="156" w:after="156" w:line="240" w:lineRule="exact"/>
              <w:jc w:val="center"/>
              <w:rPr>
                <w:rFonts w:ascii="黑体" w:hAnsi="黑体" w:eastAsia="黑体"/>
                <w:bCs/>
                <w:szCs w:val="21"/>
                <w:highlight w:val="none"/>
              </w:rPr>
            </w:pPr>
            <w:r>
              <w:rPr>
                <w:rFonts w:ascii="黑体" w:hAnsi="黑体" w:eastAsia="黑体"/>
                <w:bCs/>
                <w:szCs w:val="21"/>
                <w:highlight w:val="none"/>
              </w:rPr>
              <w:t>序号</w:t>
            </w:r>
          </w:p>
        </w:tc>
        <w:tc>
          <w:tcPr>
            <w:tcW w:w="1039" w:type="pct"/>
            <w:vAlign w:val="center"/>
          </w:tcPr>
          <w:p>
            <w:pPr>
              <w:spacing w:before="156" w:after="156" w:line="240" w:lineRule="exact"/>
              <w:jc w:val="center"/>
              <w:rPr>
                <w:rFonts w:ascii="黑体" w:hAnsi="黑体" w:eastAsia="黑体"/>
                <w:bCs/>
                <w:szCs w:val="21"/>
                <w:highlight w:val="none"/>
              </w:rPr>
            </w:pPr>
            <w:r>
              <w:rPr>
                <w:rFonts w:hint="eastAsia" w:ascii="黑体" w:hAnsi="黑体" w:eastAsia="黑体"/>
                <w:bCs/>
                <w:szCs w:val="21"/>
                <w:highlight w:val="none"/>
              </w:rPr>
              <w:t>项目名称</w:t>
            </w:r>
          </w:p>
        </w:tc>
        <w:tc>
          <w:tcPr>
            <w:tcW w:w="664" w:type="pct"/>
            <w:vAlign w:val="center"/>
          </w:tcPr>
          <w:p>
            <w:pPr>
              <w:spacing w:before="156" w:after="156" w:line="240" w:lineRule="exact"/>
              <w:jc w:val="center"/>
              <w:rPr>
                <w:rFonts w:ascii="黑体" w:hAnsi="黑体" w:eastAsia="黑体"/>
                <w:bCs/>
                <w:szCs w:val="21"/>
                <w:highlight w:val="none"/>
              </w:rPr>
            </w:pPr>
            <w:r>
              <w:rPr>
                <w:rFonts w:hint="eastAsia" w:ascii="黑体" w:hAnsi="黑体" w:eastAsia="黑体"/>
                <w:bCs/>
                <w:szCs w:val="21"/>
                <w:highlight w:val="none"/>
              </w:rPr>
              <w:t>合同金额</w:t>
            </w:r>
          </w:p>
        </w:tc>
        <w:tc>
          <w:tcPr>
            <w:tcW w:w="692" w:type="pct"/>
            <w:vAlign w:val="center"/>
          </w:tcPr>
          <w:p>
            <w:pPr>
              <w:spacing w:before="156" w:after="156" w:line="240" w:lineRule="exact"/>
              <w:jc w:val="center"/>
              <w:rPr>
                <w:rFonts w:ascii="黑体" w:hAnsi="黑体" w:eastAsia="黑体"/>
                <w:bCs/>
                <w:szCs w:val="21"/>
                <w:highlight w:val="none"/>
              </w:rPr>
            </w:pPr>
            <w:r>
              <w:rPr>
                <w:rFonts w:hint="eastAsia" w:ascii="黑体" w:hAnsi="黑体" w:eastAsia="黑体"/>
                <w:bCs/>
                <w:szCs w:val="21"/>
                <w:highlight w:val="none"/>
              </w:rPr>
              <w:t>签约时间</w:t>
            </w:r>
          </w:p>
        </w:tc>
        <w:tc>
          <w:tcPr>
            <w:tcW w:w="1162" w:type="pct"/>
            <w:vAlign w:val="center"/>
          </w:tcPr>
          <w:p>
            <w:pPr>
              <w:spacing w:before="156" w:after="156" w:line="240" w:lineRule="exact"/>
              <w:jc w:val="center"/>
              <w:rPr>
                <w:rFonts w:ascii="黑体" w:hAnsi="黑体" w:eastAsia="黑体"/>
                <w:bCs/>
                <w:szCs w:val="21"/>
                <w:highlight w:val="none"/>
              </w:rPr>
            </w:pPr>
            <w:r>
              <w:rPr>
                <w:rFonts w:hint="eastAsia" w:ascii="黑体" w:hAnsi="黑体" w:eastAsia="黑体"/>
                <w:bCs/>
                <w:szCs w:val="21"/>
                <w:highlight w:val="none"/>
              </w:rPr>
              <w:t>联系人及联系方式</w:t>
            </w:r>
          </w:p>
        </w:tc>
        <w:tc>
          <w:tcPr>
            <w:tcW w:w="638" w:type="pct"/>
            <w:vAlign w:val="center"/>
          </w:tcPr>
          <w:p>
            <w:pPr>
              <w:spacing w:before="156" w:after="156" w:line="240" w:lineRule="exact"/>
              <w:jc w:val="center"/>
              <w:rPr>
                <w:rFonts w:ascii="黑体" w:hAnsi="黑体" w:eastAsia="黑体"/>
                <w:bCs/>
                <w:szCs w:val="21"/>
                <w:highlight w:val="none"/>
              </w:rPr>
            </w:pPr>
            <w:r>
              <w:rPr>
                <w:rFonts w:hint="eastAsia" w:ascii="黑体" w:hAnsi="黑体" w:eastAsia="黑体"/>
                <w:bCs/>
                <w:szCs w:val="21"/>
                <w:highlight w:val="none"/>
              </w:rPr>
              <w:t>完成情况</w:t>
            </w:r>
          </w:p>
        </w:tc>
        <w:tc>
          <w:tcPr>
            <w:tcW w:w="427" w:type="pct"/>
            <w:vAlign w:val="center"/>
          </w:tcPr>
          <w:p>
            <w:pPr>
              <w:spacing w:before="156" w:after="156" w:line="240" w:lineRule="exact"/>
              <w:jc w:val="center"/>
              <w:rPr>
                <w:rFonts w:ascii="黑体" w:hAnsi="黑体" w:eastAsia="黑体"/>
                <w:bCs/>
                <w:szCs w:val="21"/>
                <w:highlight w:val="none"/>
              </w:rPr>
            </w:pPr>
            <w:r>
              <w:rPr>
                <w:rFonts w:hint="eastAsia" w:ascii="黑体" w:hAnsi="黑体" w:eastAsia="黑体"/>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黑体" w:hAnsi="黑体" w:eastAsia="黑体"/>
                <w:szCs w:val="21"/>
                <w:highlight w:val="none"/>
              </w:rPr>
            </w:pPr>
          </w:p>
        </w:tc>
        <w:tc>
          <w:tcPr>
            <w:tcW w:w="1039" w:type="pct"/>
            <w:vAlign w:val="center"/>
          </w:tcPr>
          <w:p>
            <w:pPr>
              <w:spacing w:before="156" w:after="156" w:line="240" w:lineRule="exact"/>
              <w:jc w:val="center"/>
              <w:rPr>
                <w:rFonts w:ascii="黑体" w:hAnsi="黑体" w:eastAsia="黑体"/>
                <w:szCs w:val="21"/>
                <w:highlight w:val="none"/>
              </w:rPr>
            </w:pPr>
          </w:p>
        </w:tc>
        <w:tc>
          <w:tcPr>
            <w:tcW w:w="664" w:type="pct"/>
            <w:vAlign w:val="center"/>
          </w:tcPr>
          <w:p>
            <w:pPr>
              <w:spacing w:before="156" w:after="156" w:line="240" w:lineRule="exact"/>
              <w:jc w:val="center"/>
              <w:rPr>
                <w:rFonts w:ascii="黑体" w:hAnsi="黑体" w:eastAsia="黑体"/>
                <w:szCs w:val="21"/>
                <w:highlight w:val="none"/>
              </w:rPr>
            </w:pPr>
          </w:p>
        </w:tc>
        <w:tc>
          <w:tcPr>
            <w:tcW w:w="692" w:type="pct"/>
            <w:vAlign w:val="center"/>
          </w:tcPr>
          <w:p>
            <w:pPr>
              <w:spacing w:before="156" w:after="156" w:line="240" w:lineRule="exact"/>
              <w:jc w:val="center"/>
              <w:rPr>
                <w:rFonts w:ascii="黑体" w:hAnsi="黑体" w:eastAsia="黑体"/>
                <w:szCs w:val="21"/>
                <w:highlight w:val="none"/>
              </w:rPr>
            </w:pPr>
          </w:p>
        </w:tc>
        <w:tc>
          <w:tcPr>
            <w:tcW w:w="1162" w:type="pct"/>
            <w:vAlign w:val="center"/>
          </w:tcPr>
          <w:p>
            <w:pPr>
              <w:spacing w:before="156" w:after="156" w:line="240" w:lineRule="exact"/>
              <w:jc w:val="center"/>
              <w:rPr>
                <w:rFonts w:ascii="黑体" w:hAnsi="黑体" w:eastAsia="黑体"/>
                <w:szCs w:val="21"/>
                <w:highlight w:val="none"/>
              </w:rPr>
            </w:pPr>
          </w:p>
        </w:tc>
        <w:tc>
          <w:tcPr>
            <w:tcW w:w="638" w:type="pct"/>
            <w:vAlign w:val="center"/>
          </w:tcPr>
          <w:p>
            <w:pPr>
              <w:spacing w:before="156" w:after="156" w:line="240" w:lineRule="exact"/>
              <w:jc w:val="center"/>
              <w:rPr>
                <w:rFonts w:ascii="黑体" w:hAnsi="黑体" w:eastAsia="黑体"/>
                <w:szCs w:val="21"/>
                <w:highlight w:val="none"/>
              </w:rPr>
            </w:pPr>
          </w:p>
        </w:tc>
        <w:tc>
          <w:tcPr>
            <w:tcW w:w="427" w:type="pct"/>
            <w:vAlign w:val="center"/>
          </w:tcPr>
          <w:p>
            <w:pPr>
              <w:spacing w:before="156" w:after="156" w:line="240" w:lineRule="exact"/>
              <w:jc w:val="center"/>
              <w:rPr>
                <w:rFonts w:ascii="黑体" w:hAnsi="黑体" w:eastAsia="黑体"/>
                <w:szCs w:val="21"/>
                <w:highlight w:val="none"/>
              </w:rPr>
            </w:pPr>
          </w:p>
        </w:tc>
      </w:tr>
    </w:tbl>
    <w:p>
      <w:pPr>
        <w:spacing w:before="156" w:beforeLines="50"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8"/>
        <w:tblW w:w="0" w:type="auto"/>
        <w:tblInd w:w="0" w:type="dxa"/>
        <w:tblLayout w:type="autofit"/>
        <w:tblCellMar>
          <w:top w:w="0" w:type="dxa"/>
          <w:left w:w="108" w:type="dxa"/>
          <w:bottom w:w="0" w:type="dxa"/>
          <w:right w:w="108" w:type="dxa"/>
        </w:tblCellMar>
      </w:tblPr>
      <w:tblGrid>
        <w:gridCol w:w="6663"/>
        <w:gridCol w:w="1643"/>
      </w:tblGrid>
      <w:tr>
        <w:tblPrEx>
          <w:tblCellMar>
            <w:top w:w="0" w:type="dxa"/>
            <w:left w:w="108" w:type="dxa"/>
            <w:bottom w:w="0" w:type="dxa"/>
            <w:right w:w="108" w:type="dxa"/>
          </w:tblCellMar>
        </w:tblPrEx>
        <w:tc>
          <w:tcPr>
            <w:tcW w:w="6663"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1643"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663"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1643" w:type="dxa"/>
          </w:tcPr>
          <w:p>
            <w:pPr>
              <w:spacing w:line="360" w:lineRule="auto"/>
              <w:rPr>
                <w:rFonts w:ascii="黑体" w:hAnsi="黑体" w:eastAsia="黑体"/>
                <w:szCs w:val="21"/>
                <w:highlight w:val="none"/>
              </w:rPr>
            </w:pPr>
          </w:p>
        </w:tc>
      </w:tr>
    </w:tbl>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r>
        <w:rPr>
          <w:rStyle w:val="21"/>
          <w:rFonts w:hint="eastAsia" w:ascii="黑体" w:hAnsi="黑体" w:eastAsia="黑体"/>
          <w:bCs w:val="0"/>
          <w:spacing w:val="12"/>
          <w:highlight w:val="none"/>
        </w:rPr>
        <w:t>商务要求偏离表</w:t>
      </w:r>
    </w:p>
    <w:p>
      <w:pPr>
        <w:pStyle w:val="30"/>
        <w:spacing w:before="312" w:beforeLines="100" w:after="468" w:afterLines="150" w:line="360" w:lineRule="auto"/>
        <w:ind w:left="420" w:firstLine="0" w:firstLineChars="0"/>
        <w:jc w:val="center"/>
        <w:rPr>
          <w:rFonts w:ascii="黑体" w:hAnsi="黑体" w:eastAsia="黑体"/>
          <w:b/>
          <w:spacing w:val="20"/>
          <w:sz w:val="30"/>
          <w:szCs w:val="30"/>
          <w:highlight w:val="none"/>
        </w:rPr>
      </w:pPr>
      <w:bookmarkStart w:id="279" w:name="_Hlk91064332"/>
      <w:r>
        <w:rPr>
          <w:rFonts w:hint="eastAsia" w:ascii="黑体" w:hAnsi="黑体" w:eastAsia="黑体"/>
          <w:b/>
          <w:spacing w:val="20"/>
          <w:sz w:val="30"/>
          <w:szCs w:val="30"/>
          <w:highlight w:val="none"/>
        </w:rPr>
        <w:t>商务要求偏离表</w:t>
      </w:r>
    </w:p>
    <w:bookmarkEnd w:id="279"/>
    <w:tbl>
      <w:tblPr>
        <w:tblStyle w:val="18"/>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黑体" w:hAnsi="黑体" w:eastAsia="黑体"/>
                <w:b/>
                <w:szCs w:val="21"/>
                <w:highlight w:val="none"/>
              </w:rPr>
            </w:pPr>
            <w:r>
              <w:rPr>
                <w:rFonts w:hint="eastAsia" w:ascii="黑体" w:hAnsi="黑体" w:eastAsia="黑体"/>
                <w:b/>
                <w:szCs w:val="21"/>
                <w:highlight w:val="none"/>
              </w:rPr>
              <w:t>序号</w:t>
            </w:r>
          </w:p>
        </w:tc>
        <w:tc>
          <w:tcPr>
            <w:tcW w:w="2352" w:type="dxa"/>
            <w:vAlign w:val="center"/>
          </w:tcPr>
          <w:p>
            <w:pPr>
              <w:jc w:val="center"/>
              <w:rPr>
                <w:rFonts w:ascii="黑体" w:hAnsi="黑体" w:eastAsia="黑体"/>
                <w:b/>
                <w:szCs w:val="21"/>
                <w:highlight w:val="none"/>
              </w:rPr>
            </w:pPr>
            <w:r>
              <w:rPr>
                <w:rFonts w:hint="eastAsia" w:ascii="黑体" w:hAnsi="黑体" w:eastAsia="黑体"/>
                <w:b/>
                <w:szCs w:val="21"/>
                <w:highlight w:val="none"/>
              </w:rPr>
              <w:t>采购文件要求</w:t>
            </w:r>
          </w:p>
        </w:tc>
        <w:tc>
          <w:tcPr>
            <w:tcW w:w="2126" w:type="dxa"/>
            <w:vAlign w:val="center"/>
          </w:tcPr>
          <w:p>
            <w:pPr>
              <w:jc w:val="center"/>
              <w:rPr>
                <w:rFonts w:ascii="黑体" w:hAnsi="黑体" w:eastAsia="黑体"/>
                <w:b/>
                <w:szCs w:val="21"/>
                <w:highlight w:val="none"/>
              </w:rPr>
            </w:pPr>
            <w:r>
              <w:rPr>
                <w:rFonts w:hint="eastAsia" w:ascii="黑体" w:hAnsi="黑体" w:eastAsia="黑体"/>
                <w:b/>
                <w:bCs/>
                <w:szCs w:val="21"/>
                <w:highlight w:val="none"/>
              </w:rPr>
              <w:t>响应文件响应内容</w:t>
            </w:r>
          </w:p>
        </w:tc>
        <w:tc>
          <w:tcPr>
            <w:tcW w:w="1644" w:type="dxa"/>
            <w:vAlign w:val="center"/>
          </w:tcPr>
          <w:p>
            <w:pPr>
              <w:ind w:left="293" w:hanging="293" w:hangingChars="139"/>
              <w:jc w:val="center"/>
              <w:rPr>
                <w:rFonts w:ascii="黑体" w:hAnsi="黑体" w:eastAsia="黑体"/>
                <w:b/>
                <w:szCs w:val="21"/>
                <w:highlight w:val="none"/>
              </w:rPr>
            </w:pPr>
            <w:r>
              <w:rPr>
                <w:rFonts w:hint="eastAsia" w:ascii="黑体" w:hAnsi="黑体" w:eastAsia="黑体"/>
                <w:b/>
                <w:szCs w:val="21"/>
                <w:highlight w:val="none"/>
              </w:rPr>
              <w:t>偏离情况</w:t>
            </w:r>
          </w:p>
        </w:tc>
        <w:tc>
          <w:tcPr>
            <w:tcW w:w="1575" w:type="dxa"/>
            <w:vAlign w:val="center"/>
          </w:tcPr>
          <w:p>
            <w:pPr>
              <w:jc w:val="center"/>
              <w:rPr>
                <w:rFonts w:ascii="黑体" w:hAnsi="黑体" w:eastAsia="黑体"/>
                <w:b/>
                <w:szCs w:val="21"/>
                <w:highlight w:val="none"/>
              </w:rPr>
            </w:pPr>
            <w:r>
              <w:rPr>
                <w:rFonts w:hint="eastAsia" w:ascii="黑体" w:hAnsi="黑体" w:eastAsia="黑体"/>
                <w:b/>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bl>
    <w:p>
      <w:pPr>
        <w:spacing w:before="156" w:beforeLines="50" w:line="360" w:lineRule="auto"/>
        <w:rPr>
          <w:rFonts w:ascii="黑体" w:hAnsi="黑体" w:eastAsia="黑体"/>
          <w:szCs w:val="21"/>
          <w:highlight w:val="none"/>
        </w:rPr>
      </w:pPr>
      <w:r>
        <w:rPr>
          <w:rFonts w:hint="eastAsia" w:ascii="黑体" w:hAnsi="黑体" w:eastAsia="黑体"/>
          <w:szCs w:val="21"/>
          <w:highlight w:val="none"/>
        </w:rPr>
        <w:t>注明：</w:t>
      </w:r>
    </w:p>
    <w:p>
      <w:pPr>
        <w:pStyle w:val="30"/>
        <w:numPr>
          <w:ilvl w:val="0"/>
          <w:numId w:val="108"/>
        </w:numPr>
        <w:spacing w:line="360" w:lineRule="auto"/>
        <w:ind w:left="567" w:hanging="425" w:firstLineChars="0"/>
        <w:rPr>
          <w:rFonts w:ascii="黑体" w:hAnsi="黑体" w:eastAsia="黑体"/>
          <w:szCs w:val="21"/>
          <w:highlight w:val="none"/>
        </w:rPr>
      </w:pPr>
      <w:r>
        <w:rPr>
          <w:rFonts w:hint="eastAsia" w:ascii="黑体" w:hAnsi="黑体" w:eastAsia="黑体"/>
          <w:szCs w:val="21"/>
          <w:highlight w:val="none"/>
        </w:rPr>
        <w:t>偏离情况项填写“正”、“负”或“无”，说明项中填写原因。</w:t>
      </w:r>
    </w:p>
    <w:p>
      <w:pPr>
        <w:pStyle w:val="30"/>
        <w:numPr>
          <w:ilvl w:val="0"/>
          <w:numId w:val="108"/>
        </w:numPr>
        <w:spacing w:line="360" w:lineRule="auto"/>
        <w:ind w:left="567" w:hanging="425" w:firstLineChars="0"/>
        <w:rPr>
          <w:rFonts w:ascii="黑体" w:hAnsi="黑体" w:eastAsia="黑体"/>
          <w:szCs w:val="21"/>
          <w:highlight w:val="none"/>
        </w:rPr>
      </w:pPr>
      <w:r>
        <w:rPr>
          <w:rFonts w:hint="eastAsia" w:ascii="黑体" w:hAnsi="黑体" w:eastAsia="黑体"/>
          <w:szCs w:val="21"/>
          <w:highlight w:val="none"/>
        </w:rPr>
        <w:t>供应商应按照采购文件要求，根据“采购需求”内容作出全面响应。对响应有偏离的，则说明偏离的内容。“采购需求”内容中若有要求提供相关证明资料的，须按要求提供，否则视为负偏离。</w:t>
      </w: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8"/>
        <w:tblW w:w="0" w:type="auto"/>
        <w:tblInd w:w="0" w:type="dxa"/>
        <w:tblLayout w:type="autofit"/>
        <w:tblCellMar>
          <w:top w:w="0" w:type="dxa"/>
          <w:left w:w="108" w:type="dxa"/>
          <w:bottom w:w="0" w:type="dxa"/>
          <w:right w:w="108" w:type="dxa"/>
        </w:tblCellMar>
      </w:tblPr>
      <w:tblGrid>
        <w:gridCol w:w="6379"/>
        <w:gridCol w:w="1927"/>
      </w:tblGrid>
      <w:tr>
        <w:tblPrEx>
          <w:tblCellMar>
            <w:top w:w="0" w:type="dxa"/>
            <w:left w:w="108" w:type="dxa"/>
            <w:bottom w:w="0" w:type="dxa"/>
            <w:right w:w="108" w:type="dxa"/>
          </w:tblCellMar>
        </w:tblPrEx>
        <w:tc>
          <w:tcPr>
            <w:tcW w:w="6379"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1927"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379"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1927" w:type="dxa"/>
          </w:tcPr>
          <w:p>
            <w:pPr>
              <w:spacing w:line="360" w:lineRule="auto"/>
              <w:rPr>
                <w:rFonts w:ascii="黑体" w:hAnsi="黑体" w:eastAsia="黑体"/>
                <w:szCs w:val="21"/>
                <w:highlight w:val="none"/>
              </w:rPr>
            </w:pPr>
          </w:p>
        </w:tc>
      </w:tr>
    </w:tbl>
    <w:p>
      <w:pPr>
        <w:spacing w:line="360" w:lineRule="auto"/>
        <w:rPr>
          <w:rFonts w:ascii="黑体" w:hAnsi="黑体" w:eastAsia="黑体"/>
          <w:szCs w:val="21"/>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80" w:name="_Toc46688472"/>
      <w:bookmarkStart w:id="281" w:name="_Toc521951154"/>
      <w:bookmarkStart w:id="282" w:name="_Toc494567328"/>
      <w:bookmarkStart w:id="283" w:name="_Toc405313974"/>
      <w:bookmarkStart w:id="284" w:name="_Toc13821099"/>
      <w:bookmarkStart w:id="285" w:name="_Toc391627770"/>
      <w:r>
        <w:rPr>
          <w:rStyle w:val="21"/>
          <w:rFonts w:ascii="黑体" w:hAnsi="黑体" w:eastAsia="黑体"/>
          <w:bCs w:val="0"/>
          <w:spacing w:val="12"/>
          <w:highlight w:val="none"/>
        </w:rPr>
        <w:t>拟</w:t>
      </w:r>
      <w:bookmarkEnd w:id="280"/>
      <w:bookmarkEnd w:id="281"/>
      <w:bookmarkEnd w:id="282"/>
      <w:r>
        <w:rPr>
          <w:rStyle w:val="21"/>
          <w:rFonts w:hint="eastAsia" w:ascii="黑体" w:hAnsi="黑体" w:eastAsia="黑体"/>
          <w:bCs w:val="0"/>
          <w:spacing w:val="12"/>
          <w:highlight w:val="none"/>
        </w:rPr>
        <w:t>投入本项目设备情况表</w:t>
      </w:r>
    </w:p>
    <w:p>
      <w:pPr>
        <w:spacing w:before="624" w:beforeLines="200" w:after="312" w:afterLines="100" w:line="360" w:lineRule="auto"/>
        <w:jc w:val="center"/>
        <w:rPr>
          <w:rFonts w:ascii="黑体" w:hAnsi="黑体" w:eastAsia="黑体"/>
          <w:b/>
          <w:spacing w:val="10"/>
          <w:sz w:val="30"/>
          <w:szCs w:val="30"/>
          <w:highlight w:val="none"/>
        </w:rPr>
      </w:pPr>
      <w:r>
        <w:rPr>
          <w:rFonts w:hint="eastAsia" w:ascii="黑体" w:hAnsi="黑体" w:eastAsia="黑体"/>
          <w:b/>
          <w:spacing w:val="10"/>
          <w:sz w:val="30"/>
          <w:szCs w:val="30"/>
          <w:highlight w:val="none"/>
        </w:rPr>
        <w:t>拟投入本项目设备情况表</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20"/>
        <w:gridCol w:w="1503"/>
        <w:gridCol w:w="946"/>
        <w:gridCol w:w="206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87" w:type="dxa"/>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序号</w:t>
            </w:r>
          </w:p>
        </w:tc>
        <w:tc>
          <w:tcPr>
            <w:tcW w:w="2020" w:type="dxa"/>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名称</w:t>
            </w:r>
          </w:p>
        </w:tc>
        <w:tc>
          <w:tcPr>
            <w:tcW w:w="1503" w:type="dxa"/>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规格型号</w:t>
            </w:r>
          </w:p>
        </w:tc>
        <w:tc>
          <w:tcPr>
            <w:tcW w:w="946" w:type="dxa"/>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数量</w:t>
            </w:r>
          </w:p>
        </w:tc>
        <w:tc>
          <w:tcPr>
            <w:tcW w:w="2062" w:type="dxa"/>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使用年限</w:t>
            </w:r>
          </w:p>
        </w:tc>
        <w:tc>
          <w:tcPr>
            <w:tcW w:w="1304" w:type="dxa"/>
            <w:vAlign w:val="center"/>
          </w:tcPr>
          <w:p>
            <w:pPr>
              <w:spacing w:line="360" w:lineRule="auto"/>
              <w:jc w:val="center"/>
              <w:rPr>
                <w:rFonts w:ascii="黑体" w:hAnsi="黑体" w:eastAsia="黑体"/>
                <w:szCs w:val="21"/>
                <w:highlight w:val="none"/>
              </w:rPr>
            </w:pPr>
            <w:r>
              <w:rPr>
                <w:rFonts w:hint="eastAsia" w:ascii="黑体" w:hAnsi="黑体" w:eastAsia="黑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highlight w:val="none"/>
              </w:rPr>
            </w:pPr>
          </w:p>
        </w:tc>
        <w:tc>
          <w:tcPr>
            <w:tcW w:w="2020" w:type="dxa"/>
            <w:vAlign w:val="center"/>
          </w:tcPr>
          <w:p>
            <w:pPr>
              <w:spacing w:line="360" w:lineRule="auto"/>
              <w:jc w:val="center"/>
              <w:rPr>
                <w:rFonts w:ascii="黑体" w:hAnsi="黑体" w:eastAsia="黑体"/>
                <w:szCs w:val="21"/>
                <w:highlight w:val="none"/>
              </w:rPr>
            </w:pPr>
          </w:p>
        </w:tc>
        <w:tc>
          <w:tcPr>
            <w:tcW w:w="1503" w:type="dxa"/>
            <w:vAlign w:val="center"/>
          </w:tcPr>
          <w:p>
            <w:pPr>
              <w:spacing w:line="360" w:lineRule="auto"/>
              <w:jc w:val="center"/>
              <w:rPr>
                <w:rFonts w:ascii="黑体" w:hAnsi="黑体" w:eastAsia="黑体"/>
                <w:szCs w:val="21"/>
                <w:highlight w:val="none"/>
              </w:rPr>
            </w:pPr>
          </w:p>
        </w:tc>
        <w:tc>
          <w:tcPr>
            <w:tcW w:w="946" w:type="dxa"/>
            <w:vAlign w:val="center"/>
          </w:tcPr>
          <w:p>
            <w:pPr>
              <w:spacing w:line="360" w:lineRule="auto"/>
              <w:jc w:val="center"/>
              <w:rPr>
                <w:rFonts w:ascii="黑体" w:hAnsi="黑体" w:eastAsia="黑体"/>
                <w:szCs w:val="21"/>
                <w:highlight w:val="none"/>
              </w:rPr>
            </w:pPr>
          </w:p>
        </w:tc>
        <w:tc>
          <w:tcPr>
            <w:tcW w:w="2062" w:type="dxa"/>
            <w:vAlign w:val="center"/>
          </w:tcPr>
          <w:p>
            <w:pPr>
              <w:spacing w:line="360" w:lineRule="auto"/>
              <w:jc w:val="center"/>
              <w:rPr>
                <w:rFonts w:ascii="黑体" w:hAnsi="黑体" w:eastAsia="黑体"/>
                <w:szCs w:val="21"/>
                <w:highlight w:val="none"/>
              </w:rPr>
            </w:pPr>
          </w:p>
        </w:tc>
        <w:tc>
          <w:tcPr>
            <w:tcW w:w="1304" w:type="dxa"/>
            <w:vAlign w:val="center"/>
          </w:tcPr>
          <w:p>
            <w:pPr>
              <w:spacing w:line="360" w:lineRule="auto"/>
              <w:jc w:val="center"/>
              <w:rPr>
                <w:rFonts w:ascii="黑体" w:hAnsi="黑体" w:eastAsia="黑体"/>
                <w:szCs w:val="21"/>
                <w:highlight w:val="none"/>
              </w:rPr>
            </w:pPr>
          </w:p>
        </w:tc>
      </w:tr>
    </w:tbl>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3173" w:type="dxa"/>
          </w:tcPr>
          <w:p>
            <w:pPr>
              <w:spacing w:line="360" w:lineRule="auto"/>
              <w:rPr>
                <w:rFonts w:ascii="黑体" w:hAnsi="黑体" w:eastAsia="黑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3173" w:type="dxa"/>
          </w:tcPr>
          <w:p>
            <w:pPr>
              <w:spacing w:line="360" w:lineRule="auto"/>
              <w:rPr>
                <w:rFonts w:ascii="黑体" w:hAnsi="黑体" w:eastAsia="黑体"/>
                <w:szCs w:val="21"/>
                <w:highlight w:val="none"/>
              </w:rPr>
            </w:pPr>
          </w:p>
        </w:tc>
      </w:tr>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86" w:name="_Toc46688473"/>
      <w:bookmarkStart w:id="287" w:name="_Toc521951155"/>
      <w:r>
        <w:rPr>
          <w:rStyle w:val="21"/>
          <w:rFonts w:hint="eastAsia" w:ascii="黑体" w:hAnsi="黑体" w:eastAsia="黑体"/>
          <w:bCs w:val="0"/>
          <w:spacing w:val="12"/>
          <w:highlight w:val="none"/>
        </w:rPr>
        <w:t>货物详细说明</w:t>
      </w:r>
      <w:bookmarkEnd w:id="286"/>
      <w:bookmarkEnd w:id="287"/>
    </w:p>
    <w:p>
      <w:pPr>
        <w:spacing w:before="624" w:beforeLines="200" w:after="312" w:afterLines="100" w:line="360" w:lineRule="auto"/>
        <w:jc w:val="center"/>
        <w:rPr>
          <w:rFonts w:ascii="黑体" w:hAnsi="黑体" w:eastAsia="黑体"/>
          <w:b/>
          <w:spacing w:val="20"/>
          <w:sz w:val="30"/>
          <w:szCs w:val="30"/>
          <w:highlight w:val="none"/>
        </w:rPr>
      </w:pPr>
      <w:r>
        <w:rPr>
          <w:rFonts w:hint="eastAsia" w:ascii="黑体" w:hAnsi="黑体" w:eastAsia="黑体"/>
          <w:b/>
          <w:spacing w:val="20"/>
          <w:sz w:val="30"/>
          <w:szCs w:val="30"/>
          <w:highlight w:val="none"/>
        </w:rPr>
        <w:t>货物详细说明</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9"/>
        <w:gridCol w:w="1307"/>
        <w:gridCol w:w="786"/>
        <w:gridCol w:w="1059"/>
        <w:gridCol w:w="1578"/>
        <w:gridCol w:w="1066"/>
        <w:gridCol w:w="1324"/>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94" w:type="pct"/>
            <w:vAlign w:val="center"/>
          </w:tcPr>
          <w:p>
            <w:pPr>
              <w:jc w:val="center"/>
              <w:rPr>
                <w:rFonts w:ascii="黑体" w:hAnsi="黑体" w:eastAsia="黑体"/>
                <w:highlight w:val="none"/>
              </w:rPr>
            </w:pPr>
            <w:r>
              <w:rPr>
                <w:rFonts w:hint="eastAsia" w:ascii="黑体" w:hAnsi="黑体" w:eastAsia="黑体"/>
                <w:highlight w:val="none"/>
              </w:rPr>
              <w:t>序号</w:t>
            </w:r>
          </w:p>
        </w:tc>
        <w:tc>
          <w:tcPr>
            <w:tcW w:w="758" w:type="pct"/>
            <w:vAlign w:val="center"/>
          </w:tcPr>
          <w:p>
            <w:pPr>
              <w:jc w:val="center"/>
              <w:rPr>
                <w:rFonts w:ascii="黑体" w:hAnsi="黑体" w:eastAsia="黑体"/>
                <w:highlight w:val="none"/>
              </w:rPr>
            </w:pPr>
            <w:r>
              <w:rPr>
                <w:rFonts w:hint="eastAsia" w:ascii="黑体" w:hAnsi="黑体" w:eastAsia="黑体"/>
                <w:highlight w:val="none"/>
              </w:rPr>
              <w:t>货物名称</w:t>
            </w:r>
          </w:p>
        </w:tc>
        <w:tc>
          <w:tcPr>
            <w:tcW w:w="456" w:type="pct"/>
            <w:vAlign w:val="center"/>
          </w:tcPr>
          <w:p>
            <w:pPr>
              <w:jc w:val="center"/>
              <w:rPr>
                <w:rFonts w:ascii="黑体" w:hAnsi="黑体" w:eastAsia="黑体"/>
                <w:highlight w:val="none"/>
              </w:rPr>
            </w:pPr>
            <w:r>
              <w:rPr>
                <w:rFonts w:hint="eastAsia" w:ascii="黑体" w:hAnsi="黑体" w:eastAsia="黑体"/>
                <w:highlight w:val="none"/>
              </w:rPr>
              <w:t>数量</w:t>
            </w:r>
          </w:p>
        </w:tc>
        <w:tc>
          <w:tcPr>
            <w:tcW w:w="614" w:type="pct"/>
            <w:vAlign w:val="center"/>
          </w:tcPr>
          <w:p>
            <w:pPr>
              <w:jc w:val="center"/>
              <w:rPr>
                <w:rFonts w:ascii="黑体" w:hAnsi="黑体" w:eastAsia="黑体"/>
                <w:highlight w:val="none"/>
              </w:rPr>
            </w:pPr>
            <w:r>
              <w:rPr>
                <w:rFonts w:hint="eastAsia" w:ascii="黑体" w:hAnsi="黑体" w:eastAsia="黑体"/>
                <w:highlight w:val="none"/>
              </w:rPr>
              <w:t>品牌</w:t>
            </w:r>
          </w:p>
        </w:tc>
        <w:tc>
          <w:tcPr>
            <w:tcW w:w="915" w:type="pct"/>
            <w:vAlign w:val="center"/>
          </w:tcPr>
          <w:p>
            <w:pPr>
              <w:jc w:val="center"/>
              <w:rPr>
                <w:rFonts w:ascii="黑体" w:hAnsi="黑体" w:eastAsia="黑体"/>
                <w:highlight w:val="none"/>
              </w:rPr>
            </w:pPr>
            <w:r>
              <w:rPr>
                <w:rFonts w:hint="eastAsia" w:ascii="黑体" w:hAnsi="黑体" w:eastAsia="黑体"/>
                <w:highlight w:val="none"/>
              </w:rPr>
              <w:t>规格型号</w:t>
            </w:r>
          </w:p>
        </w:tc>
        <w:tc>
          <w:tcPr>
            <w:tcW w:w="618" w:type="pct"/>
            <w:vAlign w:val="center"/>
          </w:tcPr>
          <w:p>
            <w:pPr>
              <w:jc w:val="center"/>
              <w:rPr>
                <w:rFonts w:ascii="黑体" w:hAnsi="黑体" w:eastAsia="黑体"/>
                <w:highlight w:val="none"/>
              </w:rPr>
            </w:pPr>
            <w:r>
              <w:rPr>
                <w:rFonts w:hint="eastAsia" w:ascii="黑体" w:hAnsi="黑体" w:eastAsia="黑体"/>
                <w:highlight w:val="none"/>
              </w:rPr>
              <w:t>产地</w:t>
            </w:r>
          </w:p>
        </w:tc>
        <w:tc>
          <w:tcPr>
            <w:tcW w:w="768" w:type="pct"/>
            <w:vAlign w:val="center"/>
          </w:tcPr>
          <w:p>
            <w:pPr>
              <w:jc w:val="center"/>
              <w:rPr>
                <w:rFonts w:ascii="黑体" w:hAnsi="黑体" w:eastAsia="黑体"/>
                <w:highlight w:val="none"/>
              </w:rPr>
            </w:pPr>
            <w:r>
              <w:rPr>
                <w:rFonts w:hint="eastAsia" w:ascii="黑体" w:hAnsi="黑体" w:eastAsia="黑体"/>
                <w:highlight w:val="none"/>
              </w:rPr>
              <w:t>性能及技术参数</w:t>
            </w:r>
          </w:p>
        </w:tc>
        <w:tc>
          <w:tcPr>
            <w:tcW w:w="477" w:type="pct"/>
            <w:vAlign w:val="center"/>
          </w:tcPr>
          <w:p>
            <w:pPr>
              <w:jc w:val="center"/>
              <w:rPr>
                <w:rFonts w:ascii="黑体" w:hAnsi="黑体" w:eastAsia="黑体"/>
                <w:highlight w:val="none"/>
              </w:rPr>
            </w:pPr>
            <w:r>
              <w:rPr>
                <w:rFonts w:hint="eastAsia" w:ascii="黑体" w:hAnsi="黑体" w:eastAsia="黑体"/>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pPr>
              <w:spacing w:line="480" w:lineRule="auto"/>
              <w:jc w:val="center"/>
              <w:rPr>
                <w:rFonts w:ascii="黑体" w:hAnsi="黑体" w:eastAsia="黑体"/>
                <w:szCs w:val="21"/>
                <w:highlight w:val="none"/>
              </w:rPr>
            </w:pPr>
          </w:p>
        </w:tc>
        <w:tc>
          <w:tcPr>
            <w:tcW w:w="758" w:type="pct"/>
            <w:vAlign w:val="center"/>
          </w:tcPr>
          <w:p>
            <w:pPr>
              <w:spacing w:line="480" w:lineRule="auto"/>
              <w:jc w:val="center"/>
              <w:rPr>
                <w:rFonts w:ascii="黑体" w:hAnsi="黑体" w:eastAsia="黑体"/>
                <w:szCs w:val="21"/>
                <w:highlight w:val="none"/>
              </w:rPr>
            </w:pPr>
          </w:p>
        </w:tc>
        <w:tc>
          <w:tcPr>
            <w:tcW w:w="456" w:type="pct"/>
            <w:vAlign w:val="center"/>
          </w:tcPr>
          <w:p>
            <w:pPr>
              <w:spacing w:line="480" w:lineRule="auto"/>
              <w:jc w:val="center"/>
              <w:rPr>
                <w:rFonts w:ascii="黑体" w:hAnsi="黑体" w:eastAsia="黑体"/>
                <w:szCs w:val="21"/>
                <w:highlight w:val="none"/>
              </w:rPr>
            </w:pPr>
          </w:p>
        </w:tc>
        <w:tc>
          <w:tcPr>
            <w:tcW w:w="614" w:type="pct"/>
            <w:vAlign w:val="center"/>
          </w:tcPr>
          <w:p>
            <w:pPr>
              <w:spacing w:line="480" w:lineRule="auto"/>
              <w:jc w:val="center"/>
              <w:rPr>
                <w:rFonts w:ascii="黑体" w:hAnsi="黑体" w:eastAsia="黑体"/>
                <w:szCs w:val="21"/>
                <w:highlight w:val="none"/>
              </w:rPr>
            </w:pPr>
          </w:p>
        </w:tc>
        <w:tc>
          <w:tcPr>
            <w:tcW w:w="915" w:type="pct"/>
            <w:vAlign w:val="center"/>
          </w:tcPr>
          <w:p>
            <w:pPr>
              <w:spacing w:line="480" w:lineRule="auto"/>
              <w:jc w:val="center"/>
              <w:rPr>
                <w:rFonts w:ascii="黑体" w:hAnsi="黑体" w:eastAsia="黑体"/>
                <w:szCs w:val="21"/>
                <w:highlight w:val="none"/>
              </w:rPr>
            </w:pPr>
          </w:p>
        </w:tc>
        <w:tc>
          <w:tcPr>
            <w:tcW w:w="618" w:type="pct"/>
            <w:vAlign w:val="center"/>
          </w:tcPr>
          <w:p>
            <w:pPr>
              <w:spacing w:line="480" w:lineRule="auto"/>
              <w:jc w:val="center"/>
              <w:rPr>
                <w:rFonts w:ascii="黑体" w:hAnsi="黑体" w:eastAsia="黑体"/>
                <w:szCs w:val="21"/>
                <w:highlight w:val="none"/>
              </w:rPr>
            </w:pPr>
          </w:p>
        </w:tc>
        <w:tc>
          <w:tcPr>
            <w:tcW w:w="768" w:type="pct"/>
          </w:tcPr>
          <w:p>
            <w:pPr>
              <w:spacing w:line="480" w:lineRule="auto"/>
              <w:jc w:val="center"/>
              <w:rPr>
                <w:rFonts w:ascii="黑体" w:hAnsi="黑体" w:eastAsia="黑体"/>
                <w:szCs w:val="21"/>
                <w:highlight w:val="none"/>
              </w:rPr>
            </w:pPr>
          </w:p>
        </w:tc>
        <w:tc>
          <w:tcPr>
            <w:tcW w:w="477" w:type="pct"/>
          </w:tcPr>
          <w:p>
            <w:pPr>
              <w:spacing w:line="480" w:lineRule="auto"/>
              <w:jc w:val="center"/>
              <w:rPr>
                <w:rFonts w:ascii="黑体" w:hAnsi="黑体" w:eastAsia="黑体"/>
                <w:szCs w:val="21"/>
                <w:highlight w:val="none"/>
              </w:rPr>
            </w:pPr>
          </w:p>
        </w:tc>
      </w:tr>
    </w:tbl>
    <w:p>
      <w:pPr>
        <w:pStyle w:val="7"/>
        <w:overflowPunct w:val="0"/>
        <w:spacing w:before="156" w:beforeLines="50" w:after="0" w:line="360" w:lineRule="auto"/>
        <w:rPr>
          <w:rFonts w:ascii="黑体" w:hAnsi="黑体" w:eastAsia="黑体"/>
          <w:szCs w:val="21"/>
          <w:highlight w:val="none"/>
        </w:rPr>
      </w:pPr>
    </w:p>
    <w:p>
      <w:pPr>
        <w:pStyle w:val="7"/>
        <w:overflowPunct w:val="0"/>
        <w:spacing w:before="156" w:beforeLines="50" w:after="0" w:line="360" w:lineRule="auto"/>
        <w:rPr>
          <w:rFonts w:ascii="黑体" w:hAnsi="黑体" w:eastAsia="黑体"/>
          <w:szCs w:val="21"/>
          <w:highlight w:val="none"/>
        </w:rPr>
      </w:pPr>
      <w:r>
        <w:rPr>
          <w:rFonts w:hint="eastAsia" w:ascii="黑体" w:hAnsi="黑体" w:eastAsia="黑体"/>
          <w:szCs w:val="21"/>
          <w:highlight w:val="none"/>
        </w:rPr>
        <w:t>注明：</w:t>
      </w:r>
    </w:p>
    <w:p>
      <w:pPr>
        <w:pStyle w:val="59"/>
        <w:numPr>
          <w:ilvl w:val="0"/>
          <w:numId w:val="109"/>
        </w:numPr>
        <w:spacing w:line="360" w:lineRule="auto"/>
        <w:ind w:firstLineChars="0"/>
        <w:rPr>
          <w:rFonts w:ascii="黑体" w:hAnsi="黑体" w:eastAsia="黑体"/>
          <w:szCs w:val="21"/>
          <w:highlight w:val="none"/>
        </w:rPr>
      </w:pPr>
      <w:r>
        <w:rPr>
          <w:rFonts w:hint="eastAsia" w:ascii="黑体" w:hAnsi="黑体" w:eastAsia="黑体"/>
          <w:szCs w:val="21"/>
          <w:highlight w:val="none"/>
        </w:rPr>
        <w:t>供应商应按采购文件要求，根据“采购需求”详细列出产品的各项技术要求、技术措施或处理（须提供“采购需求”中要求提交的证明资料）</w:t>
      </w: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ascii="黑体" w:hAnsi="黑体" w:eastAsia="黑体"/>
                <w:szCs w:val="21"/>
                <w:highlight w:val="none"/>
                <w:u w:val="single"/>
              </w:rPr>
              <w:t xml:space="preserve">                         </w:t>
            </w:r>
          </w:p>
        </w:tc>
        <w:tc>
          <w:tcPr>
            <w:tcW w:w="3173" w:type="dxa"/>
          </w:tcPr>
          <w:p>
            <w:pPr>
              <w:spacing w:line="360" w:lineRule="auto"/>
              <w:rPr>
                <w:rFonts w:ascii="黑体" w:hAnsi="黑体" w:eastAsia="黑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ascii="黑体" w:hAnsi="黑体" w:eastAsia="黑体"/>
                <w:szCs w:val="21"/>
                <w:highlight w:val="none"/>
                <w:u w:val="single"/>
              </w:rPr>
              <w:t xml:space="preserve">             年           月            日</w:t>
            </w:r>
          </w:p>
        </w:tc>
        <w:tc>
          <w:tcPr>
            <w:tcW w:w="3173" w:type="dxa"/>
          </w:tcPr>
          <w:p>
            <w:pPr>
              <w:spacing w:line="360" w:lineRule="auto"/>
              <w:rPr>
                <w:rFonts w:ascii="黑体" w:hAnsi="黑体" w:eastAsia="黑体"/>
                <w:szCs w:val="21"/>
                <w:highlight w:val="none"/>
              </w:rPr>
            </w:pPr>
          </w:p>
        </w:tc>
      </w:tr>
    </w:tbl>
    <w:p>
      <w:pPr>
        <w:rPr>
          <w:rFonts w:ascii="黑体" w:hAnsi="黑体" w:eastAsia="黑体"/>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r>
        <w:rPr>
          <w:rStyle w:val="21"/>
          <w:rFonts w:hint="eastAsia" w:ascii="黑体" w:hAnsi="黑体" w:eastAsia="黑体"/>
          <w:bCs w:val="0"/>
          <w:spacing w:val="12"/>
          <w:highlight w:val="none"/>
        </w:rPr>
        <w:t>项目服务人员配置情况表</w:t>
      </w:r>
      <w:bookmarkEnd w:id="283"/>
      <w:bookmarkEnd w:id="284"/>
      <w:bookmarkEnd w:id="285"/>
    </w:p>
    <w:p>
      <w:pPr>
        <w:spacing w:before="624" w:beforeLines="200" w:after="312" w:afterLines="100" w:line="360" w:lineRule="auto"/>
        <w:jc w:val="center"/>
        <w:rPr>
          <w:rFonts w:ascii="黑体" w:hAnsi="黑体" w:eastAsia="黑体"/>
          <w:b/>
          <w:spacing w:val="20"/>
          <w:sz w:val="28"/>
          <w:szCs w:val="28"/>
          <w:highlight w:val="none"/>
        </w:rPr>
      </w:pPr>
      <w:r>
        <w:rPr>
          <w:rFonts w:hint="eastAsia" w:ascii="黑体" w:hAnsi="黑体" w:eastAsia="黑体"/>
          <w:b/>
          <w:spacing w:val="20"/>
          <w:sz w:val="28"/>
          <w:szCs w:val="28"/>
          <w:highlight w:val="none"/>
        </w:rPr>
        <w:t>项目服务人员配置情况表</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126"/>
        <w:gridCol w:w="1274"/>
        <w:gridCol w:w="1864"/>
        <w:gridCol w:w="1431"/>
        <w:gridCol w:w="1003"/>
        <w:gridCol w:w="1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pPr>
              <w:jc w:val="center"/>
              <w:rPr>
                <w:rFonts w:ascii="黑体" w:hAnsi="黑体" w:eastAsia="黑体"/>
                <w:szCs w:val="21"/>
                <w:highlight w:val="none"/>
              </w:rPr>
            </w:pPr>
            <w:r>
              <w:rPr>
                <w:rFonts w:hint="eastAsia" w:ascii="黑体" w:hAnsi="黑体" w:eastAsia="黑体"/>
                <w:szCs w:val="21"/>
                <w:highlight w:val="none"/>
              </w:rPr>
              <w:t>序号</w:t>
            </w:r>
          </w:p>
        </w:tc>
        <w:tc>
          <w:tcPr>
            <w:tcW w:w="653" w:type="pct"/>
            <w:vAlign w:val="center"/>
          </w:tcPr>
          <w:p>
            <w:pPr>
              <w:jc w:val="center"/>
              <w:rPr>
                <w:rFonts w:ascii="黑体" w:hAnsi="黑体" w:eastAsia="黑体"/>
                <w:szCs w:val="21"/>
                <w:highlight w:val="none"/>
              </w:rPr>
            </w:pPr>
            <w:r>
              <w:rPr>
                <w:rFonts w:hint="eastAsia" w:ascii="黑体" w:hAnsi="黑体" w:eastAsia="黑体"/>
                <w:szCs w:val="21"/>
                <w:highlight w:val="none"/>
              </w:rPr>
              <w:t>姓名</w:t>
            </w:r>
          </w:p>
        </w:tc>
        <w:tc>
          <w:tcPr>
            <w:tcW w:w="739" w:type="pct"/>
            <w:vAlign w:val="center"/>
          </w:tcPr>
          <w:p>
            <w:pPr>
              <w:jc w:val="center"/>
              <w:rPr>
                <w:rFonts w:ascii="黑体" w:hAnsi="黑体" w:eastAsia="黑体"/>
                <w:szCs w:val="21"/>
                <w:highlight w:val="none"/>
              </w:rPr>
            </w:pPr>
            <w:r>
              <w:rPr>
                <w:rFonts w:hint="eastAsia" w:ascii="黑体" w:hAnsi="黑体" w:eastAsia="黑体"/>
                <w:szCs w:val="21"/>
                <w:highlight w:val="none"/>
              </w:rPr>
              <w:t>职位</w:t>
            </w:r>
          </w:p>
        </w:tc>
        <w:tc>
          <w:tcPr>
            <w:tcW w:w="1081" w:type="pct"/>
            <w:vAlign w:val="center"/>
          </w:tcPr>
          <w:p>
            <w:pPr>
              <w:jc w:val="center"/>
              <w:rPr>
                <w:rFonts w:ascii="黑体" w:hAnsi="黑体" w:eastAsia="黑体"/>
                <w:szCs w:val="21"/>
                <w:highlight w:val="none"/>
              </w:rPr>
            </w:pPr>
            <w:r>
              <w:rPr>
                <w:rFonts w:hint="eastAsia" w:ascii="黑体" w:hAnsi="黑体" w:eastAsia="黑体"/>
                <w:szCs w:val="21"/>
                <w:highlight w:val="none"/>
              </w:rPr>
              <w:t>持何种资格证件</w:t>
            </w:r>
          </w:p>
        </w:tc>
        <w:tc>
          <w:tcPr>
            <w:tcW w:w="830" w:type="pct"/>
            <w:vAlign w:val="center"/>
          </w:tcPr>
          <w:p>
            <w:pPr>
              <w:jc w:val="center"/>
              <w:rPr>
                <w:rFonts w:ascii="黑体" w:hAnsi="黑体" w:eastAsia="黑体"/>
                <w:szCs w:val="21"/>
                <w:highlight w:val="none"/>
              </w:rPr>
            </w:pPr>
            <w:r>
              <w:rPr>
                <w:rFonts w:hint="eastAsia" w:ascii="黑体" w:hAnsi="黑体" w:eastAsia="黑体"/>
                <w:szCs w:val="21"/>
                <w:highlight w:val="none"/>
              </w:rPr>
              <w:t>发证时间</w:t>
            </w:r>
          </w:p>
        </w:tc>
        <w:tc>
          <w:tcPr>
            <w:tcW w:w="582" w:type="pct"/>
            <w:vAlign w:val="center"/>
          </w:tcPr>
          <w:p>
            <w:pPr>
              <w:jc w:val="center"/>
              <w:rPr>
                <w:rFonts w:ascii="黑体" w:hAnsi="黑体" w:eastAsia="黑体"/>
                <w:szCs w:val="21"/>
                <w:highlight w:val="none"/>
              </w:rPr>
            </w:pPr>
            <w:r>
              <w:rPr>
                <w:rFonts w:hint="eastAsia" w:ascii="黑体" w:hAnsi="黑体" w:eastAsia="黑体"/>
                <w:szCs w:val="21"/>
                <w:highlight w:val="none"/>
              </w:rPr>
              <w:t>学历</w:t>
            </w:r>
          </w:p>
        </w:tc>
        <w:tc>
          <w:tcPr>
            <w:tcW w:w="699" w:type="pct"/>
            <w:vAlign w:val="center"/>
          </w:tcPr>
          <w:p>
            <w:pPr>
              <w:jc w:val="center"/>
              <w:rPr>
                <w:rFonts w:ascii="黑体" w:hAnsi="黑体" w:eastAsia="黑体"/>
                <w:szCs w:val="21"/>
                <w:highlight w:val="none"/>
              </w:rPr>
            </w:pPr>
            <w:r>
              <w:rPr>
                <w:rFonts w:hint="eastAsia" w:ascii="黑体" w:hAnsi="黑体" w:eastAsia="黑体"/>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spacing w:line="480" w:lineRule="auto"/>
              <w:jc w:val="center"/>
              <w:rPr>
                <w:rFonts w:ascii="黑体" w:hAnsi="黑体" w:eastAsia="黑体"/>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spacing w:line="480" w:lineRule="auto"/>
              <w:jc w:val="center"/>
              <w:rPr>
                <w:rFonts w:ascii="黑体" w:hAnsi="黑体" w:eastAsia="黑体"/>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spacing w:line="480" w:lineRule="auto"/>
              <w:jc w:val="center"/>
              <w:rPr>
                <w:rFonts w:ascii="黑体" w:hAnsi="黑体" w:eastAsia="黑体"/>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spacing w:line="480" w:lineRule="auto"/>
              <w:jc w:val="center"/>
              <w:rPr>
                <w:rFonts w:ascii="黑体" w:hAnsi="黑体" w:eastAsia="黑体"/>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widowControl/>
              <w:tabs>
                <w:tab w:val="right" w:leader="dot" w:pos="8302"/>
              </w:tabs>
              <w:spacing w:line="480" w:lineRule="auto"/>
              <w:jc w:val="center"/>
              <w:rPr>
                <w:rFonts w:ascii="黑体" w:hAnsi="黑体" w:eastAsia="黑体"/>
                <w:kern w:val="0"/>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widowControl/>
              <w:tabs>
                <w:tab w:val="right" w:leader="dot" w:pos="8302"/>
              </w:tabs>
              <w:spacing w:line="480" w:lineRule="auto"/>
              <w:jc w:val="center"/>
              <w:rPr>
                <w:rFonts w:ascii="黑体" w:hAnsi="黑体" w:eastAsia="黑体"/>
                <w:kern w:val="0"/>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spacing w:line="480" w:lineRule="auto"/>
              <w:jc w:val="center"/>
              <w:rPr>
                <w:rFonts w:ascii="黑体" w:hAnsi="黑体" w:eastAsia="黑体"/>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黑体" w:hAnsi="黑体" w:eastAsia="黑体"/>
                <w:szCs w:val="21"/>
                <w:highlight w:val="none"/>
              </w:rPr>
            </w:pPr>
          </w:p>
        </w:tc>
        <w:tc>
          <w:tcPr>
            <w:tcW w:w="653" w:type="pct"/>
            <w:vAlign w:val="center"/>
          </w:tcPr>
          <w:p>
            <w:pPr>
              <w:spacing w:line="480" w:lineRule="auto"/>
              <w:jc w:val="center"/>
              <w:rPr>
                <w:rFonts w:ascii="黑体" w:hAnsi="黑体" w:eastAsia="黑体"/>
                <w:szCs w:val="21"/>
                <w:highlight w:val="none"/>
              </w:rPr>
            </w:pPr>
          </w:p>
        </w:tc>
        <w:tc>
          <w:tcPr>
            <w:tcW w:w="739" w:type="pct"/>
            <w:vAlign w:val="center"/>
          </w:tcPr>
          <w:p>
            <w:pPr>
              <w:spacing w:line="480" w:lineRule="auto"/>
              <w:jc w:val="center"/>
              <w:rPr>
                <w:rFonts w:ascii="黑体" w:hAnsi="黑体" w:eastAsia="黑体"/>
                <w:szCs w:val="21"/>
                <w:highlight w:val="none"/>
              </w:rPr>
            </w:pPr>
          </w:p>
        </w:tc>
        <w:tc>
          <w:tcPr>
            <w:tcW w:w="1081" w:type="pct"/>
            <w:vAlign w:val="center"/>
          </w:tcPr>
          <w:p>
            <w:pPr>
              <w:spacing w:line="480" w:lineRule="auto"/>
              <w:jc w:val="center"/>
              <w:rPr>
                <w:rFonts w:ascii="黑体" w:hAnsi="黑体" w:eastAsia="黑体"/>
                <w:szCs w:val="21"/>
                <w:highlight w:val="none"/>
              </w:rPr>
            </w:pPr>
          </w:p>
        </w:tc>
        <w:tc>
          <w:tcPr>
            <w:tcW w:w="830" w:type="pct"/>
          </w:tcPr>
          <w:p>
            <w:pPr>
              <w:spacing w:line="480" w:lineRule="auto"/>
              <w:jc w:val="center"/>
              <w:rPr>
                <w:rFonts w:ascii="黑体" w:hAnsi="黑体" w:eastAsia="黑体"/>
                <w:szCs w:val="21"/>
                <w:highlight w:val="none"/>
              </w:rPr>
            </w:pPr>
          </w:p>
        </w:tc>
        <w:tc>
          <w:tcPr>
            <w:tcW w:w="582" w:type="pct"/>
            <w:vAlign w:val="center"/>
          </w:tcPr>
          <w:p>
            <w:pPr>
              <w:spacing w:line="480" w:lineRule="auto"/>
              <w:jc w:val="center"/>
              <w:rPr>
                <w:rFonts w:ascii="黑体" w:hAnsi="黑体" w:eastAsia="黑体"/>
                <w:szCs w:val="21"/>
                <w:highlight w:val="none"/>
              </w:rPr>
            </w:pPr>
          </w:p>
        </w:tc>
        <w:tc>
          <w:tcPr>
            <w:tcW w:w="699" w:type="pct"/>
          </w:tcPr>
          <w:p>
            <w:pPr>
              <w:spacing w:line="480" w:lineRule="auto"/>
              <w:jc w:val="center"/>
              <w:rPr>
                <w:rFonts w:ascii="黑体" w:hAnsi="黑体" w:eastAsia="黑体"/>
                <w:szCs w:val="21"/>
                <w:highlight w:val="none"/>
              </w:rPr>
            </w:pPr>
          </w:p>
        </w:tc>
      </w:tr>
    </w:tbl>
    <w:p>
      <w:pPr>
        <w:spacing w:line="360" w:lineRule="auto"/>
        <w:rPr>
          <w:rFonts w:ascii="黑体" w:hAnsi="黑体" w:eastAsia="黑体"/>
          <w:highlight w:val="none"/>
        </w:rPr>
      </w:pPr>
    </w:p>
    <w:p>
      <w:pPr>
        <w:spacing w:line="360" w:lineRule="auto"/>
        <w:rPr>
          <w:rFonts w:ascii="黑体" w:hAnsi="黑体" w:eastAsia="黑体"/>
          <w:highlight w:val="none"/>
        </w:rPr>
      </w:pPr>
    </w:p>
    <w:p>
      <w:pPr>
        <w:spacing w:line="360" w:lineRule="auto"/>
        <w:rPr>
          <w:rFonts w:ascii="黑体" w:hAnsi="黑体" w:eastAsia="黑体"/>
          <w:highlight w:val="none"/>
        </w:rPr>
      </w:pPr>
    </w:p>
    <w:tbl>
      <w:tblPr>
        <w:tblStyle w:val="18"/>
        <w:tblW w:w="0" w:type="auto"/>
        <w:tblInd w:w="0" w:type="dxa"/>
        <w:tblLayout w:type="autofit"/>
        <w:tblCellMar>
          <w:top w:w="0" w:type="dxa"/>
          <w:left w:w="108" w:type="dxa"/>
          <w:bottom w:w="0" w:type="dxa"/>
          <w:right w:w="108" w:type="dxa"/>
        </w:tblCellMar>
      </w:tblPr>
      <w:tblGrid>
        <w:gridCol w:w="6379"/>
        <w:gridCol w:w="1927"/>
      </w:tblGrid>
      <w:tr>
        <w:tblPrEx>
          <w:tblCellMar>
            <w:top w:w="0" w:type="dxa"/>
            <w:left w:w="108" w:type="dxa"/>
            <w:bottom w:w="0" w:type="dxa"/>
            <w:right w:w="108" w:type="dxa"/>
          </w:tblCellMar>
        </w:tblPrEx>
        <w:tc>
          <w:tcPr>
            <w:tcW w:w="6379"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1927"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379"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1927" w:type="dxa"/>
          </w:tcPr>
          <w:p>
            <w:pPr>
              <w:spacing w:line="360" w:lineRule="auto"/>
              <w:rPr>
                <w:rFonts w:ascii="黑体" w:hAnsi="黑体" w:eastAsia="黑体"/>
                <w:szCs w:val="21"/>
                <w:highlight w:val="none"/>
              </w:rPr>
            </w:pPr>
          </w:p>
        </w:tc>
      </w:tr>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88" w:name="_Toc391627771"/>
      <w:bookmarkStart w:id="289" w:name="_Toc405313975"/>
      <w:bookmarkStart w:id="290" w:name="_Toc13821100"/>
      <w:r>
        <w:rPr>
          <w:rStyle w:val="21"/>
          <w:rFonts w:hint="eastAsia" w:ascii="黑体" w:hAnsi="黑体" w:eastAsia="黑体"/>
          <w:bCs w:val="0"/>
          <w:spacing w:val="12"/>
          <w:highlight w:val="none"/>
        </w:rPr>
        <w:t>拟担任本项目主要负责人简历表</w:t>
      </w:r>
      <w:bookmarkEnd w:id="288"/>
      <w:bookmarkEnd w:id="289"/>
      <w:bookmarkEnd w:id="290"/>
    </w:p>
    <w:p>
      <w:pPr>
        <w:keepNext w:val="0"/>
        <w:keepLines w:val="0"/>
        <w:pageBreakBefore w:val="0"/>
        <w:widowControl w:val="0"/>
        <w:kinsoku/>
        <w:wordWrap/>
        <w:overflowPunct/>
        <w:topLinePunct w:val="0"/>
        <w:autoSpaceDE/>
        <w:autoSpaceDN/>
        <w:bidi w:val="0"/>
        <w:adjustRightInd/>
        <w:snapToGrid/>
        <w:spacing w:before="469" w:beforeLines="150" w:after="312" w:afterLines="100" w:line="360" w:lineRule="auto"/>
        <w:jc w:val="center"/>
        <w:textAlignment w:val="auto"/>
        <w:rPr>
          <w:rFonts w:ascii="黑体" w:hAnsi="黑体" w:eastAsia="黑体"/>
          <w:szCs w:val="21"/>
          <w:highlight w:val="none"/>
        </w:rPr>
      </w:pPr>
      <w:r>
        <w:rPr>
          <w:rFonts w:hint="eastAsia" w:ascii="黑体" w:hAnsi="黑体" w:eastAsia="黑体"/>
          <w:b/>
          <w:spacing w:val="20"/>
          <w:sz w:val="28"/>
          <w:szCs w:val="28"/>
          <w:highlight w:val="none"/>
        </w:rPr>
        <w:t>拟担任本项目主要负责人简历表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735"/>
        <w:gridCol w:w="1338"/>
        <w:gridCol w:w="319"/>
        <w:gridCol w:w="181"/>
        <w:gridCol w:w="828"/>
        <w:gridCol w:w="536"/>
        <w:gridCol w:w="12"/>
        <w:gridCol w:w="1110"/>
        <w:gridCol w:w="428"/>
        <w:gridCol w:w="636"/>
        <w:gridCol w:w="403"/>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pPr>
              <w:jc w:val="center"/>
              <w:rPr>
                <w:rFonts w:ascii="黑体" w:hAnsi="黑体" w:eastAsia="黑体"/>
                <w:szCs w:val="21"/>
                <w:highlight w:val="none"/>
              </w:rPr>
            </w:pPr>
            <w:r>
              <w:rPr>
                <w:rFonts w:hint="eastAsia" w:ascii="黑体" w:hAnsi="黑体" w:eastAsia="黑体"/>
                <w:szCs w:val="21"/>
                <w:highlight w:val="none"/>
              </w:rPr>
              <w:t>姓名</w:t>
            </w:r>
          </w:p>
        </w:tc>
        <w:tc>
          <w:tcPr>
            <w:tcW w:w="1492" w:type="pct"/>
            <w:gridSpan w:val="4"/>
            <w:vAlign w:val="center"/>
          </w:tcPr>
          <w:p>
            <w:pPr>
              <w:jc w:val="center"/>
              <w:rPr>
                <w:rFonts w:ascii="黑体" w:hAnsi="黑体" w:eastAsia="黑体"/>
                <w:szCs w:val="21"/>
                <w:highlight w:val="none"/>
              </w:rPr>
            </w:pPr>
          </w:p>
        </w:tc>
        <w:tc>
          <w:tcPr>
            <w:tcW w:w="480" w:type="pct"/>
            <w:vAlign w:val="center"/>
          </w:tcPr>
          <w:p>
            <w:pPr>
              <w:jc w:val="center"/>
              <w:rPr>
                <w:rFonts w:ascii="黑体" w:hAnsi="黑体" w:eastAsia="黑体"/>
                <w:szCs w:val="21"/>
                <w:highlight w:val="none"/>
              </w:rPr>
            </w:pPr>
            <w:r>
              <w:rPr>
                <w:rFonts w:hint="eastAsia" w:ascii="黑体" w:hAnsi="黑体" w:eastAsia="黑体"/>
                <w:szCs w:val="21"/>
                <w:highlight w:val="none"/>
              </w:rPr>
              <w:t>性别</w:t>
            </w:r>
          </w:p>
        </w:tc>
        <w:tc>
          <w:tcPr>
            <w:tcW w:w="962" w:type="pct"/>
            <w:gridSpan w:val="3"/>
            <w:vAlign w:val="center"/>
          </w:tcPr>
          <w:p>
            <w:pPr>
              <w:jc w:val="center"/>
              <w:rPr>
                <w:rFonts w:ascii="黑体" w:hAnsi="黑体" w:eastAsia="黑体"/>
                <w:szCs w:val="21"/>
                <w:highlight w:val="none"/>
              </w:rPr>
            </w:pPr>
          </w:p>
        </w:tc>
        <w:tc>
          <w:tcPr>
            <w:tcW w:w="617" w:type="pct"/>
            <w:gridSpan w:val="2"/>
            <w:vAlign w:val="center"/>
          </w:tcPr>
          <w:p>
            <w:pPr>
              <w:jc w:val="center"/>
              <w:rPr>
                <w:rFonts w:ascii="黑体" w:hAnsi="黑体" w:eastAsia="黑体"/>
                <w:szCs w:val="21"/>
                <w:highlight w:val="none"/>
              </w:rPr>
            </w:pPr>
            <w:r>
              <w:rPr>
                <w:rFonts w:hint="eastAsia" w:ascii="黑体" w:hAnsi="黑体" w:eastAsia="黑体"/>
                <w:szCs w:val="21"/>
                <w:highlight w:val="none"/>
              </w:rPr>
              <w:t>年龄</w:t>
            </w:r>
          </w:p>
        </w:tc>
        <w:tc>
          <w:tcPr>
            <w:tcW w:w="1030" w:type="pct"/>
            <w:gridSpan w:val="2"/>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pPr>
              <w:jc w:val="center"/>
              <w:rPr>
                <w:rFonts w:ascii="黑体" w:hAnsi="黑体" w:eastAsia="黑体"/>
                <w:szCs w:val="21"/>
                <w:highlight w:val="none"/>
              </w:rPr>
            </w:pPr>
            <w:r>
              <w:rPr>
                <w:rFonts w:hint="eastAsia" w:ascii="黑体" w:hAnsi="黑体" w:eastAsia="黑体"/>
                <w:szCs w:val="21"/>
                <w:highlight w:val="none"/>
              </w:rPr>
              <w:t>职务</w:t>
            </w:r>
          </w:p>
        </w:tc>
        <w:tc>
          <w:tcPr>
            <w:tcW w:w="1492" w:type="pct"/>
            <w:gridSpan w:val="4"/>
            <w:vAlign w:val="center"/>
          </w:tcPr>
          <w:p>
            <w:pPr>
              <w:jc w:val="center"/>
              <w:rPr>
                <w:rFonts w:ascii="黑体" w:hAnsi="黑体" w:eastAsia="黑体"/>
                <w:szCs w:val="21"/>
                <w:highlight w:val="none"/>
              </w:rPr>
            </w:pPr>
          </w:p>
        </w:tc>
        <w:tc>
          <w:tcPr>
            <w:tcW w:w="480" w:type="pct"/>
            <w:vAlign w:val="center"/>
          </w:tcPr>
          <w:p>
            <w:pPr>
              <w:jc w:val="center"/>
              <w:rPr>
                <w:rFonts w:ascii="黑体" w:hAnsi="黑体" w:eastAsia="黑体"/>
                <w:szCs w:val="21"/>
                <w:highlight w:val="none"/>
              </w:rPr>
            </w:pPr>
            <w:r>
              <w:rPr>
                <w:rFonts w:hint="eastAsia" w:ascii="黑体" w:hAnsi="黑体" w:eastAsia="黑体"/>
                <w:szCs w:val="21"/>
                <w:highlight w:val="none"/>
              </w:rPr>
              <w:t>职称</w:t>
            </w:r>
          </w:p>
        </w:tc>
        <w:tc>
          <w:tcPr>
            <w:tcW w:w="962" w:type="pct"/>
            <w:gridSpan w:val="3"/>
            <w:vAlign w:val="center"/>
          </w:tcPr>
          <w:p>
            <w:pPr>
              <w:jc w:val="center"/>
              <w:rPr>
                <w:rFonts w:ascii="黑体" w:hAnsi="黑体" w:eastAsia="黑体"/>
                <w:szCs w:val="21"/>
                <w:highlight w:val="none"/>
              </w:rPr>
            </w:pPr>
          </w:p>
        </w:tc>
        <w:tc>
          <w:tcPr>
            <w:tcW w:w="617" w:type="pct"/>
            <w:gridSpan w:val="2"/>
            <w:vAlign w:val="center"/>
          </w:tcPr>
          <w:p>
            <w:pPr>
              <w:jc w:val="center"/>
              <w:rPr>
                <w:rFonts w:ascii="黑体" w:hAnsi="黑体" w:eastAsia="黑体"/>
                <w:szCs w:val="21"/>
                <w:highlight w:val="none"/>
              </w:rPr>
            </w:pPr>
            <w:r>
              <w:rPr>
                <w:rFonts w:hint="eastAsia" w:ascii="黑体" w:hAnsi="黑体" w:eastAsia="黑体"/>
                <w:szCs w:val="21"/>
                <w:highlight w:val="none"/>
              </w:rPr>
              <w:t>学历</w:t>
            </w:r>
          </w:p>
        </w:tc>
        <w:tc>
          <w:tcPr>
            <w:tcW w:w="1030" w:type="pct"/>
            <w:gridSpan w:val="2"/>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pPr>
              <w:jc w:val="center"/>
              <w:rPr>
                <w:rFonts w:ascii="黑体" w:hAnsi="黑体" w:eastAsia="黑体"/>
                <w:szCs w:val="21"/>
                <w:highlight w:val="none"/>
              </w:rPr>
            </w:pPr>
            <w:r>
              <w:rPr>
                <w:rFonts w:hint="eastAsia" w:ascii="黑体" w:hAnsi="黑体" w:eastAsia="黑体"/>
                <w:szCs w:val="21"/>
                <w:highlight w:val="none"/>
              </w:rPr>
              <w:t>参加工作时间</w:t>
            </w:r>
          </w:p>
        </w:tc>
        <w:tc>
          <w:tcPr>
            <w:tcW w:w="1081" w:type="pct"/>
            <w:gridSpan w:val="4"/>
            <w:vAlign w:val="center"/>
          </w:tcPr>
          <w:p>
            <w:pPr>
              <w:jc w:val="center"/>
              <w:rPr>
                <w:rFonts w:ascii="黑体" w:hAnsi="黑体" w:eastAsia="黑体"/>
                <w:szCs w:val="21"/>
                <w:highlight w:val="none"/>
              </w:rPr>
            </w:pPr>
          </w:p>
        </w:tc>
        <w:tc>
          <w:tcPr>
            <w:tcW w:w="1502" w:type="pct"/>
            <w:gridSpan w:val="5"/>
            <w:vAlign w:val="center"/>
          </w:tcPr>
          <w:p>
            <w:pPr>
              <w:jc w:val="center"/>
              <w:rPr>
                <w:rFonts w:ascii="黑体" w:hAnsi="黑体" w:eastAsia="黑体"/>
                <w:szCs w:val="21"/>
                <w:highlight w:val="none"/>
              </w:rPr>
            </w:pPr>
            <w:r>
              <w:rPr>
                <w:rFonts w:hint="eastAsia" w:ascii="黑体" w:hAnsi="黑体" w:eastAsia="黑体"/>
                <w:szCs w:val="21"/>
                <w:highlight w:val="none"/>
              </w:rPr>
              <w:t>相关经验年限</w:t>
            </w:r>
          </w:p>
        </w:tc>
        <w:tc>
          <w:tcPr>
            <w:tcW w:w="797" w:type="pct"/>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pPr>
              <w:jc w:val="center"/>
              <w:rPr>
                <w:rFonts w:ascii="黑体" w:hAnsi="黑体" w:eastAsia="黑体"/>
                <w:szCs w:val="21"/>
                <w:highlight w:val="none"/>
              </w:rPr>
            </w:pPr>
            <w:r>
              <w:rPr>
                <w:rFonts w:hint="eastAsia" w:ascii="黑体" w:hAnsi="黑体" w:eastAsia="黑体"/>
                <w:szCs w:val="21"/>
                <w:highlight w:val="none"/>
              </w:rPr>
              <w:t>资格证书名称、编号</w:t>
            </w:r>
          </w:p>
        </w:tc>
        <w:tc>
          <w:tcPr>
            <w:tcW w:w="3379" w:type="pct"/>
            <w:gridSpan w:val="10"/>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pPr>
              <w:jc w:val="center"/>
              <w:rPr>
                <w:rFonts w:ascii="黑体" w:hAnsi="黑体" w:eastAsia="黑体"/>
                <w:szCs w:val="21"/>
                <w:highlight w:val="none"/>
              </w:rPr>
            </w:pPr>
            <w:r>
              <w:rPr>
                <w:rFonts w:hint="eastAsia" w:ascii="黑体" w:hAnsi="黑体" w:eastAsia="黑体"/>
                <w:szCs w:val="21"/>
                <w:highlight w:val="none"/>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pPr>
              <w:jc w:val="center"/>
              <w:rPr>
                <w:rFonts w:ascii="黑体" w:hAnsi="黑体" w:eastAsia="黑体"/>
                <w:szCs w:val="21"/>
                <w:highlight w:val="none"/>
              </w:rPr>
            </w:pPr>
            <w:r>
              <w:rPr>
                <w:rFonts w:hint="eastAsia" w:ascii="黑体" w:hAnsi="黑体" w:eastAsia="黑体"/>
                <w:szCs w:val="21"/>
                <w:highlight w:val="none"/>
              </w:rPr>
              <w:t>采购人</w:t>
            </w:r>
          </w:p>
        </w:tc>
        <w:tc>
          <w:tcPr>
            <w:tcW w:w="961" w:type="pct"/>
            <w:gridSpan w:val="2"/>
            <w:vAlign w:val="center"/>
          </w:tcPr>
          <w:p>
            <w:pPr>
              <w:jc w:val="center"/>
              <w:rPr>
                <w:rFonts w:ascii="黑体" w:hAnsi="黑体" w:eastAsia="黑体"/>
                <w:szCs w:val="21"/>
                <w:highlight w:val="none"/>
              </w:rPr>
            </w:pPr>
            <w:r>
              <w:rPr>
                <w:rFonts w:hint="eastAsia" w:ascii="黑体" w:hAnsi="黑体" w:eastAsia="黑体"/>
                <w:szCs w:val="21"/>
                <w:highlight w:val="none"/>
              </w:rPr>
              <w:t>项目名称</w:t>
            </w:r>
          </w:p>
        </w:tc>
        <w:tc>
          <w:tcPr>
            <w:tcW w:w="903" w:type="pct"/>
            <w:gridSpan w:val="4"/>
            <w:vAlign w:val="center"/>
          </w:tcPr>
          <w:p>
            <w:pPr>
              <w:jc w:val="center"/>
              <w:rPr>
                <w:rFonts w:ascii="黑体" w:hAnsi="黑体" w:eastAsia="黑体"/>
                <w:szCs w:val="21"/>
                <w:highlight w:val="none"/>
              </w:rPr>
            </w:pPr>
            <w:r>
              <w:rPr>
                <w:rFonts w:hint="eastAsia" w:ascii="黑体" w:hAnsi="黑体" w:eastAsia="黑体"/>
                <w:szCs w:val="21"/>
                <w:highlight w:val="none"/>
              </w:rPr>
              <w:t>项目规模</w:t>
            </w:r>
          </w:p>
        </w:tc>
        <w:tc>
          <w:tcPr>
            <w:tcW w:w="892" w:type="pct"/>
            <w:gridSpan w:val="2"/>
            <w:vAlign w:val="center"/>
          </w:tcPr>
          <w:p>
            <w:pPr>
              <w:jc w:val="center"/>
              <w:rPr>
                <w:rFonts w:ascii="黑体" w:hAnsi="黑体" w:eastAsia="黑体"/>
                <w:szCs w:val="21"/>
                <w:highlight w:val="none"/>
              </w:rPr>
            </w:pPr>
            <w:r>
              <w:rPr>
                <w:rFonts w:hint="eastAsia" w:ascii="黑体" w:hAnsi="黑体" w:eastAsia="黑体"/>
                <w:szCs w:val="21"/>
                <w:highlight w:val="none"/>
              </w:rPr>
              <w:t>所任职务</w:t>
            </w:r>
          </w:p>
        </w:tc>
        <w:tc>
          <w:tcPr>
            <w:tcW w:w="1398" w:type="pct"/>
            <w:gridSpan w:val="3"/>
            <w:vAlign w:val="center"/>
          </w:tcPr>
          <w:p>
            <w:pPr>
              <w:jc w:val="center"/>
              <w:rPr>
                <w:rFonts w:ascii="黑体" w:hAnsi="黑体" w:eastAsia="黑体"/>
                <w:szCs w:val="21"/>
                <w:highlight w:val="none"/>
              </w:rPr>
            </w:pPr>
            <w:r>
              <w:rPr>
                <w:rFonts w:hint="eastAsia" w:ascii="黑体" w:hAnsi="黑体" w:eastAsia="黑体"/>
                <w:szCs w:val="21"/>
                <w:highlight w:val="none"/>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黑体" w:hAnsi="黑体" w:eastAsia="黑体"/>
                <w:szCs w:val="21"/>
                <w:highlight w:val="none"/>
              </w:rPr>
            </w:pPr>
          </w:p>
        </w:tc>
        <w:tc>
          <w:tcPr>
            <w:tcW w:w="961" w:type="pct"/>
            <w:gridSpan w:val="2"/>
            <w:vAlign w:val="center"/>
          </w:tcPr>
          <w:p>
            <w:pPr>
              <w:jc w:val="center"/>
              <w:rPr>
                <w:rFonts w:ascii="黑体" w:hAnsi="黑体" w:eastAsia="黑体"/>
                <w:szCs w:val="21"/>
                <w:highlight w:val="none"/>
              </w:rPr>
            </w:pPr>
          </w:p>
        </w:tc>
        <w:tc>
          <w:tcPr>
            <w:tcW w:w="903" w:type="pct"/>
            <w:gridSpan w:val="4"/>
            <w:vAlign w:val="center"/>
          </w:tcPr>
          <w:p>
            <w:pPr>
              <w:jc w:val="center"/>
              <w:rPr>
                <w:rFonts w:ascii="黑体" w:hAnsi="黑体" w:eastAsia="黑体"/>
                <w:szCs w:val="21"/>
                <w:highlight w:val="none"/>
              </w:rPr>
            </w:pPr>
          </w:p>
        </w:tc>
        <w:tc>
          <w:tcPr>
            <w:tcW w:w="892" w:type="pct"/>
            <w:gridSpan w:val="2"/>
            <w:vAlign w:val="center"/>
          </w:tcPr>
          <w:p>
            <w:pPr>
              <w:jc w:val="center"/>
              <w:rPr>
                <w:rFonts w:ascii="黑体" w:hAnsi="黑体" w:eastAsia="黑体"/>
                <w:szCs w:val="21"/>
                <w:highlight w:val="none"/>
              </w:rPr>
            </w:pPr>
          </w:p>
        </w:tc>
        <w:tc>
          <w:tcPr>
            <w:tcW w:w="1398" w:type="pct"/>
            <w:gridSpan w:val="3"/>
            <w:vAlign w:val="center"/>
          </w:tcPr>
          <w:p>
            <w:pPr>
              <w:jc w:val="center"/>
              <w:rPr>
                <w:rFonts w:ascii="黑体" w:hAnsi="黑体" w:eastAsia="黑体"/>
                <w:szCs w:val="21"/>
                <w:highlight w:val="none"/>
              </w:rPr>
            </w:pPr>
          </w:p>
        </w:tc>
      </w:tr>
    </w:tbl>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8"/>
        <w:tblW w:w="0" w:type="auto"/>
        <w:tblInd w:w="0" w:type="dxa"/>
        <w:tblLayout w:type="autofit"/>
        <w:tblCellMar>
          <w:top w:w="0" w:type="dxa"/>
          <w:left w:w="108" w:type="dxa"/>
          <w:bottom w:w="0" w:type="dxa"/>
          <w:right w:w="108" w:type="dxa"/>
        </w:tblCellMar>
      </w:tblPr>
      <w:tblGrid>
        <w:gridCol w:w="6237"/>
        <w:gridCol w:w="2069"/>
      </w:tblGrid>
      <w:tr>
        <w:tblPrEx>
          <w:tblCellMar>
            <w:top w:w="0" w:type="dxa"/>
            <w:left w:w="108" w:type="dxa"/>
            <w:bottom w:w="0" w:type="dxa"/>
            <w:right w:w="108" w:type="dxa"/>
          </w:tblCellMar>
        </w:tblPrEx>
        <w:tc>
          <w:tcPr>
            <w:tcW w:w="6237" w:type="dxa"/>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2069" w:type="dxa"/>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6237" w:type="dxa"/>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2069" w:type="dxa"/>
          </w:tcPr>
          <w:p>
            <w:pPr>
              <w:spacing w:line="360" w:lineRule="auto"/>
              <w:rPr>
                <w:rFonts w:ascii="黑体" w:hAnsi="黑体" w:eastAsia="黑体"/>
                <w:szCs w:val="21"/>
                <w:highlight w:val="none"/>
              </w:rPr>
            </w:pPr>
          </w:p>
        </w:tc>
      </w:tr>
    </w:tbl>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bookmarkStart w:id="291" w:name="_Toc90980158"/>
      <w:bookmarkStart w:id="292" w:name="_Toc91018665"/>
      <w:r>
        <w:rPr>
          <w:rStyle w:val="21"/>
          <w:rFonts w:hint="eastAsia" w:ascii="黑体" w:hAnsi="黑体" w:eastAsia="黑体"/>
          <w:bCs w:val="0"/>
          <w:spacing w:val="12"/>
          <w:highlight w:val="none"/>
        </w:rPr>
        <w:t>技术要求偏离表</w:t>
      </w:r>
      <w:bookmarkEnd w:id="291"/>
      <w:bookmarkEnd w:id="292"/>
    </w:p>
    <w:p>
      <w:pPr>
        <w:spacing w:before="312" w:beforeLines="100" w:after="468" w:afterLines="150" w:line="360" w:lineRule="auto"/>
        <w:jc w:val="center"/>
        <w:rPr>
          <w:rFonts w:ascii="黑体" w:hAnsi="黑体" w:eastAsia="黑体"/>
          <w:b/>
          <w:spacing w:val="20"/>
          <w:sz w:val="30"/>
          <w:szCs w:val="30"/>
          <w:highlight w:val="none"/>
        </w:rPr>
      </w:pPr>
      <w:r>
        <w:rPr>
          <w:rFonts w:hint="eastAsia" w:ascii="黑体" w:hAnsi="黑体" w:eastAsia="黑体"/>
          <w:b/>
          <w:spacing w:val="20"/>
          <w:sz w:val="30"/>
          <w:szCs w:val="30"/>
          <w:highlight w:val="none"/>
        </w:rPr>
        <w:t>技术要求偏离表</w:t>
      </w:r>
    </w:p>
    <w:tbl>
      <w:tblPr>
        <w:tblStyle w:val="18"/>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黑体" w:hAnsi="黑体" w:eastAsia="黑体"/>
                <w:b/>
                <w:szCs w:val="21"/>
                <w:highlight w:val="none"/>
              </w:rPr>
            </w:pPr>
            <w:r>
              <w:rPr>
                <w:rFonts w:hint="eastAsia" w:ascii="黑体" w:hAnsi="黑体" w:eastAsia="黑体"/>
                <w:b/>
                <w:szCs w:val="21"/>
                <w:highlight w:val="none"/>
              </w:rPr>
              <w:t>序号</w:t>
            </w:r>
          </w:p>
        </w:tc>
        <w:tc>
          <w:tcPr>
            <w:tcW w:w="2352" w:type="dxa"/>
            <w:vAlign w:val="center"/>
          </w:tcPr>
          <w:p>
            <w:pPr>
              <w:jc w:val="center"/>
              <w:rPr>
                <w:rFonts w:ascii="黑体" w:hAnsi="黑体" w:eastAsia="黑体"/>
                <w:b/>
                <w:szCs w:val="21"/>
                <w:highlight w:val="none"/>
              </w:rPr>
            </w:pPr>
            <w:r>
              <w:rPr>
                <w:rFonts w:hint="eastAsia" w:ascii="黑体" w:hAnsi="黑体" w:eastAsia="黑体"/>
                <w:b/>
                <w:szCs w:val="21"/>
                <w:highlight w:val="none"/>
              </w:rPr>
              <w:t>采购文件要求</w:t>
            </w:r>
          </w:p>
        </w:tc>
        <w:tc>
          <w:tcPr>
            <w:tcW w:w="2126" w:type="dxa"/>
            <w:vAlign w:val="center"/>
          </w:tcPr>
          <w:p>
            <w:pPr>
              <w:jc w:val="center"/>
              <w:rPr>
                <w:rFonts w:ascii="黑体" w:hAnsi="黑体" w:eastAsia="黑体"/>
                <w:b/>
                <w:szCs w:val="21"/>
                <w:highlight w:val="none"/>
              </w:rPr>
            </w:pPr>
            <w:r>
              <w:rPr>
                <w:rFonts w:hint="eastAsia" w:ascii="黑体" w:hAnsi="黑体" w:eastAsia="黑体"/>
                <w:b/>
                <w:bCs/>
                <w:szCs w:val="21"/>
                <w:highlight w:val="none"/>
              </w:rPr>
              <w:t>响应文件响应内容</w:t>
            </w:r>
          </w:p>
        </w:tc>
        <w:tc>
          <w:tcPr>
            <w:tcW w:w="1644" w:type="dxa"/>
            <w:vAlign w:val="center"/>
          </w:tcPr>
          <w:p>
            <w:pPr>
              <w:ind w:left="293" w:hanging="293" w:hangingChars="139"/>
              <w:jc w:val="center"/>
              <w:rPr>
                <w:rFonts w:ascii="黑体" w:hAnsi="黑体" w:eastAsia="黑体"/>
                <w:b/>
                <w:szCs w:val="21"/>
                <w:highlight w:val="none"/>
              </w:rPr>
            </w:pPr>
            <w:r>
              <w:rPr>
                <w:rFonts w:hint="eastAsia" w:ascii="黑体" w:hAnsi="黑体" w:eastAsia="黑体"/>
                <w:b/>
                <w:szCs w:val="21"/>
                <w:highlight w:val="none"/>
              </w:rPr>
              <w:t>偏离情况</w:t>
            </w:r>
          </w:p>
        </w:tc>
        <w:tc>
          <w:tcPr>
            <w:tcW w:w="1575" w:type="dxa"/>
            <w:vAlign w:val="center"/>
          </w:tcPr>
          <w:p>
            <w:pPr>
              <w:jc w:val="center"/>
              <w:rPr>
                <w:rFonts w:ascii="黑体" w:hAnsi="黑体" w:eastAsia="黑体"/>
                <w:b/>
                <w:szCs w:val="21"/>
                <w:highlight w:val="none"/>
              </w:rPr>
            </w:pPr>
            <w:r>
              <w:rPr>
                <w:rFonts w:hint="eastAsia" w:ascii="黑体" w:hAnsi="黑体" w:eastAsia="黑体"/>
                <w:b/>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黑体" w:hAnsi="黑体" w:eastAsia="黑体"/>
                <w:szCs w:val="21"/>
                <w:highlight w:val="none"/>
              </w:rPr>
            </w:pPr>
          </w:p>
        </w:tc>
        <w:tc>
          <w:tcPr>
            <w:tcW w:w="2352" w:type="dxa"/>
            <w:vAlign w:val="center"/>
          </w:tcPr>
          <w:p>
            <w:pPr>
              <w:spacing w:line="360" w:lineRule="auto"/>
              <w:jc w:val="center"/>
              <w:rPr>
                <w:rFonts w:ascii="黑体" w:hAnsi="黑体" w:eastAsia="黑体"/>
                <w:szCs w:val="21"/>
                <w:highlight w:val="none"/>
              </w:rPr>
            </w:pPr>
          </w:p>
        </w:tc>
        <w:tc>
          <w:tcPr>
            <w:tcW w:w="2126" w:type="dxa"/>
            <w:vAlign w:val="center"/>
          </w:tcPr>
          <w:p>
            <w:pPr>
              <w:spacing w:line="360" w:lineRule="auto"/>
              <w:jc w:val="center"/>
              <w:rPr>
                <w:rFonts w:ascii="黑体" w:hAnsi="黑体" w:eastAsia="黑体"/>
                <w:szCs w:val="21"/>
                <w:highlight w:val="none"/>
              </w:rPr>
            </w:pPr>
          </w:p>
        </w:tc>
        <w:tc>
          <w:tcPr>
            <w:tcW w:w="1644" w:type="dxa"/>
            <w:vAlign w:val="center"/>
          </w:tcPr>
          <w:p>
            <w:pPr>
              <w:spacing w:line="360" w:lineRule="auto"/>
              <w:jc w:val="center"/>
              <w:rPr>
                <w:rFonts w:ascii="黑体" w:hAnsi="黑体" w:eastAsia="黑体"/>
                <w:szCs w:val="21"/>
                <w:highlight w:val="none"/>
              </w:rPr>
            </w:pPr>
          </w:p>
        </w:tc>
        <w:tc>
          <w:tcPr>
            <w:tcW w:w="1575" w:type="dxa"/>
            <w:vAlign w:val="center"/>
          </w:tcPr>
          <w:p>
            <w:pPr>
              <w:spacing w:line="360" w:lineRule="auto"/>
              <w:jc w:val="center"/>
              <w:rPr>
                <w:rFonts w:ascii="黑体" w:hAnsi="黑体" w:eastAsia="黑体"/>
                <w:szCs w:val="21"/>
                <w:highlight w:val="none"/>
              </w:rPr>
            </w:pPr>
          </w:p>
        </w:tc>
      </w:tr>
    </w:tbl>
    <w:p>
      <w:pPr>
        <w:spacing w:before="156" w:beforeLines="50" w:line="360" w:lineRule="auto"/>
        <w:rPr>
          <w:rFonts w:ascii="黑体" w:hAnsi="黑体" w:eastAsia="黑体"/>
          <w:szCs w:val="21"/>
          <w:highlight w:val="none"/>
        </w:rPr>
      </w:pPr>
      <w:r>
        <w:rPr>
          <w:rFonts w:hint="eastAsia" w:ascii="黑体" w:hAnsi="黑体" w:eastAsia="黑体"/>
          <w:szCs w:val="21"/>
          <w:highlight w:val="none"/>
        </w:rPr>
        <w:t>注明：</w:t>
      </w:r>
    </w:p>
    <w:p>
      <w:pPr>
        <w:pStyle w:val="30"/>
        <w:numPr>
          <w:ilvl w:val="0"/>
          <w:numId w:val="110"/>
        </w:numPr>
        <w:spacing w:line="360" w:lineRule="auto"/>
        <w:ind w:firstLineChars="0"/>
        <w:rPr>
          <w:rFonts w:ascii="黑体" w:hAnsi="黑体" w:eastAsia="黑体"/>
          <w:szCs w:val="21"/>
          <w:highlight w:val="none"/>
        </w:rPr>
      </w:pPr>
      <w:r>
        <w:rPr>
          <w:rFonts w:hint="eastAsia" w:ascii="黑体" w:hAnsi="黑体" w:eastAsia="黑体"/>
          <w:szCs w:val="21"/>
          <w:highlight w:val="none"/>
        </w:rPr>
        <w:t>偏离情况项填写“正”、“负”或“无”，说明项中填写原因。</w:t>
      </w:r>
    </w:p>
    <w:p>
      <w:pPr>
        <w:pStyle w:val="30"/>
        <w:numPr>
          <w:ilvl w:val="0"/>
          <w:numId w:val="110"/>
        </w:numPr>
        <w:spacing w:line="360" w:lineRule="auto"/>
        <w:ind w:left="426" w:hanging="426" w:firstLineChars="0"/>
        <w:rPr>
          <w:rFonts w:ascii="黑体" w:hAnsi="黑体" w:eastAsia="黑体"/>
          <w:szCs w:val="21"/>
          <w:highlight w:val="none"/>
        </w:rPr>
      </w:pPr>
      <w:r>
        <w:rPr>
          <w:rFonts w:hint="eastAsia" w:ascii="黑体" w:hAnsi="黑体" w:eastAsia="黑体"/>
          <w:szCs w:val="21"/>
          <w:highlight w:val="none"/>
        </w:rPr>
        <w:t>供应商应按照采购文件要求，根据“采购需求”内容作出全面响应。对响应有偏离的，则说明偏离的内容。“采购需求”内容中若有要求提供相关证明资料的，须按要求提供，否则视为负偏离。</w:t>
      </w:r>
    </w:p>
    <w:p>
      <w:pPr>
        <w:spacing w:line="360" w:lineRule="auto"/>
        <w:rPr>
          <w:rFonts w:ascii="黑体" w:hAnsi="黑体" w:eastAsia="黑体"/>
          <w:szCs w:val="21"/>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rFonts w:ascii="黑体" w:hAnsi="黑体" w:eastAsia="黑体"/>
          <w:bCs w:val="0"/>
          <w:spacing w:val="12"/>
          <w:highlight w:val="none"/>
        </w:rPr>
      </w:pPr>
      <w:r>
        <w:rPr>
          <w:rStyle w:val="21"/>
          <w:rFonts w:hint="eastAsia" w:ascii="黑体" w:hAnsi="黑体" w:eastAsia="黑体"/>
          <w:bCs w:val="0"/>
          <w:spacing w:val="12"/>
          <w:highlight w:val="none"/>
        </w:rPr>
        <w:t>实质性响应一览表（可选）</w:t>
      </w:r>
    </w:p>
    <w:p>
      <w:pPr>
        <w:spacing w:before="312" w:beforeLines="100" w:after="312" w:afterLines="100"/>
        <w:jc w:val="center"/>
        <w:rPr>
          <w:rFonts w:ascii="黑体" w:hAnsi="黑体" w:eastAsia="黑体"/>
          <w:szCs w:val="21"/>
          <w:highlight w:val="none"/>
        </w:rPr>
      </w:pPr>
      <w:r>
        <w:rPr>
          <w:rFonts w:hint="eastAsia" w:ascii="黑体" w:hAnsi="黑体" w:eastAsia="黑体"/>
          <w:b/>
          <w:spacing w:val="20"/>
          <w:sz w:val="28"/>
          <w:szCs w:val="28"/>
          <w:highlight w:val="none"/>
        </w:rPr>
        <w:t>实质性响应一览表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693"/>
        <w:gridCol w:w="1701"/>
        <w:gridCol w:w="2032"/>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704"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序号</w:t>
            </w:r>
          </w:p>
        </w:tc>
        <w:tc>
          <w:tcPr>
            <w:tcW w:w="2693"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采购需求实质性条款要求</w:t>
            </w:r>
          </w:p>
        </w:tc>
        <w:tc>
          <w:tcPr>
            <w:tcW w:w="1701"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响应供应商</w:t>
            </w:r>
          </w:p>
          <w:p>
            <w:pPr>
              <w:spacing w:line="360" w:lineRule="auto"/>
              <w:jc w:val="center"/>
              <w:rPr>
                <w:rFonts w:ascii="黑体" w:hAnsi="黑体" w:eastAsia="黑体"/>
                <w:highlight w:val="none"/>
              </w:rPr>
            </w:pPr>
            <w:r>
              <w:rPr>
                <w:rFonts w:hint="eastAsia" w:ascii="黑体" w:hAnsi="黑体" w:eastAsia="黑体"/>
                <w:highlight w:val="none"/>
              </w:rPr>
              <w:t>响应内容</w:t>
            </w:r>
          </w:p>
        </w:tc>
        <w:tc>
          <w:tcPr>
            <w:tcW w:w="2032"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偏离情况及说明</w:t>
            </w:r>
          </w:p>
          <w:p>
            <w:pPr>
              <w:spacing w:line="360" w:lineRule="auto"/>
              <w:jc w:val="center"/>
              <w:rPr>
                <w:rFonts w:ascii="黑体" w:hAnsi="黑体" w:eastAsia="黑体"/>
                <w:highlight w:val="none"/>
              </w:rPr>
            </w:pPr>
            <w:r>
              <w:rPr>
                <w:rFonts w:hint="eastAsia" w:ascii="黑体" w:hAnsi="黑体" w:eastAsia="黑体"/>
                <w:highlight w:val="none"/>
              </w:rPr>
              <w:t>(正偏离/无偏离/负偏离)</w:t>
            </w:r>
          </w:p>
        </w:tc>
        <w:tc>
          <w:tcPr>
            <w:tcW w:w="1166"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查阅/证明文件索引页码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1</w:t>
            </w:r>
          </w:p>
        </w:tc>
        <w:tc>
          <w:tcPr>
            <w:tcW w:w="2693" w:type="dxa"/>
            <w:shd w:val="clear" w:color="auto" w:fill="auto"/>
          </w:tcPr>
          <w:p>
            <w:pPr>
              <w:spacing w:line="360" w:lineRule="auto"/>
              <w:rPr>
                <w:rFonts w:ascii="黑体" w:hAnsi="黑体" w:eastAsia="黑体"/>
                <w:highlight w:val="none"/>
              </w:rPr>
            </w:pPr>
          </w:p>
        </w:tc>
        <w:tc>
          <w:tcPr>
            <w:tcW w:w="1701" w:type="dxa"/>
            <w:shd w:val="clear" w:color="auto" w:fill="auto"/>
          </w:tcPr>
          <w:p>
            <w:pPr>
              <w:spacing w:line="360" w:lineRule="auto"/>
              <w:rPr>
                <w:rFonts w:ascii="黑体" w:hAnsi="黑体" w:eastAsia="黑体"/>
                <w:highlight w:val="none"/>
              </w:rPr>
            </w:pPr>
          </w:p>
        </w:tc>
        <w:tc>
          <w:tcPr>
            <w:tcW w:w="2032" w:type="dxa"/>
            <w:shd w:val="clear" w:color="auto" w:fill="auto"/>
          </w:tcPr>
          <w:p>
            <w:pPr>
              <w:spacing w:line="360" w:lineRule="auto"/>
              <w:rPr>
                <w:rFonts w:ascii="黑体" w:hAnsi="黑体" w:eastAsia="黑体"/>
                <w:highlight w:val="none"/>
              </w:rPr>
            </w:pPr>
          </w:p>
        </w:tc>
        <w:tc>
          <w:tcPr>
            <w:tcW w:w="1166" w:type="dxa"/>
            <w:shd w:val="clear" w:color="auto" w:fill="auto"/>
          </w:tcPr>
          <w:p>
            <w:pPr>
              <w:spacing w:line="360" w:lineRule="auto"/>
              <w:rPr>
                <w:rFonts w:ascii="黑体" w:hAnsi="黑体" w:eastAsia="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2</w:t>
            </w:r>
          </w:p>
        </w:tc>
        <w:tc>
          <w:tcPr>
            <w:tcW w:w="2693" w:type="dxa"/>
            <w:shd w:val="clear" w:color="auto" w:fill="auto"/>
          </w:tcPr>
          <w:p>
            <w:pPr>
              <w:spacing w:line="360" w:lineRule="auto"/>
              <w:rPr>
                <w:rFonts w:ascii="黑体" w:hAnsi="黑体" w:eastAsia="黑体"/>
                <w:highlight w:val="none"/>
              </w:rPr>
            </w:pPr>
          </w:p>
        </w:tc>
        <w:tc>
          <w:tcPr>
            <w:tcW w:w="1701" w:type="dxa"/>
            <w:shd w:val="clear" w:color="auto" w:fill="auto"/>
          </w:tcPr>
          <w:p>
            <w:pPr>
              <w:spacing w:line="360" w:lineRule="auto"/>
              <w:rPr>
                <w:rFonts w:ascii="黑体" w:hAnsi="黑体" w:eastAsia="黑体"/>
                <w:highlight w:val="none"/>
              </w:rPr>
            </w:pPr>
          </w:p>
        </w:tc>
        <w:tc>
          <w:tcPr>
            <w:tcW w:w="2032" w:type="dxa"/>
            <w:shd w:val="clear" w:color="auto" w:fill="auto"/>
          </w:tcPr>
          <w:p>
            <w:pPr>
              <w:spacing w:line="360" w:lineRule="auto"/>
              <w:rPr>
                <w:rFonts w:ascii="黑体" w:hAnsi="黑体" w:eastAsia="黑体"/>
                <w:highlight w:val="none"/>
              </w:rPr>
            </w:pPr>
          </w:p>
        </w:tc>
        <w:tc>
          <w:tcPr>
            <w:tcW w:w="1166" w:type="dxa"/>
            <w:shd w:val="clear" w:color="auto" w:fill="auto"/>
          </w:tcPr>
          <w:p>
            <w:pPr>
              <w:spacing w:line="360" w:lineRule="auto"/>
              <w:rPr>
                <w:rFonts w:ascii="黑体" w:hAnsi="黑体" w:eastAsia="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3</w:t>
            </w:r>
          </w:p>
        </w:tc>
        <w:tc>
          <w:tcPr>
            <w:tcW w:w="2693" w:type="dxa"/>
            <w:shd w:val="clear" w:color="auto" w:fill="auto"/>
          </w:tcPr>
          <w:p>
            <w:pPr>
              <w:spacing w:line="360" w:lineRule="auto"/>
              <w:rPr>
                <w:rFonts w:ascii="黑体" w:hAnsi="黑体" w:eastAsia="黑体"/>
                <w:highlight w:val="none"/>
              </w:rPr>
            </w:pPr>
          </w:p>
        </w:tc>
        <w:tc>
          <w:tcPr>
            <w:tcW w:w="1701" w:type="dxa"/>
            <w:shd w:val="clear" w:color="auto" w:fill="auto"/>
          </w:tcPr>
          <w:p>
            <w:pPr>
              <w:spacing w:line="360" w:lineRule="auto"/>
              <w:rPr>
                <w:rFonts w:ascii="黑体" w:hAnsi="黑体" w:eastAsia="黑体"/>
                <w:highlight w:val="none"/>
              </w:rPr>
            </w:pPr>
          </w:p>
        </w:tc>
        <w:tc>
          <w:tcPr>
            <w:tcW w:w="2032" w:type="dxa"/>
            <w:shd w:val="clear" w:color="auto" w:fill="auto"/>
          </w:tcPr>
          <w:p>
            <w:pPr>
              <w:spacing w:line="360" w:lineRule="auto"/>
              <w:rPr>
                <w:rFonts w:ascii="黑体" w:hAnsi="黑体" w:eastAsia="黑体"/>
                <w:highlight w:val="none"/>
              </w:rPr>
            </w:pPr>
          </w:p>
        </w:tc>
        <w:tc>
          <w:tcPr>
            <w:tcW w:w="1166" w:type="dxa"/>
            <w:shd w:val="clear" w:color="auto" w:fill="auto"/>
          </w:tcPr>
          <w:p>
            <w:pPr>
              <w:spacing w:line="360" w:lineRule="auto"/>
              <w:rPr>
                <w:rFonts w:ascii="黑体" w:hAnsi="黑体" w:eastAsia="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黑体" w:hAnsi="黑体" w:eastAsia="黑体"/>
                <w:highlight w:val="none"/>
              </w:rPr>
            </w:pPr>
            <w:r>
              <w:rPr>
                <w:rFonts w:hint="eastAsia" w:ascii="黑体" w:hAnsi="黑体" w:eastAsia="黑体"/>
                <w:highlight w:val="none"/>
              </w:rPr>
              <w:t>4</w:t>
            </w:r>
          </w:p>
        </w:tc>
        <w:tc>
          <w:tcPr>
            <w:tcW w:w="2693" w:type="dxa"/>
            <w:shd w:val="clear" w:color="auto" w:fill="auto"/>
          </w:tcPr>
          <w:p>
            <w:pPr>
              <w:spacing w:line="360" w:lineRule="auto"/>
              <w:rPr>
                <w:rFonts w:ascii="黑体" w:hAnsi="黑体" w:eastAsia="黑体"/>
                <w:highlight w:val="none"/>
              </w:rPr>
            </w:pPr>
          </w:p>
        </w:tc>
        <w:tc>
          <w:tcPr>
            <w:tcW w:w="1701" w:type="dxa"/>
            <w:shd w:val="clear" w:color="auto" w:fill="auto"/>
          </w:tcPr>
          <w:p>
            <w:pPr>
              <w:spacing w:line="360" w:lineRule="auto"/>
              <w:rPr>
                <w:rFonts w:ascii="黑体" w:hAnsi="黑体" w:eastAsia="黑体"/>
                <w:highlight w:val="none"/>
              </w:rPr>
            </w:pPr>
          </w:p>
        </w:tc>
        <w:tc>
          <w:tcPr>
            <w:tcW w:w="2032" w:type="dxa"/>
            <w:shd w:val="clear" w:color="auto" w:fill="auto"/>
          </w:tcPr>
          <w:p>
            <w:pPr>
              <w:spacing w:line="360" w:lineRule="auto"/>
              <w:rPr>
                <w:rFonts w:ascii="黑体" w:hAnsi="黑体" w:eastAsia="黑体"/>
                <w:highlight w:val="none"/>
              </w:rPr>
            </w:pPr>
          </w:p>
        </w:tc>
        <w:tc>
          <w:tcPr>
            <w:tcW w:w="1166" w:type="dxa"/>
            <w:shd w:val="clear" w:color="auto" w:fill="auto"/>
          </w:tcPr>
          <w:p>
            <w:pPr>
              <w:spacing w:line="360" w:lineRule="auto"/>
              <w:rPr>
                <w:rFonts w:ascii="黑体" w:hAnsi="黑体" w:eastAsia="黑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pPr>
              <w:spacing w:line="360" w:lineRule="auto"/>
              <w:jc w:val="center"/>
              <w:rPr>
                <w:rFonts w:ascii="黑体" w:hAnsi="黑体" w:eastAsia="黑体"/>
                <w:highlight w:val="none"/>
              </w:rPr>
            </w:pPr>
            <w:r>
              <w:rPr>
                <w:rFonts w:ascii="黑体" w:hAnsi="黑体" w:eastAsia="黑体"/>
                <w:highlight w:val="none"/>
              </w:rPr>
              <w:t>…</w:t>
            </w:r>
          </w:p>
        </w:tc>
        <w:tc>
          <w:tcPr>
            <w:tcW w:w="2693" w:type="dxa"/>
            <w:shd w:val="clear" w:color="auto" w:fill="auto"/>
          </w:tcPr>
          <w:p>
            <w:pPr>
              <w:spacing w:line="360" w:lineRule="auto"/>
              <w:rPr>
                <w:rFonts w:ascii="黑体" w:hAnsi="黑体" w:eastAsia="黑体"/>
                <w:highlight w:val="none"/>
              </w:rPr>
            </w:pPr>
          </w:p>
        </w:tc>
        <w:tc>
          <w:tcPr>
            <w:tcW w:w="1701" w:type="dxa"/>
            <w:shd w:val="clear" w:color="auto" w:fill="auto"/>
          </w:tcPr>
          <w:p>
            <w:pPr>
              <w:spacing w:line="360" w:lineRule="auto"/>
              <w:rPr>
                <w:rFonts w:ascii="黑体" w:hAnsi="黑体" w:eastAsia="黑体"/>
                <w:highlight w:val="none"/>
              </w:rPr>
            </w:pPr>
          </w:p>
        </w:tc>
        <w:tc>
          <w:tcPr>
            <w:tcW w:w="2032" w:type="dxa"/>
            <w:shd w:val="clear" w:color="auto" w:fill="auto"/>
          </w:tcPr>
          <w:p>
            <w:pPr>
              <w:spacing w:line="360" w:lineRule="auto"/>
              <w:rPr>
                <w:rFonts w:ascii="黑体" w:hAnsi="黑体" w:eastAsia="黑体"/>
                <w:highlight w:val="none"/>
              </w:rPr>
            </w:pPr>
          </w:p>
        </w:tc>
        <w:tc>
          <w:tcPr>
            <w:tcW w:w="1166" w:type="dxa"/>
            <w:shd w:val="clear" w:color="auto" w:fill="auto"/>
          </w:tcPr>
          <w:p>
            <w:pPr>
              <w:spacing w:line="360" w:lineRule="auto"/>
              <w:rPr>
                <w:rFonts w:ascii="黑体" w:hAnsi="黑体" w:eastAsia="黑体"/>
                <w:highlight w:val="none"/>
              </w:rPr>
            </w:pPr>
          </w:p>
        </w:tc>
      </w:tr>
    </w:tbl>
    <w:p>
      <w:pPr>
        <w:spacing w:before="156" w:beforeLines="50" w:line="360" w:lineRule="auto"/>
        <w:rPr>
          <w:rFonts w:ascii="黑体" w:hAnsi="黑体" w:eastAsia="黑体"/>
          <w:highlight w:val="none"/>
        </w:rPr>
      </w:pPr>
      <w:r>
        <w:rPr>
          <w:rFonts w:hint="eastAsia" w:ascii="黑体" w:hAnsi="黑体" w:eastAsia="黑体"/>
          <w:highlight w:val="none"/>
        </w:rPr>
        <w:t>注明：</w:t>
      </w:r>
    </w:p>
    <w:p>
      <w:pPr>
        <w:pStyle w:val="30"/>
        <w:numPr>
          <w:ilvl w:val="0"/>
          <w:numId w:val="111"/>
        </w:numPr>
        <w:spacing w:line="360" w:lineRule="auto"/>
        <w:ind w:firstLineChars="0"/>
        <w:rPr>
          <w:rFonts w:ascii="黑体" w:hAnsi="黑体" w:eastAsia="黑体"/>
          <w:highlight w:val="none"/>
        </w:rPr>
      </w:pPr>
      <w:r>
        <w:rPr>
          <w:rFonts w:hint="eastAsia" w:ascii="黑体" w:hAnsi="黑体" w:eastAsia="黑体"/>
          <w:szCs w:val="21"/>
          <w:highlight w:val="none"/>
        </w:rPr>
        <w:t>响应供应商</w:t>
      </w:r>
      <w:r>
        <w:rPr>
          <w:rFonts w:hint="eastAsia" w:ascii="黑体" w:hAnsi="黑体" w:eastAsia="黑体"/>
          <w:highlight w:val="none"/>
        </w:rPr>
        <w:t>必须对应采购文件“采购需求”中的实质性条款(即★号条款)逐条应答并按要求填写表格；</w:t>
      </w:r>
    </w:p>
    <w:p>
      <w:pPr>
        <w:pStyle w:val="30"/>
        <w:numPr>
          <w:ilvl w:val="0"/>
          <w:numId w:val="111"/>
        </w:numPr>
        <w:spacing w:line="360" w:lineRule="auto"/>
        <w:ind w:firstLineChars="0"/>
        <w:rPr>
          <w:rFonts w:ascii="黑体" w:hAnsi="黑体" w:eastAsia="黑体"/>
          <w:highlight w:val="none"/>
        </w:rPr>
      </w:pPr>
      <w:r>
        <w:rPr>
          <w:rFonts w:hint="eastAsia" w:ascii="黑体" w:hAnsi="黑体" w:eastAsia="黑体"/>
          <w:highlight w:val="none"/>
        </w:rPr>
        <w:t>若采购文件“采购需求”中的实质性条款中规定须提交相关证明文件的，须按要求提供，并作为附件附于表格后。未按要求提供或未提供完整的，视为负偏离处理。</w:t>
      </w: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p>
      <w:pPr>
        <w:spacing w:line="360" w:lineRule="auto"/>
        <w:rPr>
          <w:rFonts w:ascii="黑体" w:hAnsi="黑体" w:eastAsia="黑体"/>
          <w:szCs w:val="21"/>
          <w:highlight w:val="none"/>
        </w:rPr>
      </w:pPr>
    </w:p>
    <w:tbl>
      <w:tblPr>
        <w:tblStyle w:val="18"/>
        <w:tblW w:w="0" w:type="auto"/>
        <w:tblInd w:w="0" w:type="dxa"/>
        <w:tblLayout w:type="autofit"/>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shd w:val="clear" w:color="auto" w:fill="auto"/>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c>
          <w:tcPr>
            <w:tcW w:w="3173" w:type="dxa"/>
            <w:shd w:val="clear" w:color="auto" w:fill="auto"/>
          </w:tcPr>
          <w:p>
            <w:pPr>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5349" w:type="dxa"/>
            <w:shd w:val="clear" w:color="auto" w:fill="auto"/>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c>
          <w:tcPr>
            <w:tcW w:w="3173" w:type="dxa"/>
            <w:shd w:val="clear" w:color="auto" w:fill="auto"/>
          </w:tcPr>
          <w:p>
            <w:pPr>
              <w:spacing w:line="360" w:lineRule="auto"/>
              <w:rPr>
                <w:rFonts w:ascii="黑体" w:hAnsi="黑体" w:eastAsia="黑体"/>
                <w:szCs w:val="21"/>
                <w:highlight w:val="none"/>
              </w:rPr>
            </w:pPr>
          </w:p>
        </w:tc>
      </w:tr>
    </w:tbl>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Fonts w:ascii="黑体" w:hAnsi="黑体" w:eastAsia="黑体"/>
          <w:b/>
          <w:szCs w:val="21"/>
          <w:highlight w:val="none"/>
        </w:rPr>
      </w:pPr>
      <w:r>
        <w:rPr>
          <w:rStyle w:val="21"/>
          <w:rFonts w:hint="eastAsia"/>
          <w:bCs w:val="0"/>
          <w:spacing w:val="12"/>
          <w:highlight w:val="none"/>
        </w:rPr>
        <w:t>中小企业</w:t>
      </w:r>
      <w:r>
        <w:rPr>
          <w:rFonts w:hint="eastAsia" w:ascii="黑体" w:hAnsi="黑体" w:eastAsia="黑体"/>
          <w:b/>
          <w:szCs w:val="21"/>
          <w:highlight w:val="none"/>
        </w:rPr>
        <w:t>声明函</w:t>
      </w:r>
      <w:r>
        <w:rPr>
          <w:rFonts w:hint="eastAsia" w:ascii="黑体" w:hAnsi="黑体" w:eastAsia="黑体"/>
          <w:bCs/>
          <w:szCs w:val="21"/>
          <w:highlight w:val="none"/>
        </w:rPr>
        <w:t>（</w:t>
      </w:r>
      <w:r>
        <w:rPr>
          <w:rFonts w:hint="eastAsia" w:ascii="黑体" w:hAnsi="黑体" w:eastAsia="黑体"/>
          <w:b/>
          <w:szCs w:val="21"/>
          <w:highlight w:val="none"/>
        </w:rPr>
        <w:t>如需）</w:t>
      </w:r>
    </w:p>
    <w:p>
      <w:pPr>
        <w:spacing w:before="312" w:beforeLines="100" w:after="312" w:afterLines="100" w:line="360" w:lineRule="auto"/>
        <w:jc w:val="center"/>
        <w:rPr>
          <w:rFonts w:ascii="黑体" w:hAnsi="黑体" w:eastAsia="黑体"/>
          <w:b/>
          <w:spacing w:val="20"/>
          <w:sz w:val="30"/>
          <w:szCs w:val="30"/>
          <w:highlight w:val="none"/>
        </w:rPr>
      </w:pPr>
      <w:r>
        <w:rPr>
          <w:rFonts w:hint="eastAsia" w:ascii="黑体" w:hAnsi="黑体" w:eastAsia="黑体"/>
          <w:b/>
          <w:spacing w:val="20"/>
          <w:sz w:val="30"/>
          <w:szCs w:val="30"/>
          <w:highlight w:val="none"/>
        </w:rPr>
        <w:t>中小企业声明函（货物）</w:t>
      </w:r>
    </w:p>
    <w:p>
      <w:pPr>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本公司（联合体）郑重声明，根据《政府采购促进中小企业发展管理办法》（财库﹝2020﹞46 号）的规定，本公司（联合体）参加</w:t>
      </w:r>
      <w:r>
        <w:rPr>
          <w:rFonts w:hint="eastAsia" w:ascii="黑体" w:hAnsi="黑体" w:eastAsia="黑体"/>
          <w:szCs w:val="21"/>
          <w:highlight w:val="none"/>
          <w:u w:val="single"/>
        </w:rPr>
        <w:t>（单位名称）</w:t>
      </w:r>
      <w:r>
        <w:rPr>
          <w:rFonts w:hint="eastAsia" w:ascii="黑体" w:hAnsi="黑体" w:eastAsia="黑体"/>
          <w:szCs w:val="21"/>
          <w:highlight w:val="none"/>
        </w:rPr>
        <w:t>的</w:t>
      </w:r>
      <w:r>
        <w:rPr>
          <w:rFonts w:hint="eastAsia" w:ascii="黑体" w:hAnsi="黑体" w:eastAsia="黑体"/>
          <w:szCs w:val="21"/>
          <w:highlight w:val="none"/>
          <w:u w:val="single"/>
        </w:rPr>
        <w:t>（项目名称）</w:t>
      </w:r>
      <w:r>
        <w:rPr>
          <w:rFonts w:hint="eastAsia" w:ascii="黑体" w:hAnsi="黑体" w:eastAsia="黑体"/>
          <w:szCs w:val="21"/>
          <w:highlight w:val="none"/>
        </w:rPr>
        <w:t>采购活动，提供的货物全部由符合政策要求的中小企业制造。相关企业（含联合体中的中小企业、签订分包意向协议的中小企业）的具体情况如下：</w:t>
      </w:r>
    </w:p>
    <w:p>
      <w:pPr>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1.</w:t>
      </w:r>
      <w:r>
        <w:rPr>
          <w:rFonts w:hint="eastAsia" w:ascii="黑体" w:hAnsi="黑体" w:eastAsia="黑体"/>
          <w:szCs w:val="21"/>
          <w:highlight w:val="none"/>
          <w:u w:val="single"/>
        </w:rPr>
        <w:t xml:space="preserve"> （标的名称） </w:t>
      </w:r>
      <w:r>
        <w:rPr>
          <w:rFonts w:hint="eastAsia" w:ascii="黑体" w:hAnsi="黑体" w:eastAsia="黑体"/>
          <w:szCs w:val="21"/>
          <w:highlight w:val="none"/>
        </w:rPr>
        <w:t>，属于</w:t>
      </w:r>
      <w:r>
        <w:rPr>
          <w:rFonts w:hint="eastAsia" w:ascii="黑体" w:hAnsi="黑体" w:eastAsia="黑体"/>
          <w:szCs w:val="21"/>
          <w:highlight w:val="none"/>
          <w:u w:val="single"/>
        </w:rPr>
        <w:t>（采购文件中明确的所属行业）</w:t>
      </w:r>
      <w:r>
        <w:rPr>
          <w:rFonts w:hint="eastAsia" w:ascii="黑体" w:hAnsi="黑体" w:eastAsia="黑体"/>
          <w:szCs w:val="21"/>
          <w:highlight w:val="none"/>
        </w:rPr>
        <w:t>行业；制造商为</w:t>
      </w:r>
      <w:r>
        <w:rPr>
          <w:rFonts w:hint="eastAsia" w:ascii="黑体" w:hAnsi="黑体" w:eastAsia="黑体"/>
          <w:szCs w:val="21"/>
          <w:highlight w:val="none"/>
          <w:u w:val="single"/>
        </w:rPr>
        <w:t>（企业名称）</w:t>
      </w:r>
      <w:r>
        <w:rPr>
          <w:rFonts w:hint="eastAsia" w:ascii="黑体" w:hAnsi="黑体" w:eastAsia="黑体"/>
          <w:szCs w:val="21"/>
          <w:highlight w:val="none"/>
        </w:rPr>
        <w:t>，从业人员</w:t>
      </w:r>
      <w:r>
        <w:rPr>
          <w:rFonts w:hint="eastAsia" w:ascii="黑体" w:hAnsi="黑体" w:eastAsia="黑体"/>
          <w:szCs w:val="21"/>
          <w:highlight w:val="none"/>
          <w:u w:val="single"/>
        </w:rPr>
        <w:t xml:space="preserve">        </w:t>
      </w:r>
      <w:r>
        <w:rPr>
          <w:rFonts w:hint="eastAsia" w:ascii="黑体" w:hAnsi="黑体" w:eastAsia="黑体"/>
          <w:szCs w:val="21"/>
          <w:highlight w:val="none"/>
        </w:rPr>
        <w:t xml:space="preserve">人，营业收入为 </w:t>
      </w:r>
      <w:r>
        <w:rPr>
          <w:rFonts w:hint="eastAsia" w:ascii="黑体" w:hAnsi="黑体" w:eastAsia="黑体"/>
          <w:szCs w:val="21"/>
          <w:highlight w:val="none"/>
          <w:u w:val="single"/>
        </w:rPr>
        <w:t xml:space="preserve">      </w:t>
      </w:r>
      <w:r>
        <w:rPr>
          <w:rFonts w:hint="eastAsia" w:ascii="黑体" w:hAnsi="黑体" w:eastAsia="黑体"/>
          <w:szCs w:val="21"/>
          <w:highlight w:val="none"/>
        </w:rPr>
        <w:t>万元，资产总额为</w:t>
      </w:r>
      <w:r>
        <w:rPr>
          <w:rFonts w:hint="eastAsia" w:ascii="黑体" w:hAnsi="黑体" w:eastAsia="黑体"/>
          <w:szCs w:val="21"/>
          <w:highlight w:val="none"/>
          <w:u w:val="single"/>
        </w:rPr>
        <w:t xml:space="preserve">      </w:t>
      </w:r>
      <w:r>
        <w:rPr>
          <w:rFonts w:hint="eastAsia" w:ascii="黑体" w:hAnsi="黑体" w:eastAsia="黑体"/>
          <w:szCs w:val="21"/>
          <w:highlight w:val="none"/>
        </w:rPr>
        <w:t xml:space="preserve"> 万元</w:t>
      </w:r>
      <w:r>
        <w:rPr>
          <w:rFonts w:hint="eastAsia" w:ascii="黑体" w:hAnsi="黑体" w:eastAsia="黑体"/>
          <w:szCs w:val="21"/>
          <w:highlight w:val="none"/>
          <w:vertAlign w:val="superscript"/>
        </w:rPr>
        <w:t>1</w:t>
      </w:r>
      <w:r>
        <w:rPr>
          <w:rFonts w:hint="eastAsia" w:ascii="黑体" w:hAnsi="黑体" w:eastAsia="黑体"/>
          <w:szCs w:val="21"/>
          <w:highlight w:val="none"/>
        </w:rPr>
        <w:t>，属于</w:t>
      </w:r>
      <w:r>
        <w:rPr>
          <w:rFonts w:hint="eastAsia" w:ascii="黑体" w:hAnsi="黑体" w:eastAsia="黑体"/>
          <w:szCs w:val="21"/>
          <w:highlight w:val="none"/>
          <w:u w:val="single"/>
        </w:rPr>
        <w:t>（中型企业、小型企业、微型企业）</w:t>
      </w:r>
      <w:r>
        <w:rPr>
          <w:rFonts w:hint="eastAsia" w:ascii="黑体" w:hAnsi="黑体" w:eastAsia="黑体"/>
          <w:szCs w:val="21"/>
          <w:highlight w:val="none"/>
        </w:rPr>
        <w:t>；</w:t>
      </w:r>
    </w:p>
    <w:p>
      <w:pPr>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2.</w:t>
      </w:r>
      <w:r>
        <w:rPr>
          <w:rFonts w:hint="eastAsia" w:ascii="黑体" w:hAnsi="黑体" w:eastAsia="黑体"/>
          <w:szCs w:val="21"/>
          <w:highlight w:val="none"/>
          <w:u w:val="single"/>
        </w:rPr>
        <w:t xml:space="preserve"> （标的名称）</w:t>
      </w:r>
      <w:r>
        <w:rPr>
          <w:rFonts w:hint="eastAsia" w:ascii="黑体" w:hAnsi="黑体" w:eastAsia="黑体"/>
          <w:szCs w:val="21"/>
          <w:highlight w:val="none"/>
        </w:rPr>
        <w:t xml:space="preserve"> ，属于</w:t>
      </w:r>
      <w:r>
        <w:rPr>
          <w:rFonts w:hint="eastAsia" w:ascii="黑体" w:hAnsi="黑体" w:eastAsia="黑体"/>
          <w:szCs w:val="21"/>
          <w:highlight w:val="none"/>
          <w:u w:val="single"/>
        </w:rPr>
        <w:t>（采购文件中明确的所属行业）</w:t>
      </w:r>
      <w:r>
        <w:rPr>
          <w:rFonts w:hint="eastAsia" w:ascii="黑体" w:hAnsi="黑体" w:eastAsia="黑体"/>
          <w:szCs w:val="21"/>
          <w:highlight w:val="none"/>
        </w:rPr>
        <w:t>行业；制造商为</w:t>
      </w:r>
      <w:r>
        <w:rPr>
          <w:rFonts w:hint="eastAsia" w:ascii="黑体" w:hAnsi="黑体" w:eastAsia="黑体"/>
          <w:szCs w:val="21"/>
          <w:highlight w:val="none"/>
          <w:u w:val="single"/>
        </w:rPr>
        <w:t>（企业名称）</w:t>
      </w:r>
      <w:r>
        <w:rPr>
          <w:rFonts w:hint="eastAsia" w:ascii="黑体" w:hAnsi="黑体" w:eastAsia="黑体"/>
          <w:szCs w:val="21"/>
          <w:highlight w:val="none"/>
        </w:rPr>
        <w:t>，从业人员</w:t>
      </w:r>
      <w:r>
        <w:rPr>
          <w:rFonts w:hint="eastAsia" w:ascii="黑体" w:hAnsi="黑体" w:eastAsia="黑体"/>
          <w:szCs w:val="21"/>
          <w:highlight w:val="none"/>
          <w:u w:val="single"/>
        </w:rPr>
        <w:t xml:space="preserve">        </w:t>
      </w:r>
      <w:r>
        <w:rPr>
          <w:rFonts w:hint="eastAsia" w:ascii="黑体" w:hAnsi="黑体" w:eastAsia="黑体"/>
          <w:szCs w:val="21"/>
          <w:highlight w:val="none"/>
        </w:rPr>
        <w:t>人，营业收入为</w:t>
      </w:r>
      <w:r>
        <w:rPr>
          <w:rFonts w:hint="eastAsia" w:ascii="黑体" w:hAnsi="黑体" w:eastAsia="黑体"/>
          <w:szCs w:val="21"/>
          <w:highlight w:val="none"/>
          <w:u w:val="single"/>
        </w:rPr>
        <w:t xml:space="preserve">      </w:t>
      </w:r>
      <w:r>
        <w:rPr>
          <w:rFonts w:hint="eastAsia" w:ascii="黑体" w:hAnsi="黑体" w:eastAsia="黑体"/>
          <w:szCs w:val="21"/>
          <w:highlight w:val="none"/>
        </w:rPr>
        <w:t>万元，资产总额为</w:t>
      </w:r>
      <w:r>
        <w:rPr>
          <w:rFonts w:hint="eastAsia" w:ascii="黑体" w:hAnsi="黑体" w:eastAsia="黑体"/>
          <w:szCs w:val="21"/>
          <w:highlight w:val="none"/>
          <w:u w:val="single"/>
        </w:rPr>
        <w:t xml:space="preserve">      </w:t>
      </w:r>
      <w:r>
        <w:rPr>
          <w:rFonts w:hint="eastAsia" w:ascii="黑体" w:hAnsi="黑体" w:eastAsia="黑体"/>
          <w:szCs w:val="21"/>
          <w:highlight w:val="none"/>
        </w:rPr>
        <w:t>万元，属于</w:t>
      </w:r>
      <w:r>
        <w:rPr>
          <w:rFonts w:hint="eastAsia" w:ascii="黑体" w:hAnsi="黑体" w:eastAsia="黑体"/>
          <w:szCs w:val="21"/>
          <w:highlight w:val="none"/>
          <w:u w:val="single"/>
        </w:rPr>
        <w:t>（中型企业、小型企业、微型企业）</w:t>
      </w:r>
      <w:r>
        <w:rPr>
          <w:rFonts w:hint="eastAsia" w:ascii="黑体" w:hAnsi="黑体" w:eastAsia="黑体"/>
          <w:szCs w:val="21"/>
          <w:highlight w:val="none"/>
        </w:rPr>
        <w:t>；</w:t>
      </w:r>
    </w:p>
    <w:p>
      <w:pPr>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w:t>
      </w:r>
    </w:p>
    <w:p>
      <w:pPr>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以上企业，不属于大企业的分支机构，不存在控股股东为大企业的情形，也不存在与大企业的负责人为同一人的情形。</w:t>
      </w:r>
    </w:p>
    <w:p>
      <w:pPr>
        <w:spacing w:line="360" w:lineRule="auto"/>
        <w:ind w:firstLine="424" w:firstLineChars="202"/>
        <w:rPr>
          <w:rFonts w:ascii="黑体" w:hAnsi="黑体" w:eastAsia="黑体"/>
          <w:szCs w:val="21"/>
          <w:highlight w:val="none"/>
        </w:rPr>
      </w:pPr>
      <w:r>
        <w:rPr>
          <w:rFonts w:hint="eastAsia" w:ascii="黑体" w:hAnsi="黑体" w:eastAsia="黑体"/>
          <w:szCs w:val="21"/>
          <w:highlight w:val="none"/>
        </w:rPr>
        <w:t>本企业对上述声明内容的真实性负责。如有虚假，将依法承担相应责任。</w:t>
      </w:r>
    </w:p>
    <w:p>
      <w:pPr>
        <w:spacing w:before="936" w:beforeLines="300" w:line="360" w:lineRule="auto"/>
        <w:ind w:right="420"/>
        <w:jc w:val="center"/>
        <w:rPr>
          <w:rFonts w:ascii="黑体" w:hAnsi="黑体" w:eastAsia="黑体"/>
          <w:szCs w:val="21"/>
          <w:highlight w:val="none"/>
        </w:rPr>
      </w:pPr>
      <w:r>
        <w:rPr>
          <w:rFonts w:hint="eastAsia" w:ascii="黑体" w:hAnsi="黑体" w:eastAsia="黑体"/>
          <w:szCs w:val="21"/>
          <w:highlight w:val="none"/>
        </w:rPr>
        <w:t xml:space="preserve">                        企业名称（盖章）：</w:t>
      </w:r>
    </w:p>
    <w:p>
      <w:pPr>
        <w:spacing w:line="360" w:lineRule="auto"/>
        <w:ind w:firstLine="5527" w:firstLineChars="2632"/>
        <w:jc w:val="left"/>
        <w:rPr>
          <w:rFonts w:ascii="黑体" w:hAnsi="黑体" w:eastAsia="黑体"/>
          <w:szCs w:val="21"/>
          <w:highlight w:val="none"/>
        </w:rPr>
      </w:pPr>
      <w:r>
        <w:rPr>
          <w:rFonts w:hint="eastAsia" w:ascii="黑体" w:hAnsi="黑体" w:eastAsia="黑体"/>
          <w:szCs w:val="21"/>
          <w:highlight w:val="none"/>
        </w:rPr>
        <w:t>日期：</w:t>
      </w:r>
    </w:p>
    <w:p>
      <w:pPr>
        <w:spacing w:line="360" w:lineRule="auto"/>
        <w:rPr>
          <w:rFonts w:ascii="黑体" w:hAnsi="黑体" w:eastAsia="黑体"/>
          <w:szCs w:val="21"/>
          <w:highlight w:val="none"/>
        </w:rPr>
      </w:pPr>
    </w:p>
    <w:p>
      <w:pPr>
        <w:spacing w:before="936" w:beforeLines="300" w:line="360" w:lineRule="auto"/>
        <w:ind w:right="-51"/>
        <w:jc w:val="left"/>
        <w:rPr>
          <w:rFonts w:ascii="黑体" w:hAnsi="黑体" w:eastAsia="黑体"/>
          <w:szCs w:val="21"/>
          <w:highlight w:val="none"/>
        </w:rPr>
      </w:pPr>
      <w:r>
        <w:rPr>
          <w:rFonts w:hint="eastAsia" w:ascii="黑体" w:hAnsi="黑体" w:eastAsia="黑体"/>
          <w:szCs w:val="21"/>
          <w:highlight w:val="none"/>
        </w:rPr>
        <w:t>1.从业人员、营业收入、资产总额填报上一年度数据，无上一年度数据的新成立企业可不填报。</w:t>
      </w: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bCs w:val="0"/>
          <w:spacing w:val="12"/>
          <w:highlight w:val="none"/>
        </w:rPr>
      </w:pPr>
      <w:r>
        <w:rPr>
          <w:rStyle w:val="21"/>
          <w:rFonts w:hint="eastAsia"/>
          <w:bCs w:val="0"/>
          <w:spacing w:val="12"/>
          <w:highlight w:val="none"/>
        </w:rPr>
        <w:t>残疾人福利性单位声明函（如需）</w:t>
      </w:r>
    </w:p>
    <w:p>
      <w:pPr>
        <w:spacing w:before="312" w:beforeLines="100" w:after="312" w:afterLines="100" w:line="360" w:lineRule="auto"/>
        <w:jc w:val="center"/>
        <w:rPr>
          <w:rFonts w:ascii="黑体" w:hAnsi="黑体" w:eastAsia="黑体"/>
          <w:b/>
          <w:spacing w:val="20"/>
          <w:sz w:val="30"/>
          <w:szCs w:val="30"/>
          <w:highlight w:val="none"/>
        </w:rPr>
      </w:pPr>
      <w:r>
        <w:rPr>
          <w:rFonts w:hint="eastAsia" w:ascii="黑体" w:hAnsi="黑体" w:eastAsia="黑体"/>
          <w:b/>
          <w:spacing w:val="20"/>
          <w:sz w:val="30"/>
          <w:szCs w:val="30"/>
          <w:highlight w:val="none"/>
        </w:rPr>
        <w:t>残疾人福利性单位声明函</w:t>
      </w:r>
    </w:p>
    <w:p>
      <w:pPr>
        <w:spacing w:line="480" w:lineRule="auto"/>
        <w:ind w:firstLine="630" w:firstLineChars="300"/>
        <w:rPr>
          <w:rFonts w:ascii="黑体" w:hAnsi="黑体" w:eastAsia="黑体"/>
          <w:highlight w:val="none"/>
        </w:rPr>
      </w:pPr>
      <w:r>
        <w:rPr>
          <w:rFonts w:hint="eastAsia" w:ascii="黑体" w:hAnsi="黑体" w:eastAsia="黑体"/>
          <w:bCs/>
          <w:highlight w:val="none"/>
        </w:rPr>
        <w:t>本单位郑重声明，根据《财政部</w:t>
      </w:r>
      <w:r>
        <w:rPr>
          <w:rFonts w:ascii="黑体" w:hAnsi="黑体" w:eastAsia="黑体"/>
          <w:bCs/>
          <w:highlight w:val="none"/>
        </w:rPr>
        <w:t xml:space="preserve"> </w:t>
      </w:r>
      <w:r>
        <w:rPr>
          <w:rFonts w:hint="eastAsia" w:ascii="黑体" w:hAnsi="黑体" w:eastAsia="黑体"/>
          <w:bCs/>
          <w:highlight w:val="none"/>
        </w:rPr>
        <w:t>民政部</w:t>
      </w:r>
      <w:r>
        <w:rPr>
          <w:rFonts w:ascii="黑体" w:hAnsi="黑体" w:eastAsia="黑体"/>
          <w:bCs/>
          <w:highlight w:val="none"/>
        </w:rPr>
        <w:t xml:space="preserve"> </w:t>
      </w:r>
      <w:r>
        <w:rPr>
          <w:rFonts w:hint="eastAsia" w:ascii="黑体" w:hAnsi="黑体" w:eastAsia="黑体"/>
          <w:bCs/>
          <w:highlight w:val="none"/>
        </w:rPr>
        <w:t>中国残疾人联合会关于促进残疾人就业政府采购政策的通知》（财库〔</w:t>
      </w:r>
      <w:r>
        <w:rPr>
          <w:rFonts w:ascii="黑体" w:hAnsi="黑体" w:eastAsia="黑体"/>
          <w:bCs/>
          <w:highlight w:val="none"/>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rPr>
          <w:rFonts w:ascii="黑体" w:hAnsi="黑体" w:eastAsia="黑体"/>
          <w:highlight w:val="none"/>
        </w:rPr>
      </w:pPr>
      <w:r>
        <w:rPr>
          <w:rFonts w:hint="eastAsia" w:ascii="黑体" w:hAnsi="黑体" w:eastAsia="黑体"/>
          <w:highlight w:val="none"/>
        </w:rPr>
        <w:t>本单位对上述声明的真实性负责。如有虚假，将依法承担相应责任。</w:t>
      </w:r>
    </w:p>
    <w:p>
      <w:pPr>
        <w:spacing w:line="360" w:lineRule="auto"/>
        <w:rPr>
          <w:rFonts w:ascii="黑体" w:hAnsi="黑体" w:eastAsia="黑体"/>
          <w:highlight w:val="none"/>
        </w:rPr>
      </w:pPr>
    </w:p>
    <w:p>
      <w:pPr>
        <w:spacing w:line="360" w:lineRule="auto"/>
        <w:rPr>
          <w:rFonts w:ascii="黑体" w:hAnsi="黑体" w:eastAsia="黑体"/>
          <w:highlight w:val="none"/>
        </w:rPr>
      </w:pPr>
    </w:p>
    <w:p>
      <w:pPr>
        <w:spacing w:line="360" w:lineRule="auto"/>
        <w:rPr>
          <w:rFonts w:ascii="黑体" w:hAnsi="黑体" w:eastAsia="黑体"/>
          <w:highlight w:val="none"/>
        </w:rPr>
      </w:pPr>
    </w:p>
    <w:tbl>
      <w:tblPr>
        <w:tblStyle w:val="18"/>
        <w:tblW w:w="0" w:type="auto"/>
        <w:tblInd w:w="0" w:type="dxa"/>
        <w:tblLayout w:type="autofit"/>
        <w:tblCellMar>
          <w:top w:w="0" w:type="dxa"/>
          <w:left w:w="108" w:type="dxa"/>
          <w:bottom w:w="0" w:type="dxa"/>
          <w:right w:w="108" w:type="dxa"/>
        </w:tblCellMar>
      </w:tblPr>
      <w:tblGrid>
        <w:gridCol w:w="5353"/>
      </w:tblGrid>
      <w:tr>
        <w:tblPrEx>
          <w:tblCellMar>
            <w:top w:w="0" w:type="dxa"/>
            <w:left w:w="108" w:type="dxa"/>
            <w:bottom w:w="0" w:type="dxa"/>
            <w:right w:w="108" w:type="dxa"/>
          </w:tblCellMar>
        </w:tblPrEx>
        <w:tc>
          <w:tcPr>
            <w:tcW w:w="5353" w:type="dxa"/>
            <w:shd w:val="clear" w:color="auto" w:fill="auto"/>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响应供应商名称（加盖公章）：</w:t>
            </w:r>
            <w:r>
              <w:rPr>
                <w:rFonts w:hint="eastAsia" w:ascii="黑体" w:hAnsi="黑体" w:eastAsia="黑体"/>
                <w:szCs w:val="21"/>
                <w:highlight w:val="none"/>
                <w:u w:val="single"/>
              </w:rPr>
              <w:t xml:space="preserve">                         </w:t>
            </w:r>
          </w:p>
        </w:tc>
      </w:tr>
      <w:tr>
        <w:tblPrEx>
          <w:tblCellMar>
            <w:top w:w="0" w:type="dxa"/>
            <w:left w:w="108" w:type="dxa"/>
            <w:bottom w:w="0" w:type="dxa"/>
            <w:right w:w="108" w:type="dxa"/>
          </w:tblCellMar>
        </w:tblPrEx>
        <w:tc>
          <w:tcPr>
            <w:tcW w:w="5353" w:type="dxa"/>
            <w:shd w:val="clear" w:color="auto" w:fill="auto"/>
          </w:tcPr>
          <w:p>
            <w:pPr>
              <w:spacing w:line="360" w:lineRule="auto"/>
              <w:rPr>
                <w:rFonts w:ascii="黑体" w:hAnsi="黑体" w:eastAsia="黑体"/>
                <w:szCs w:val="21"/>
                <w:highlight w:val="none"/>
              </w:rPr>
            </w:pPr>
            <w:r>
              <w:rPr>
                <w:rFonts w:hint="eastAsia" w:ascii="黑体" w:hAnsi="黑体" w:eastAsia="黑体"/>
                <w:szCs w:val="21"/>
                <w:highlight w:val="none"/>
              </w:rPr>
              <w:t>日期：</w:t>
            </w:r>
            <w:r>
              <w:rPr>
                <w:rFonts w:hint="eastAsia" w:ascii="黑体" w:hAnsi="黑体" w:eastAsia="黑体"/>
                <w:szCs w:val="21"/>
                <w:highlight w:val="none"/>
                <w:u w:val="single"/>
              </w:rPr>
              <w:t xml:space="preserve">             年           月            日</w:t>
            </w:r>
          </w:p>
        </w:tc>
      </w:tr>
    </w:tbl>
    <w:p>
      <w:pPr>
        <w:rPr>
          <w:rFonts w:ascii="黑体" w:hAnsi="黑体" w:eastAsia="黑体"/>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bCs w:val="0"/>
          <w:spacing w:val="12"/>
          <w:highlight w:val="none"/>
        </w:rPr>
      </w:pPr>
      <w:r>
        <w:rPr>
          <w:rStyle w:val="21"/>
          <w:rFonts w:hint="eastAsia"/>
          <w:bCs w:val="0"/>
          <w:spacing w:val="12"/>
          <w:highlight w:val="none"/>
        </w:rPr>
        <w:t>监狱企业的证明文件（如需）</w:t>
      </w:r>
    </w:p>
    <w:p>
      <w:pPr>
        <w:rPr>
          <w:highlight w:val="none"/>
        </w:rPr>
      </w:pPr>
    </w:p>
    <w:p>
      <w:pPr>
        <w:spacing w:before="312" w:beforeLines="100" w:after="312" w:afterLines="100" w:line="360" w:lineRule="auto"/>
        <w:jc w:val="center"/>
        <w:rPr>
          <w:rFonts w:ascii="黑体" w:hAnsi="黑体" w:eastAsia="黑体"/>
          <w:b/>
          <w:spacing w:val="20"/>
          <w:sz w:val="30"/>
          <w:szCs w:val="30"/>
          <w:highlight w:val="none"/>
        </w:rPr>
      </w:pPr>
      <w:r>
        <w:rPr>
          <w:rFonts w:hint="eastAsia" w:ascii="黑体" w:hAnsi="黑体" w:eastAsia="黑体"/>
          <w:b/>
          <w:spacing w:val="20"/>
          <w:sz w:val="30"/>
          <w:szCs w:val="30"/>
          <w:highlight w:val="none"/>
        </w:rPr>
        <w:t>监狱企业的证明文件</w:t>
      </w:r>
    </w:p>
    <w:p>
      <w:pPr>
        <w:spacing w:line="440" w:lineRule="exact"/>
        <w:rPr>
          <w:rFonts w:ascii="黑体" w:hAnsi="黑体" w:eastAsia="黑体"/>
          <w:highlight w:val="none"/>
        </w:rPr>
      </w:pPr>
      <w:r>
        <w:rPr>
          <w:rFonts w:hint="eastAsia" w:ascii="黑体" w:hAnsi="黑体" w:eastAsia="黑体"/>
          <w:highlight w:val="none"/>
        </w:rPr>
        <w:t>说明：监狱企业参加政府采购活动时，应当提供由省级以上监狱管理局、戒毒管理局（含新疆生产建设兵团）出具的属于监狱企业的证明文件并加盖响应供应商公章。</w:t>
      </w:r>
    </w:p>
    <w:p>
      <w:pPr>
        <w:spacing w:line="440" w:lineRule="exact"/>
        <w:rPr>
          <w:rFonts w:ascii="黑体" w:hAnsi="黑体" w:eastAsia="黑体"/>
          <w:highlight w:val="none"/>
        </w:rPr>
      </w:pPr>
    </w:p>
    <w:p>
      <w:pPr>
        <w:spacing w:line="440" w:lineRule="exact"/>
        <w:rPr>
          <w:rFonts w:ascii="黑体" w:hAnsi="黑体" w:eastAsia="黑体"/>
          <w:highlight w:val="none"/>
        </w:rPr>
      </w:pPr>
    </w:p>
    <w:p>
      <w:pPr>
        <w:spacing w:line="440" w:lineRule="exact"/>
        <w:rPr>
          <w:highlight w:val="none"/>
          <w:u w:val="single"/>
        </w:rPr>
      </w:pPr>
    </w:p>
    <w:p>
      <w:pPr>
        <w:ind w:firstLine="420" w:firstLineChars="200"/>
        <w:rPr>
          <w:highlight w:val="none"/>
        </w:rPr>
      </w:pPr>
    </w:p>
    <w:p>
      <w:pPr>
        <w:pStyle w:val="30"/>
        <w:keepNext w:val="0"/>
        <w:keepLines w:val="0"/>
        <w:pageBreakBefore/>
        <w:widowControl w:val="0"/>
        <w:numPr>
          <w:ilvl w:val="0"/>
          <w:numId w:val="102"/>
        </w:numPr>
        <w:kinsoku/>
        <w:wordWrap/>
        <w:overflowPunct/>
        <w:topLinePunct w:val="0"/>
        <w:autoSpaceDE/>
        <w:autoSpaceDN/>
        <w:bidi w:val="0"/>
        <w:adjustRightInd/>
        <w:snapToGrid/>
        <w:spacing w:line="480" w:lineRule="auto"/>
        <w:ind w:left="420" w:hanging="420" w:firstLineChars="0"/>
        <w:textAlignment w:val="auto"/>
        <w:rPr>
          <w:rStyle w:val="21"/>
          <w:bCs w:val="0"/>
          <w:spacing w:val="12"/>
          <w:highlight w:val="none"/>
        </w:rPr>
      </w:pPr>
      <w:bookmarkStart w:id="293" w:name="_Toc46688483"/>
      <w:bookmarkStart w:id="294" w:name="_Hlk46687984"/>
      <w:r>
        <w:rPr>
          <w:rStyle w:val="21"/>
          <w:rFonts w:hint="eastAsia"/>
          <w:bCs w:val="0"/>
          <w:spacing w:val="12"/>
          <w:highlight w:val="none"/>
        </w:rPr>
        <w:t>政策适用性说明（如需）</w:t>
      </w:r>
      <w:bookmarkEnd w:id="293"/>
    </w:p>
    <w:p>
      <w:pPr>
        <w:spacing w:before="312" w:beforeLines="100" w:after="312" w:afterLines="100" w:line="360" w:lineRule="auto"/>
        <w:jc w:val="center"/>
        <w:rPr>
          <w:rFonts w:ascii="黑体" w:hAnsi="黑体" w:eastAsia="黑体"/>
          <w:b/>
          <w:spacing w:val="20"/>
          <w:sz w:val="30"/>
          <w:szCs w:val="30"/>
          <w:highlight w:val="none"/>
        </w:rPr>
      </w:pPr>
      <w:r>
        <w:rPr>
          <w:rFonts w:hint="eastAsia" w:ascii="黑体" w:hAnsi="黑体" w:eastAsia="黑体"/>
          <w:b/>
          <w:spacing w:val="20"/>
          <w:sz w:val="30"/>
          <w:szCs w:val="30"/>
          <w:highlight w:val="none"/>
        </w:rPr>
        <w:t>政策适用性说明</w:t>
      </w:r>
    </w:p>
    <w:p>
      <w:pPr>
        <w:spacing w:after="156" w:afterLines="50" w:line="360" w:lineRule="auto"/>
        <w:rPr>
          <w:rFonts w:ascii="黑体" w:hAnsi="黑体" w:eastAsia="黑体"/>
          <w:bCs/>
          <w:szCs w:val="21"/>
          <w:highlight w:val="none"/>
          <w:lang w:val="zh-CN"/>
        </w:rPr>
      </w:pPr>
      <w:r>
        <w:rPr>
          <w:rFonts w:hint="eastAsia" w:ascii="黑体" w:hAnsi="黑体" w:eastAsia="黑体"/>
          <w:bCs/>
          <w:szCs w:val="21"/>
          <w:highlight w:val="none"/>
          <w:lang w:val="zh-CN"/>
        </w:rPr>
        <w:t>按照政府采购有关政策的要求，在本次的技术方案中，采用符合政策的小型或微型企业产品、节能产品、环保标志产品，主要产品与核心技术介绍说明如下：</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2124"/>
        <w:gridCol w:w="992"/>
        <w:gridCol w:w="994"/>
        <w:gridCol w:w="712"/>
        <w:gridCol w:w="852"/>
        <w:gridCol w:w="844"/>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序号</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主要产品</w:t>
            </w:r>
            <w:r>
              <w:rPr>
                <w:rFonts w:ascii="黑体" w:hAnsi="黑体" w:eastAsia="黑体"/>
                <w:szCs w:val="21"/>
                <w:highlight w:val="none"/>
                <w:lang w:val="en-GB"/>
              </w:rPr>
              <w:t>/技术名称</w:t>
            </w:r>
          </w:p>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pacing w:val="-6"/>
                <w:szCs w:val="21"/>
                <w:highlight w:val="none"/>
                <w:lang w:val="en-GB"/>
              </w:rPr>
              <w:t>(规格型号、注册商标)</w:t>
            </w: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制造商</w:t>
            </w:r>
            <w:r>
              <w:rPr>
                <w:rFonts w:ascii="黑体" w:hAnsi="黑体" w:eastAsia="黑体"/>
                <w:szCs w:val="21"/>
                <w:highlight w:val="none"/>
                <w:lang w:val="en-GB"/>
              </w:rPr>
              <w:br w:type="textWrapping"/>
            </w:r>
            <w:r>
              <w:rPr>
                <w:rFonts w:ascii="黑体" w:hAnsi="黑体" w:eastAsia="黑体"/>
                <w:spacing w:val="-6"/>
                <w:szCs w:val="21"/>
                <w:highlight w:val="none"/>
                <w:lang w:val="en-GB"/>
              </w:rPr>
              <w:t>(开发商)</w:t>
            </w: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制造商</w:t>
            </w:r>
            <w:r>
              <w:rPr>
                <w:rFonts w:ascii="黑体" w:hAnsi="黑体" w:eastAsia="黑体"/>
                <w:szCs w:val="21"/>
                <w:highlight w:val="none"/>
                <w:lang w:val="en-GB"/>
              </w:rPr>
              <w:br w:type="textWrapping"/>
            </w:r>
            <w:r>
              <w:rPr>
                <w:rFonts w:hint="eastAsia" w:ascii="黑体" w:hAnsi="黑体" w:eastAsia="黑体"/>
                <w:spacing w:val="-8"/>
                <w:szCs w:val="21"/>
                <w:highlight w:val="none"/>
                <w:lang w:val="en-GB"/>
              </w:rPr>
              <w:t>企业类型</w:t>
            </w: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节能</w:t>
            </w:r>
            <w:r>
              <w:rPr>
                <w:rFonts w:ascii="黑体" w:hAnsi="黑体" w:eastAsia="黑体"/>
                <w:szCs w:val="21"/>
                <w:highlight w:val="none"/>
                <w:lang w:val="en-GB"/>
              </w:rPr>
              <w:br w:type="textWrapping"/>
            </w:r>
            <w:r>
              <w:rPr>
                <w:rFonts w:hint="eastAsia" w:ascii="黑体" w:hAnsi="黑体" w:eastAsia="黑体"/>
                <w:szCs w:val="21"/>
                <w:highlight w:val="none"/>
                <w:lang w:val="en-GB"/>
              </w:rPr>
              <w:t>产品</w:t>
            </w: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环保标</w:t>
            </w:r>
          </w:p>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志产品</w:t>
            </w: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认证证</w:t>
            </w:r>
          </w:p>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书编号</w:t>
            </w: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r>
              <w:rPr>
                <w:rFonts w:hint="eastAsia" w:ascii="黑体" w:hAnsi="黑体" w:eastAsia="黑体"/>
                <w:szCs w:val="21"/>
                <w:highlight w:val="none"/>
                <w:lang w:val="en-GB"/>
              </w:rPr>
              <w:t>该产品报价在总报价中占比</w:t>
            </w:r>
            <w:r>
              <w:rPr>
                <w:rFonts w:ascii="黑体" w:hAnsi="黑体" w:eastAsia="黑体"/>
                <w:szCs w:val="21"/>
                <w:highlight w:val="none"/>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zCs w:val="21"/>
                <w:highlight w:val="none"/>
                <w:lang w:val="en-GB"/>
              </w:rPr>
              <w:t>1</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zCs w:val="21"/>
                <w:highlight w:val="none"/>
                <w:lang w:val="en-GB"/>
              </w:rPr>
              <w:t>2</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zCs w:val="21"/>
                <w:highlight w:val="none"/>
                <w:lang w:val="en-GB"/>
              </w:rPr>
              <w:t>3</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zCs w:val="21"/>
                <w:highlight w:val="none"/>
                <w:lang w:val="en-GB"/>
              </w:rPr>
              <w:t>4</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zCs w:val="21"/>
                <w:highlight w:val="none"/>
                <w:lang w:val="en-GB"/>
              </w:rPr>
              <w:t>5</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highlight w:val="none"/>
                <w:lang w:val="en-GB"/>
              </w:rPr>
            </w:pPr>
            <w:r>
              <w:rPr>
                <w:rFonts w:ascii="黑体" w:hAnsi="黑体" w:eastAsia="黑体"/>
                <w:szCs w:val="21"/>
                <w:highlight w:val="none"/>
                <w:lang w:val="en-GB"/>
              </w:rPr>
              <w:t>…</w:t>
            </w:r>
          </w:p>
        </w:tc>
        <w:tc>
          <w:tcPr>
            <w:tcW w:w="212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99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71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52" w:type="dxa"/>
            <w:vAlign w:val="center"/>
          </w:tcPr>
          <w:p>
            <w:pPr>
              <w:tabs>
                <w:tab w:val="left" w:pos="1260"/>
              </w:tabs>
              <w:ind w:left="-53" w:leftChars="-25" w:right="-53" w:rightChars="-25"/>
              <w:jc w:val="center"/>
              <w:rPr>
                <w:rFonts w:ascii="黑体" w:hAnsi="黑体" w:eastAsia="黑体"/>
                <w:szCs w:val="21"/>
                <w:highlight w:val="none"/>
                <w:lang w:val="en-GB"/>
              </w:rPr>
            </w:pPr>
          </w:p>
        </w:tc>
        <w:tc>
          <w:tcPr>
            <w:tcW w:w="844" w:type="dxa"/>
            <w:vAlign w:val="center"/>
          </w:tcPr>
          <w:p>
            <w:pPr>
              <w:tabs>
                <w:tab w:val="left" w:pos="1260"/>
              </w:tabs>
              <w:ind w:left="-53" w:leftChars="-25" w:right="-53" w:rightChars="-25"/>
              <w:jc w:val="center"/>
              <w:rPr>
                <w:rFonts w:ascii="黑体" w:hAnsi="黑体" w:eastAsia="黑体"/>
                <w:szCs w:val="21"/>
                <w:highlight w:val="none"/>
                <w:lang w:val="en-GB"/>
              </w:rPr>
            </w:pPr>
          </w:p>
        </w:tc>
        <w:tc>
          <w:tcPr>
            <w:tcW w:w="1612" w:type="dxa"/>
            <w:vAlign w:val="center"/>
          </w:tcPr>
          <w:p>
            <w:pPr>
              <w:tabs>
                <w:tab w:val="left" w:pos="1260"/>
              </w:tabs>
              <w:ind w:left="-53" w:leftChars="-25" w:right="-53" w:rightChars="-25"/>
              <w:jc w:val="center"/>
              <w:rPr>
                <w:rFonts w:ascii="黑体" w:hAnsi="黑体" w:eastAsia="黑体"/>
                <w:szCs w:val="21"/>
                <w:highlight w:val="none"/>
                <w:lang w:val="en-GB"/>
              </w:rPr>
            </w:pPr>
          </w:p>
        </w:tc>
      </w:tr>
    </w:tbl>
    <w:p>
      <w:pPr>
        <w:spacing w:before="156" w:beforeLines="50" w:line="360" w:lineRule="auto"/>
        <w:rPr>
          <w:rFonts w:ascii="黑体" w:hAnsi="黑体" w:eastAsia="黑体"/>
          <w:bCs/>
          <w:szCs w:val="21"/>
          <w:highlight w:val="none"/>
          <w:lang w:val="en-GB"/>
        </w:rPr>
      </w:pPr>
      <w:r>
        <w:rPr>
          <w:rFonts w:hint="eastAsia" w:ascii="黑体" w:hAnsi="黑体" w:eastAsia="黑体"/>
          <w:bCs/>
          <w:szCs w:val="21"/>
          <w:highlight w:val="none"/>
          <w:lang w:val="en-GB"/>
        </w:rPr>
        <w:t>注明：</w:t>
      </w:r>
    </w:p>
    <w:p>
      <w:pPr>
        <w:pStyle w:val="59"/>
        <w:numPr>
          <w:ilvl w:val="0"/>
          <w:numId w:val="112"/>
        </w:numPr>
        <w:spacing w:line="360" w:lineRule="auto"/>
        <w:ind w:firstLineChars="0"/>
        <w:rPr>
          <w:rFonts w:ascii="黑体" w:hAnsi="黑体" w:eastAsia="黑体"/>
          <w:bCs/>
          <w:szCs w:val="21"/>
          <w:highlight w:val="none"/>
          <w:lang w:val="en-GB"/>
        </w:rPr>
      </w:pPr>
      <w:r>
        <w:rPr>
          <w:rFonts w:hint="eastAsia" w:ascii="黑体" w:hAnsi="黑体" w:eastAsia="黑体"/>
          <w:bCs/>
          <w:szCs w:val="21"/>
          <w:highlight w:val="none"/>
          <w:lang w:val="en-GB"/>
        </w:rPr>
        <w:t>制造商为小型或微型企业时才需要填“制造商企业类型”栏，填写内容为“小型”或“微型”；</w:t>
      </w:r>
    </w:p>
    <w:p>
      <w:pPr>
        <w:pStyle w:val="59"/>
        <w:numPr>
          <w:ilvl w:val="0"/>
          <w:numId w:val="112"/>
        </w:numPr>
        <w:tabs>
          <w:tab w:val="left" w:pos="142"/>
        </w:tabs>
        <w:spacing w:line="360" w:lineRule="auto"/>
        <w:ind w:left="424" w:leftChars="2" w:hangingChars="200"/>
        <w:rPr>
          <w:rFonts w:ascii="黑体" w:hAnsi="黑体" w:eastAsia="黑体"/>
          <w:bCs/>
          <w:szCs w:val="21"/>
          <w:highlight w:val="none"/>
          <w:lang w:val="en-GB"/>
        </w:rPr>
      </w:pPr>
      <w:r>
        <w:rPr>
          <w:rFonts w:hint="eastAsia" w:ascii="黑体" w:hAnsi="黑体" w:eastAsia="黑体"/>
          <w:bCs/>
          <w:szCs w:val="21"/>
          <w:highlight w:val="none"/>
          <w:lang w:val="en-GB"/>
        </w:rPr>
        <w:t>节能产品须填写认证证书编号，并提供所投产品的节能产品认证证书复印件加盖供应商公章；</w:t>
      </w:r>
    </w:p>
    <w:p>
      <w:pPr>
        <w:pStyle w:val="59"/>
        <w:numPr>
          <w:ilvl w:val="0"/>
          <w:numId w:val="112"/>
        </w:numPr>
        <w:spacing w:line="360" w:lineRule="auto"/>
        <w:ind w:firstLineChars="0"/>
        <w:rPr>
          <w:rFonts w:ascii="黑体" w:hAnsi="黑体" w:eastAsia="黑体"/>
          <w:bCs/>
          <w:szCs w:val="21"/>
          <w:highlight w:val="none"/>
          <w:lang w:val="en-GB"/>
        </w:rPr>
      </w:pPr>
      <w:r>
        <w:rPr>
          <w:rFonts w:hint="eastAsia" w:ascii="黑体" w:hAnsi="黑体" w:eastAsia="黑体"/>
          <w:bCs/>
          <w:szCs w:val="21"/>
          <w:highlight w:val="none"/>
          <w:lang w:val="en-GB"/>
        </w:rPr>
        <w:t>环保标志产品须填写认证证书编号，并提供所投产品的环保标志产品认证证书复印件加盖供应商公章。</w:t>
      </w:r>
    </w:p>
    <w:p>
      <w:pPr>
        <w:pStyle w:val="59"/>
        <w:numPr>
          <w:ilvl w:val="0"/>
          <w:numId w:val="112"/>
        </w:numPr>
        <w:spacing w:line="360" w:lineRule="auto"/>
        <w:ind w:firstLineChars="0"/>
        <w:rPr>
          <w:rFonts w:ascii="黑体" w:hAnsi="黑体" w:eastAsia="黑体"/>
          <w:bCs/>
          <w:szCs w:val="21"/>
          <w:highlight w:val="none"/>
          <w:lang w:val="en-GB"/>
        </w:rPr>
      </w:pPr>
      <w:r>
        <w:rPr>
          <w:rFonts w:hint="eastAsia" w:ascii="黑体" w:hAnsi="黑体" w:eastAsia="黑体"/>
          <w:bCs/>
          <w:szCs w:val="21"/>
          <w:highlight w:val="none"/>
          <w:lang w:val="en-GB"/>
        </w:rPr>
        <w:t>以上证明资料未按要求提供或未提供完整的，视为未提供处理。</w:t>
      </w:r>
    </w:p>
    <w:p>
      <w:pPr>
        <w:spacing w:line="360" w:lineRule="auto"/>
        <w:rPr>
          <w:rFonts w:ascii="黑体" w:hAnsi="黑体" w:eastAsia="黑体"/>
          <w:bCs/>
          <w:szCs w:val="21"/>
          <w:highlight w:val="none"/>
          <w:lang w:val="en-GB"/>
        </w:rPr>
      </w:pPr>
    </w:p>
    <w:tbl>
      <w:tblPr>
        <w:tblStyle w:val="18"/>
        <w:tblW w:w="8522" w:type="dxa"/>
        <w:tblInd w:w="0" w:type="dxa"/>
        <w:tblLayout w:type="fixed"/>
        <w:tblCellMar>
          <w:top w:w="0" w:type="dxa"/>
          <w:left w:w="108" w:type="dxa"/>
          <w:bottom w:w="0" w:type="dxa"/>
          <w:right w:w="108" w:type="dxa"/>
        </w:tblCellMar>
      </w:tblPr>
      <w:tblGrid>
        <w:gridCol w:w="5987"/>
        <w:gridCol w:w="2535"/>
      </w:tblGrid>
      <w:tr>
        <w:tblPrEx>
          <w:tblCellMar>
            <w:top w:w="0" w:type="dxa"/>
            <w:left w:w="108" w:type="dxa"/>
            <w:bottom w:w="0" w:type="dxa"/>
            <w:right w:w="108" w:type="dxa"/>
          </w:tblCellMar>
        </w:tblPrEx>
        <w:tc>
          <w:tcPr>
            <w:tcW w:w="5987" w:type="dxa"/>
            <w:shd w:val="clear" w:color="auto" w:fill="auto"/>
          </w:tcPr>
          <w:p>
            <w:pPr>
              <w:overflowPunct w:val="0"/>
              <w:adjustRightInd w:val="0"/>
              <w:spacing w:line="360" w:lineRule="auto"/>
              <w:rPr>
                <w:rFonts w:ascii="黑体" w:hAnsi="黑体" w:eastAsia="黑体"/>
                <w:szCs w:val="21"/>
                <w:highlight w:val="none"/>
              </w:rPr>
            </w:pPr>
            <w:r>
              <w:rPr>
                <w:rFonts w:hint="eastAsia" w:ascii="黑体" w:hAnsi="黑体" w:eastAsia="黑体"/>
                <w:szCs w:val="21"/>
                <w:highlight w:val="none"/>
              </w:rPr>
              <w:t xml:space="preserve">响应供应商名称（加盖公章）： </w:t>
            </w:r>
            <w:r>
              <w:rPr>
                <w:rFonts w:ascii="黑体" w:hAnsi="黑体" w:eastAsia="黑体"/>
                <w:szCs w:val="21"/>
                <w:highlight w:val="none"/>
                <w:u w:val="single"/>
              </w:rPr>
              <w:t xml:space="preserve">                        </w:t>
            </w:r>
          </w:p>
        </w:tc>
        <w:tc>
          <w:tcPr>
            <w:tcW w:w="2535" w:type="dxa"/>
            <w:shd w:val="clear" w:color="auto" w:fill="auto"/>
          </w:tcPr>
          <w:p>
            <w:pPr>
              <w:overflowPunct w:val="0"/>
              <w:adjustRightInd w:val="0"/>
              <w:spacing w:line="360" w:lineRule="auto"/>
              <w:rPr>
                <w:rFonts w:ascii="黑体" w:hAnsi="黑体" w:eastAsia="黑体"/>
                <w:szCs w:val="21"/>
                <w:highlight w:val="none"/>
              </w:rPr>
            </w:pPr>
          </w:p>
        </w:tc>
      </w:tr>
      <w:tr>
        <w:tblPrEx>
          <w:tblCellMar>
            <w:top w:w="0" w:type="dxa"/>
            <w:left w:w="108" w:type="dxa"/>
            <w:bottom w:w="0" w:type="dxa"/>
            <w:right w:w="108" w:type="dxa"/>
          </w:tblCellMar>
        </w:tblPrEx>
        <w:tc>
          <w:tcPr>
            <w:tcW w:w="5987" w:type="dxa"/>
            <w:shd w:val="clear" w:color="auto" w:fill="auto"/>
          </w:tcPr>
          <w:p>
            <w:pPr>
              <w:overflowPunct w:val="0"/>
              <w:adjustRightInd w:val="0"/>
              <w:spacing w:line="360" w:lineRule="auto"/>
              <w:rPr>
                <w:rFonts w:ascii="黑体" w:hAnsi="黑体" w:eastAsia="黑体"/>
                <w:szCs w:val="21"/>
                <w:highlight w:val="none"/>
                <w:u w:val="single"/>
              </w:rPr>
            </w:pPr>
            <w:r>
              <w:rPr>
                <w:rFonts w:hint="eastAsia" w:ascii="黑体" w:hAnsi="黑体" w:eastAsia="黑体"/>
                <w:szCs w:val="21"/>
                <w:highlight w:val="none"/>
              </w:rPr>
              <w:t>日期：</w:t>
            </w:r>
            <w:r>
              <w:rPr>
                <w:rFonts w:ascii="黑体" w:hAnsi="黑体" w:eastAsia="黑体"/>
                <w:szCs w:val="21"/>
                <w:highlight w:val="none"/>
              </w:rPr>
              <w:t xml:space="preserve"> </w:t>
            </w:r>
            <w:r>
              <w:rPr>
                <w:rFonts w:ascii="黑体" w:hAnsi="黑体" w:eastAsia="黑体"/>
                <w:szCs w:val="21"/>
                <w:highlight w:val="none"/>
                <w:u w:val="single"/>
              </w:rPr>
              <w:t xml:space="preserve">            年           月            日</w:t>
            </w:r>
          </w:p>
        </w:tc>
        <w:tc>
          <w:tcPr>
            <w:tcW w:w="2535" w:type="dxa"/>
            <w:shd w:val="clear" w:color="auto" w:fill="auto"/>
          </w:tcPr>
          <w:p>
            <w:pPr>
              <w:overflowPunct w:val="0"/>
              <w:adjustRightInd w:val="0"/>
              <w:spacing w:line="360" w:lineRule="auto"/>
              <w:rPr>
                <w:rFonts w:ascii="黑体" w:hAnsi="黑体" w:eastAsia="黑体"/>
                <w:szCs w:val="21"/>
                <w:highlight w:val="none"/>
                <w:u w:val="single"/>
              </w:rPr>
            </w:pPr>
          </w:p>
        </w:tc>
      </w:tr>
      <w:bookmarkEnd w:id="294"/>
    </w:tbl>
    <w:p>
      <w:pPr>
        <w:pStyle w:val="59"/>
        <w:numPr>
          <w:ilvl w:val="0"/>
          <w:numId w:val="0"/>
        </w:numPr>
        <w:spacing w:line="360" w:lineRule="auto"/>
        <w:ind w:leftChars="0"/>
        <w:rPr>
          <w:rFonts w:ascii="黑体" w:hAnsi="黑体" w:eastAsia="黑体"/>
          <w:szCs w:val="21"/>
          <w:highlight w:val="none"/>
        </w:rPr>
      </w:pPr>
    </w:p>
    <w:sectPr>
      <w:headerReference r:id="rId3" w:type="default"/>
      <w:footerReference r:id="rId4" w:type="default"/>
      <w:pgSz w:w="11906" w:h="16838"/>
      <w:pgMar w:top="1440" w:right="1800" w:bottom="1440" w:left="170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09392"/>
    </w:sdtPr>
    <w:sdtContent>
      <w:p>
        <w:pPr>
          <w:pStyle w:val="12"/>
          <w:jc w:val="center"/>
        </w:pPr>
        <w:r>
          <w:fldChar w:fldCharType="begin"/>
        </w:r>
        <w:r>
          <w:instrText xml:space="preserve"> PAGE   \* MERGEFORMAT </w:instrText>
        </w:r>
        <w:r>
          <w:fldChar w:fldCharType="separate"/>
        </w:r>
        <w:r>
          <w:rPr>
            <w:lang w:val="zh-CN"/>
          </w:rPr>
          <w:t>5</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ascii="黑体" w:hAnsi="黑体" w:eastAsia="黑体"/>
        <w:color w:val="FF0000"/>
      </w:rPr>
    </w:pP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hint="eastAsia" w:ascii="黑体" w:hAnsi="黑体" w:eastAsia="黑体"/>
        <w:sz w:val="21"/>
        <w:szCs w:val="21"/>
      </w:rPr>
      <w:t xml:space="preserve"> </w:t>
    </w:r>
    <w:r>
      <w:rPr>
        <w:rFonts w:ascii="黑体" w:hAnsi="黑体" w:eastAsia="黑体"/>
        <w:sz w:val="21"/>
        <w:szCs w:val="21"/>
      </w:rPr>
      <w:t xml:space="preserve">     </w:t>
    </w:r>
    <w:r>
      <w:rPr>
        <w:rFonts w:hint="eastAsia" w:ascii="黑体" w:hAnsi="黑体" w:eastAsia="黑体"/>
        <w:sz w:val="21"/>
        <w:szCs w:val="21"/>
      </w:rPr>
      <w:t xml:space="preserve"> </w:t>
    </w:r>
    <w:bookmarkStart w:id="295" w:name="_Hlk52959896"/>
    <w:r>
      <w:rPr>
        <w:rFonts w:hint="eastAsia" w:ascii="黑体" w:hAnsi="黑体" w:eastAsia="黑体"/>
        <w:color w:val="FF0000"/>
        <w:sz w:val="21"/>
        <w:szCs w:val="21"/>
      </w:rPr>
      <w:drawing>
        <wp:inline distT="0" distB="0" distL="0" distR="0">
          <wp:extent cx="306705" cy="217170"/>
          <wp:effectExtent l="0" t="0" r="0" b="0"/>
          <wp:docPr id="5" name="图片 5"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hint="eastAsia" w:ascii="宋体" w:hAnsi="宋体" w:eastAsia="宋体"/>
        <w:b/>
        <w:sz w:val="21"/>
        <w:szCs w:val="21"/>
      </w:rPr>
      <w:t>广东智汇城市招标采购有限公司</w:t>
    </w:r>
    <w:bookmarkEnd w:id="295"/>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0B43AB"/>
    <w:multiLevelType w:val="multilevel"/>
    <w:tmpl w:val="010B43AB"/>
    <w:lvl w:ilvl="0" w:tentative="0">
      <w:start w:val="1"/>
      <w:numFmt w:val="decimal"/>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1136BFA"/>
    <w:multiLevelType w:val="multilevel"/>
    <w:tmpl w:val="01136BF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03F04C55"/>
    <w:multiLevelType w:val="multilevel"/>
    <w:tmpl w:val="03F04C5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7DA6282"/>
    <w:multiLevelType w:val="multilevel"/>
    <w:tmpl w:val="07DA6282"/>
    <w:lvl w:ilvl="0" w:tentative="0">
      <w:start w:val="1"/>
      <w:numFmt w:val="decimal"/>
      <w:lvlText w:val="9.%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8C52723"/>
    <w:multiLevelType w:val="multilevel"/>
    <w:tmpl w:val="08C52723"/>
    <w:lvl w:ilvl="0" w:tentative="0">
      <w:start w:val="1"/>
      <w:numFmt w:val="decimal"/>
      <w:lvlText w:val="13.%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A40732E"/>
    <w:multiLevelType w:val="multilevel"/>
    <w:tmpl w:val="0A40732E"/>
    <w:lvl w:ilvl="0" w:tentative="0">
      <w:start w:val="1"/>
      <w:numFmt w:val="chineseCountingThousand"/>
      <w:lvlText w:val="%1"/>
      <w:lvlJc w:val="left"/>
      <w:pPr>
        <w:ind w:left="420" w:hanging="420"/>
      </w:pPr>
      <w:rPr>
        <w:rFonts w:hint="eastAsia"/>
        <w:b/>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B1F6309"/>
    <w:multiLevelType w:val="multilevel"/>
    <w:tmpl w:val="0B1F6309"/>
    <w:lvl w:ilvl="0" w:tentative="0">
      <w:start w:val="1"/>
      <w:numFmt w:val="decimal"/>
      <w:lvlText w:val="23.2.%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B434E14"/>
    <w:multiLevelType w:val="multilevel"/>
    <w:tmpl w:val="0B434E14"/>
    <w:lvl w:ilvl="0" w:tentative="0">
      <w:start w:val="1"/>
      <w:numFmt w:val="decimal"/>
      <w:lvlText w:val="5.%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FF5584E"/>
    <w:multiLevelType w:val="multilevel"/>
    <w:tmpl w:val="0FF5584E"/>
    <w:lvl w:ilvl="0" w:tentative="0">
      <w:start w:val="1"/>
      <w:numFmt w:val="decimal"/>
      <w:lvlText w:val="3.5.%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1854140"/>
    <w:multiLevelType w:val="multilevel"/>
    <w:tmpl w:val="1185414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19406B1"/>
    <w:multiLevelType w:val="multilevel"/>
    <w:tmpl w:val="119406B1"/>
    <w:lvl w:ilvl="0" w:tentative="0">
      <w:start w:val="1"/>
      <w:numFmt w:val="decimal"/>
      <w:lvlText w:val="10.%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13E2755C"/>
    <w:multiLevelType w:val="multilevel"/>
    <w:tmpl w:val="13E2755C"/>
    <w:lvl w:ilvl="0" w:tentative="0">
      <w:start w:val="1"/>
      <w:numFmt w:val="decimal"/>
      <w:lvlText w:val="3.%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4A95AC7"/>
    <w:multiLevelType w:val="multilevel"/>
    <w:tmpl w:val="14A95A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859491B"/>
    <w:multiLevelType w:val="multilevel"/>
    <w:tmpl w:val="1859491B"/>
    <w:lvl w:ilvl="0" w:tentative="0">
      <w:start w:val="1"/>
      <w:numFmt w:val="decimal"/>
      <w:lvlText w:val="24.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98A75B9"/>
    <w:multiLevelType w:val="multilevel"/>
    <w:tmpl w:val="198A75B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A0A21F3"/>
    <w:multiLevelType w:val="multilevel"/>
    <w:tmpl w:val="1A0A21F3"/>
    <w:lvl w:ilvl="0" w:tentative="0">
      <w:start w:val="1"/>
      <w:numFmt w:val="decimal"/>
      <w:lvlText w:val="7.1.%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A4F0E55"/>
    <w:multiLevelType w:val="multilevel"/>
    <w:tmpl w:val="1A4F0E55"/>
    <w:lvl w:ilvl="0" w:tentative="0">
      <w:start w:val="1"/>
      <w:numFmt w:val="decimal"/>
      <w:lvlText w:val="7.%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4">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E3F112C"/>
    <w:multiLevelType w:val="multilevel"/>
    <w:tmpl w:val="1E3F112C"/>
    <w:lvl w:ilvl="0" w:tentative="0">
      <w:start w:val="1"/>
      <w:numFmt w:val="decimal"/>
      <w:lvlText w:val="20.%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0812815"/>
    <w:multiLevelType w:val="multilevel"/>
    <w:tmpl w:val="2081281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2817315"/>
    <w:multiLevelType w:val="multilevel"/>
    <w:tmpl w:val="22817315"/>
    <w:lvl w:ilvl="0" w:tentative="0">
      <w:start w:val="1"/>
      <w:numFmt w:val="decimal"/>
      <w:lvlText w:val="24.%1 "/>
      <w:lvlJc w:val="left"/>
      <w:pPr>
        <w:ind w:left="420" w:hanging="420"/>
      </w:pPr>
      <w:rPr>
        <w:rFonts w:hint="eastAsia"/>
        <w:b/>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2EE3D91"/>
    <w:multiLevelType w:val="multilevel"/>
    <w:tmpl w:val="22EE3D91"/>
    <w:lvl w:ilvl="0" w:tentative="0">
      <w:start w:val="1"/>
      <w:numFmt w:val="decimal"/>
      <w:lvlText w:val="23.%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6A36AB9"/>
    <w:multiLevelType w:val="multilevel"/>
    <w:tmpl w:val="26A36AB9"/>
    <w:lvl w:ilvl="0" w:tentative="0">
      <w:start w:val="1"/>
      <w:numFmt w:val="decimal"/>
      <w:lvlText w:val="24.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9056910"/>
    <w:multiLevelType w:val="multilevel"/>
    <w:tmpl w:val="29056910"/>
    <w:lvl w:ilvl="0" w:tentative="0">
      <w:start w:val="1"/>
      <w:numFmt w:val="decimal"/>
      <w:lvlText w:val="15.%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A6051D6"/>
    <w:multiLevelType w:val="multilevel"/>
    <w:tmpl w:val="2A6051D6"/>
    <w:lvl w:ilvl="0" w:tentative="0">
      <w:start w:val="1"/>
      <w:numFmt w:val="decimal"/>
      <w:lvlText w:val="24.2.%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AB173E6"/>
    <w:multiLevelType w:val="multilevel"/>
    <w:tmpl w:val="2AB173E6"/>
    <w:lvl w:ilvl="0" w:tentative="0">
      <w:start w:val="1"/>
      <w:numFmt w:val="decimal"/>
      <w:lvlText w:val="24.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D391EE5"/>
    <w:multiLevelType w:val="multilevel"/>
    <w:tmpl w:val="2D391EE5"/>
    <w:lvl w:ilvl="0" w:tentative="0">
      <w:start w:val="1"/>
      <w:numFmt w:val="chineseCountingThousand"/>
      <w:lvlText w:val="%1 "/>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E3D289D"/>
    <w:multiLevelType w:val="multilevel"/>
    <w:tmpl w:val="2E3D289D"/>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EF517D0"/>
    <w:multiLevelType w:val="multilevel"/>
    <w:tmpl w:val="2EF517D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0DD460D"/>
    <w:multiLevelType w:val="multilevel"/>
    <w:tmpl w:val="30DD460D"/>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1541EC7"/>
    <w:multiLevelType w:val="multilevel"/>
    <w:tmpl w:val="31541EC7"/>
    <w:lvl w:ilvl="0" w:tentative="0">
      <w:start w:val="1"/>
      <w:numFmt w:val="decimal"/>
      <w:lvlText w:val="23.4.1.%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1694D2D"/>
    <w:multiLevelType w:val="multilevel"/>
    <w:tmpl w:val="31694D2D"/>
    <w:lvl w:ilvl="0" w:tentative="0">
      <w:start w:val="1"/>
      <w:numFmt w:val="decimal"/>
      <w:lvlText w:val="23.1.%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57F0955"/>
    <w:multiLevelType w:val="multilevel"/>
    <w:tmpl w:val="357F0955"/>
    <w:lvl w:ilvl="0" w:tentative="0">
      <w:start w:val="1"/>
      <w:numFmt w:val="decimal"/>
      <w:lvlText w:val="%1"/>
      <w:lvlJc w:val="left"/>
      <w:pPr>
        <w:ind w:left="420" w:hanging="420"/>
      </w:pPr>
      <w:rPr>
        <w:rFonts w:hint="eastAsia"/>
      </w:rPr>
    </w:lvl>
    <w:lvl w:ilvl="1" w:tentative="0">
      <w:start w:val="1"/>
      <w:numFmt w:val="decimal"/>
      <w:lvlText w:val="33.3.%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5EA1EC4"/>
    <w:multiLevelType w:val="multilevel"/>
    <w:tmpl w:val="35EA1EC4"/>
    <w:lvl w:ilvl="0" w:tentative="0">
      <w:start w:val="1"/>
      <w:numFmt w:val="chineseCountingThousand"/>
      <w:lvlText w:val="%1 "/>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6D724A0"/>
    <w:multiLevelType w:val="multilevel"/>
    <w:tmpl w:val="36D724A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B5B4BDD"/>
    <w:multiLevelType w:val="multilevel"/>
    <w:tmpl w:val="3B5B4B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D1E6700"/>
    <w:multiLevelType w:val="multilevel"/>
    <w:tmpl w:val="3D1E670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FC06DD8"/>
    <w:multiLevelType w:val="multilevel"/>
    <w:tmpl w:val="3FC06DD8"/>
    <w:lvl w:ilvl="0" w:tentative="0">
      <w:start w:val="1"/>
      <w:numFmt w:val="decimal"/>
      <w:lvlText w:val="21.%1 "/>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1E1219F"/>
    <w:multiLevelType w:val="multilevel"/>
    <w:tmpl w:val="41E1219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43F72C6C"/>
    <w:multiLevelType w:val="multilevel"/>
    <w:tmpl w:val="43F72C6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449415A4"/>
    <w:multiLevelType w:val="multilevel"/>
    <w:tmpl w:val="449415A4"/>
    <w:lvl w:ilvl="0" w:tentative="0">
      <w:start w:val="1"/>
      <w:numFmt w:val="decimal"/>
      <w:lvlText w:val="23.4.%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4EF59BE"/>
    <w:multiLevelType w:val="multilevel"/>
    <w:tmpl w:val="44EF59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46DC1AEA"/>
    <w:multiLevelType w:val="multilevel"/>
    <w:tmpl w:val="46DC1AEA"/>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7536C22"/>
    <w:multiLevelType w:val="multilevel"/>
    <w:tmpl w:val="47536C22"/>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7A12EA2"/>
    <w:multiLevelType w:val="multilevel"/>
    <w:tmpl w:val="47A12EA2"/>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4B390576"/>
    <w:multiLevelType w:val="multilevel"/>
    <w:tmpl w:val="4B39057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E3041B8"/>
    <w:multiLevelType w:val="multilevel"/>
    <w:tmpl w:val="4E3041B8"/>
    <w:lvl w:ilvl="0" w:tentative="0">
      <w:start w:val="1"/>
      <w:numFmt w:val="decimal"/>
      <w:lvlText w:val="23.1.3.%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4FA24482"/>
    <w:multiLevelType w:val="multilevel"/>
    <w:tmpl w:val="4FA24482"/>
    <w:lvl w:ilvl="0" w:tentative="0">
      <w:start w:val="1"/>
      <w:numFmt w:val="decimal"/>
      <w:lvlText w:val="%1."/>
      <w:lvlJc w:val="left"/>
      <w:pPr>
        <w:ind w:left="420" w:hanging="420"/>
      </w:pPr>
      <w:rPr>
        <w:rFonts w:ascii="黑体" w:hAnsi="黑体" w:eastAsia="黑体"/>
        <w:b/>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06912C7"/>
    <w:multiLevelType w:val="multilevel"/>
    <w:tmpl w:val="506912C7"/>
    <w:lvl w:ilvl="0" w:tentative="0">
      <w:start w:val="1"/>
      <w:numFmt w:val="decimal"/>
      <w:lvlText w:val="%1、"/>
      <w:lvlJc w:val="left"/>
      <w:pPr>
        <w:ind w:left="420" w:hanging="420"/>
      </w:pPr>
      <w:rPr>
        <w:rFonts w:hint="eastAsia" w:ascii="黑体" w:hAnsi="黑体" w:eastAsia="黑体"/>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0731E8A"/>
    <w:multiLevelType w:val="multilevel"/>
    <w:tmpl w:val="50731E8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1AA3847"/>
    <w:multiLevelType w:val="multilevel"/>
    <w:tmpl w:val="51AA384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2CD443F"/>
    <w:multiLevelType w:val="multilevel"/>
    <w:tmpl w:val="52CD443F"/>
    <w:lvl w:ilvl="0" w:tentative="0">
      <w:start w:val="1"/>
      <w:numFmt w:val="decimal"/>
      <w:lvlText w:val="6.%1"/>
      <w:lvlJc w:val="left"/>
      <w:pPr>
        <w:ind w:left="12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393739F"/>
    <w:multiLevelType w:val="multilevel"/>
    <w:tmpl w:val="5393739F"/>
    <w:lvl w:ilvl="0" w:tentative="0">
      <w:start w:val="1"/>
      <w:numFmt w:val="decimal"/>
      <w:lvlText w:val="5.1.%1"/>
      <w:lvlJc w:val="left"/>
      <w:pPr>
        <w:ind w:left="12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45A4EC6"/>
    <w:multiLevelType w:val="multilevel"/>
    <w:tmpl w:val="545A4EC6"/>
    <w:lvl w:ilvl="0" w:tentative="0">
      <w:start w:val="1"/>
      <w:numFmt w:val="decimal"/>
      <w:lvlText w:val="8.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4BB53A2"/>
    <w:multiLevelType w:val="multilevel"/>
    <w:tmpl w:val="54BB53A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4EF0982"/>
    <w:multiLevelType w:val="multilevel"/>
    <w:tmpl w:val="54EF0982"/>
    <w:lvl w:ilvl="0" w:tentative="0">
      <w:start w:val="1"/>
      <w:numFmt w:val="decimal"/>
      <w:lvlText w:val="18.%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6721B91"/>
    <w:multiLevelType w:val="multilevel"/>
    <w:tmpl w:val="56721B91"/>
    <w:lvl w:ilvl="0" w:tentative="0">
      <w:start w:val="1"/>
      <w:numFmt w:val="decimal"/>
      <w:lvlText w:val="2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6EC55E1"/>
    <w:multiLevelType w:val="multilevel"/>
    <w:tmpl w:val="56EC55E1"/>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700529B"/>
    <w:multiLevelType w:val="multilevel"/>
    <w:tmpl w:val="5700529B"/>
    <w:lvl w:ilvl="0" w:tentative="0">
      <w:start w:val="1"/>
      <w:numFmt w:val="decimal"/>
      <w:lvlText w:val="3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58B02883"/>
    <w:multiLevelType w:val="multilevel"/>
    <w:tmpl w:val="58B0288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95A2D4C"/>
    <w:multiLevelType w:val="multilevel"/>
    <w:tmpl w:val="595A2D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AA940C9"/>
    <w:multiLevelType w:val="multilevel"/>
    <w:tmpl w:val="5AA940C9"/>
    <w:lvl w:ilvl="0" w:tentative="0">
      <w:start w:val="1"/>
      <w:numFmt w:val="decimal"/>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5B9A787C"/>
    <w:multiLevelType w:val="multilevel"/>
    <w:tmpl w:val="5B9A787C"/>
    <w:lvl w:ilvl="0" w:tentative="0">
      <w:start w:val="1"/>
      <w:numFmt w:val="decimal"/>
      <w:lvlText w:val="4.%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5BCB325D"/>
    <w:multiLevelType w:val="multilevel"/>
    <w:tmpl w:val="5BCB325D"/>
    <w:lvl w:ilvl="0" w:tentative="0">
      <w:start w:val="1"/>
      <w:numFmt w:val="decimal"/>
      <w:lvlText w:val="24.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BDC4145"/>
    <w:multiLevelType w:val="multilevel"/>
    <w:tmpl w:val="5BDC414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5C2A0FDC"/>
    <w:multiLevelType w:val="multilevel"/>
    <w:tmpl w:val="5C2A0FDC"/>
    <w:lvl w:ilvl="0" w:tentative="0">
      <w:start w:val="1"/>
      <w:numFmt w:val="decimal"/>
      <w:lvlText w:val="27.%1"/>
      <w:lvlJc w:val="left"/>
      <w:pPr>
        <w:ind w:left="85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5CCA6BA2"/>
    <w:multiLevelType w:val="multilevel"/>
    <w:tmpl w:val="5CCA6BA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5CF72713"/>
    <w:multiLevelType w:val="multilevel"/>
    <w:tmpl w:val="5CF7271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28B44A9"/>
    <w:multiLevelType w:val="multilevel"/>
    <w:tmpl w:val="628B44A9"/>
    <w:lvl w:ilvl="0" w:tentative="0">
      <w:start w:val="1"/>
      <w:numFmt w:val="decimal"/>
      <w:lvlText w:val="21.3.%1 "/>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2CE537F"/>
    <w:multiLevelType w:val="multilevel"/>
    <w:tmpl w:val="62CE537F"/>
    <w:lvl w:ilvl="0" w:tentative="0">
      <w:start w:val="1"/>
      <w:numFmt w:val="decimal"/>
      <w:lvlText w:val="17.%1 "/>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3045BCE"/>
    <w:multiLevelType w:val="multilevel"/>
    <w:tmpl w:val="63045BC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33D5B12"/>
    <w:multiLevelType w:val="multilevel"/>
    <w:tmpl w:val="633D5B12"/>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3520B2B"/>
    <w:multiLevelType w:val="multilevel"/>
    <w:tmpl w:val="63520B2B"/>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4D74C33"/>
    <w:multiLevelType w:val="multilevel"/>
    <w:tmpl w:val="64D74C33"/>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65E0096A"/>
    <w:multiLevelType w:val="multilevel"/>
    <w:tmpl w:val="65E0096A"/>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2">
    <w:nsid w:val="662A1A44"/>
    <w:multiLevelType w:val="multilevel"/>
    <w:tmpl w:val="662A1A44"/>
    <w:lvl w:ilvl="0" w:tentative="0">
      <w:start w:val="1"/>
      <w:numFmt w:val="decimal"/>
      <w:lvlText w:val="22.%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67CC3D26"/>
    <w:multiLevelType w:val="multilevel"/>
    <w:tmpl w:val="67CC3D26"/>
    <w:lvl w:ilvl="0" w:tentative="0">
      <w:start w:val="1"/>
      <w:numFmt w:val="decimal"/>
      <w:lvlText w:val="6.3.%1"/>
      <w:lvlJc w:val="left"/>
      <w:pPr>
        <w:ind w:left="12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9A94ED1"/>
    <w:multiLevelType w:val="multilevel"/>
    <w:tmpl w:val="69A94ED1"/>
    <w:lvl w:ilvl="0" w:tentative="0">
      <w:start w:val="1"/>
      <w:numFmt w:val="decimal"/>
      <w:lvlText w:val="12.%1 "/>
      <w:lvlJc w:val="left"/>
      <w:pPr>
        <w:ind w:left="846"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6AF74230"/>
    <w:multiLevelType w:val="multilevel"/>
    <w:tmpl w:val="6AF7423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9">
    <w:nsid w:val="6D5D6621"/>
    <w:multiLevelType w:val="multilevel"/>
    <w:tmpl w:val="6D5D6621"/>
    <w:lvl w:ilvl="0" w:tentative="0">
      <w:start w:val="1"/>
      <w:numFmt w:val="decimal"/>
      <w:lvlText w:val="2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6DD856AF"/>
    <w:multiLevelType w:val="multilevel"/>
    <w:tmpl w:val="6DD856AF"/>
    <w:lvl w:ilvl="0" w:tentative="0">
      <w:start w:val="1"/>
      <w:numFmt w:val="decimal"/>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6F114131"/>
    <w:multiLevelType w:val="multilevel"/>
    <w:tmpl w:val="6F114131"/>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70D85D24"/>
    <w:multiLevelType w:val="multilevel"/>
    <w:tmpl w:val="70D85D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754B7F7D"/>
    <w:multiLevelType w:val="multilevel"/>
    <w:tmpl w:val="754B7F7D"/>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6">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7">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D934F74"/>
    <w:multiLevelType w:val="multilevel"/>
    <w:tmpl w:val="7D934F74"/>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9">
    <w:nsid w:val="7E4C7739"/>
    <w:multiLevelType w:val="multilevel"/>
    <w:tmpl w:val="7E4C7739"/>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F970EA6"/>
    <w:multiLevelType w:val="multilevel"/>
    <w:tmpl w:val="7F970EA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58"/>
  </w:num>
  <w:num w:numId="2">
    <w:abstractNumId w:val="46"/>
  </w:num>
  <w:num w:numId="3">
    <w:abstractNumId w:val="10"/>
  </w:num>
  <w:num w:numId="4">
    <w:abstractNumId w:val="44"/>
  </w:num>
  <w:num w:numId="5">
    <w:abstractNumId w:val="9"/>
  </w:num>
  <w:num w:numId="6">
    <w:abstractNumId w:val="106"/>
  </w:num>
  <w:num w:numId="7">
    <w:abstractNumId w:val="77"/>
  </w:num>
  <w:num w:numId="8">
    <w:abstractNumId w:val="88"/>
  </w:num>
  <w:num w:numId="9">
    <w:abstractNumId w:val="97"/>
  </w:num>
  <w:num w:numId="10">
    <w:abstractNumId w:val="104"/>
  </w:num>
  <w:num w:numId="11">
    <w:abstractNumId w:val="12"/>
  </w:num>
  <w:num w:numId="12">
    <w:abstractNumId w:val="39"/>
  </w:num>
  <w:num w:numId="13">
    <w:abstractNumId w:val="19"/>
  </w:num>
  <w:num w:numId="14">
    <w:abstractNumId w:val="31"/>
  </w:num>
  <w:num w:numId="15">
    <w:abstractNumId w:val="51"/>
  </w:num>
  <w:num w:numId="16">
    <w:abstractNumId w:val="102"/>
  </w:num>
  <w:num w:numId="17">
    <w:abstractNumId w:val="87"/>
  </w:num>
  <w:num w:numId="18">
    <w:abstractNumId w:val="66"/>
  </w:num>
  <w:num w:numId="19">
    <w:abstractNumId w:val="67"/>
  </w:num>
  <w:num w:numId="20">
    <w:abstractNumId w:val="83"/>
  </w:num>
  <w:num w:numId="21">
    <w:abstractNumId w:val="0"/>
  </w:num>
  <w:num w:numId="22">
    <w:abstractNumId w:val="54"/>
  </w:num>
  <w:num w:numId="23">
    <w:abstractNumId w:val="47"/>
  </w:num>
  <w:num w:numId="24">
    <w:abstractNumId w:val="110"/>
  </w:num>
  <w:num w:numId="25">
    <w:abstractNumId w:val="26"/>
  </w:num>
  <w:num w:numId="26">
    <w:abstractNumId w:val="49"/>
  </w:num>
  <w:num w:numId="27">
    <w:abstractNumId w:val="62"/>
  </w:num>
  <w:num w:numId="28">
    <w:abstractNumId w:val="84"/>
  </w:num>
  <w:num w:numId="29">
    <w:abstractNumId w:val="100"/>
  </w:num>
  <w:num w:numId="30">
    <w:abstractNumId w:val="71"/>
  </w:num>
  <w:num w:numId="31">
    <w:abstractNumId w:val="81"/>
  </w:num>
  <w:num w:numId="32">
    <w:abstractNumId w:val="36"/>
  </w:num>
  <w:num w:numId="33">
    <w:abstractNumId w:val="45"/>
  </w:num>
  <w:num w:numId="34">
    <w:abstractNumId w:val="78"/>
  </w:num>
  <w:num w:numId="35">
    <w:abstractNumId w:val="38"/>
  </w:num>
  <w:num w:numId="36">
    <w:abstractNumId w:val="15"/>
  </w:num>
  <w:num w:numId="37">
    <w:abstractNumId w:val="11"/>
  </w:num>
  <w:num w:numId="38">
    <w:abstractNumId w:val="79"/>
  </w:num>
  <w:num w:numId="39">
    <w:abstractNumId w:val="8"/>
  </w:num>
  <w:num w:numId="40">
    <w:abstractNumId w:val="69"/>
  </w:num>
  <w:num w:numId="41">
    <w:abstractNumId w:val="68"/>
  </w:num>
  <w:num w:numId="42">
    <w:abstractNumId w:val="93"/>
  </w:num>
  <w:num w:numId="43">
    <w:abstractNumId w:val="21"/>
  </w:num>
  <w:num w:numId="44">
    <w:abstractNumId w:val="20"/>
  </w:num>
  <w:num w:numId="45">
    <w:abstractNumId w:val="89"/>
  </w:num>
  <w:num w:numId="46">
    <w:abstractNumId w:val="70"/>
  </w:num>
  <w:num w:numId="47">
    <w:abstractNumId w:val="3"/>
  </w:num>
  <w:num w:numId="48">
    <w:abstractNumId w:val="13"/>
  </w:num>
  <w:num w:numId="49">
    <w:abstractNumId w:val="95"/>
  </w:num>
  <w:num w:numId="50">
    <w:abstractNumId w:val="4"/>
  </w:num>
  <w:num w:numId="51">
    <w:abstractNumId w:val="32"/>
  </w:num>
  <w:num w:numId="52">
    <w:abstractNumId w:val="72"/>
  </w:num>
  <w:num w:numId="53">
    <w:abstractNumId w:val="86"/>
  </w:num>
  <w:num w:numId="54">
    <w:abstractNumId w:val="25"/>
  </w:num>
  <w:num w:numId="55">
    <w:abstractNumId w:val="53"/>
  </w:num>
  <w:num w:numId="56">
    <w:abstractNumId w:val="85"/>
  </w:num>
  <w:num w:numId="57">
    <w:abstractNumId w:val="92"/>
  </w:num>
  <w:num w:numId="58">
    <w:abstractNumId w:val="29"/>
  </w:num>
  <w:num w:numId="59">
    <w:abstractNumId w:val="43"/>
  </w:num>
  <w:num w:numId="60">
    <w:abstractNumId w:val="63"/>
  </w:num>
  <w:num w:numId="61">
    <w:abstractNumId w:val="7"/>
  </w:num>
  <w:num w:numId="62">
    <w:abstractNumId w:val="56"/>
  </w:num>
  <w:num w:numId="63">
    <w:abstractNumId w:val="42"/>
  </w:num>
  <w:num w:numId="64">
    <w:abstractNumId w:val="28"/>
  </w:num>
  <w:num w:numId="65">
    <w:abstractNumId w:val="33"/>
  </w:num>
  <w:num w:numId="66">
    <w:abstractNumId w:val="99"/>
  </w:num>
  <w:num w:numId="67">
    <w:abstractNumId w:val="34"/>
  </w:num>
  <w:num w:numId="68">
    <w:abstractNumId w:val="30"/>
  </w:num>
  <w:num w:numId="69">
    <w:abstractNumId w:val="18"/>
  </w:num>
  <w:num w:numId="70">
    <w:abstractNumId w:val="80"/>
  </w:num>
  <w:num w:numId="71">
    <w:abstractNumId w:val="82"/>
  </w:num>
  <w:num w:numId="72">
    <w:abstractNumId w:val="73"/>
  </w:num>
  <w:num w:numId="73">
    <w:abstractNumId w:val="90"/>
  </w:num>
  <w:num w:numId="74">
    <w:abstractNumId w:val="109"/>
  </w:num>
  <w:num w:numId="75">
    <w:abstractNumId w:val="75"/>
  </w:num>
  <w:num w:numId="76">
    <w:abstractNumId w:val="101"/>
  </w:num>
  <w:num w:numId="77">
    <w:abstractNumId w:val="41"/>
  </w:num>
  <w:num w:numId="78">
    <w:abstractNumId w:val="60"/>
  </w:num>
  <w:num w:numId="79">
    <w:abstractNumId w:val="98"/>
  </w:num>
  <w:num w:numId="80">
    <w:abstractNumId w:val="23"/>
  </w:num>
  <w:num w:numId="81">
    <w:abstractNumId w:val="96"/>
  </w:num>
  <w:num w:numId="82">
    <w:abstractNumId w:val="6"/>
  </w:num>
  <w:num w:numId="83">
    <w:abstractNumId w:val="50"/>
  </w:num>
  <w:num w:numId="84">
    <w:abstractNumId w:val="24"/>
  </w:num>
  <w:num w:numId="85">
    <w:abstractNumId w:val="111"/>
  </w:num>
  <w:num w:numId="86">
    <w:abstractNumId w:val="17"/>
  </w:num>
  <w:num w:numId="87">
    <w:abstractNumId w:val="14"/>
  </w:num>
  <w:num w:numId="88">
    <w:abstractNumId w:val="108"/>
  </w:num>
  <w:num w:numId="89">
    <w:abstractNumId w:val="105"/>
  </w:num>
  <w:num w:numId="90">
    <w:abstractNumId w:val="91"/>
  </w:num>
  <w:num w:numId="91">
    <w:abstractNumId w:val="5"/>
  </w:num>
  <w:num w:numId="92">
    <w:abstractNumId w:val="103"/>
  </w:num>
  <w:num w:numId="93">
    <w:abstractNumId w:val="22"/>
  </w:num>
  <w:num w:numId="94">
    <w:abstractNumId w:val="27"/>
  </w:num>
  <w:num w:numId="95">
    <w:abstractNumId w:val="37"/>
  </w:num>
  <w:num w:numId="96">
    <w:abstractNumId w:val="1"/>
  </w:num>
  <w:num w:numId="97">
    <w:abstractNumId w:val="76"/>
  </w:num>
  <w:num w:numId="98">
    <w:abstractNumId w:val="59"/>
  </w:num>
  <w:num w:numId="99">
    <w:abstractNumId w:val="16"/>
  </w:num>
  <w:num w:numId="100">
    <w:abstractNumId w:val="94"/>
  </w:num>
  <w:num w:numId="101">
    <w:abstractNumId w:val="2"/>
  </w:num>
  <w:num w:numId="102">
    <w:abstractNumId w:val="64"/>
  </w:num>
  <w:num w:numId="103">
    <w:abstractNumId w:val="35"/>
  </w:num>
  <w:num w:numId="104">
    <w:abstractNumId w:val="65"/>
  </w:num>
  <w:num w:numId="105">
    <w:abstractNumId w:val="48"/>
  </w:num>
  <w:num w:numId="106">
    <w:abstractNumId w:val="107"/>
  </w:num>
  <w:num w:numId="107">
    <w:abstractNumId w:val="74"/>
  </w:num>
  <w:num w:numId="108">
    <w:abstractNumId w:val="61"/>
  </w:num>
  <w:num w:numId="109">
    <w:abstractNumId w:val="55"/>
  </w:num>
  <w:num w:numId="110">
    <w:abstractNumId w:val="57"/>
  </w:num>
  <w:num w:numId="111">
    <w:abstractNumId w:val="52"/>
  </w:num>
  <w:num w:numId="11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jYTU5ZWY4NWJkZDkzYzc5MjZhYjMzZTQ5NmQ0MmQifQ=="/>
  </w:docVars>
  <w:rsids>
    <w:rsidRoot w:val="008414D6"/>
    <w:rsid w:val="00003F2B"/>
    <w:rsid w:val="00005584"/>
    <w:rsid w:val="000107E4"/>
    <w:rsid w:val="00013C2F"/>
    <w:rsid w:val="00022113"/>
    <w:rsid w:val="00024252"/>
    <w:rsid w:val="000362C9"/>
    <w:rsid w:val="0004118F"/>
    <w:rsid w:val="000555C4"/>
    <w:rsid w:val="000569EA"/>
    <w:rsid w:val="000626B4"/>
    <w:rsid w:val="00081B29"/>
    <w:rsid w:val="00093664"/>
    <w:rsid w:val="000945EB"/>
    <w:rsid w:val="000A2DE6"/>
    <w:rsid w:val="000B0693"/>
    <w:rsid w:val="000B1847"/>
    <w:rsid w:val="000B216A"/>
    <w:rsid w:val="000B3567"/>
    <w:rsid w:val="000C41C4"/>
    <w:rsid w:val="000D0824"/>
    <w:rsid w:val="000D523D"/>
    <w:rsid w:val="000F6CBE"/>
    <w:rsid w:val="00102346"/>
    <w:rsid w:val="001034BE"/>
    <w:rsid w:val="001153CB"/>
    <w:rsid w:val="001155B2"/>
    <w:rsid w:val="00115E16"/>
    <w:rsid w:val="0013043C"/>
    <w:rsid w:val="00137D63"/>
    <w:rsid w:val="0014000C"/>
    <w:rsid w:val="00145290"/>
    <w:rsid w:val="001472FA"/>
    <w:rsid w:val="00157D66"/>
    <w:rsid w:val="00166B49"/>
    <w:rsid w:val="00172DC0"/>
    <w:rsid w:val="00174B0D"/>
    <w:rsid w:val="001812E3"/>
    <w:rsid w:val="00183719"/>
    <w:rsid w:val="00194D84"/>
    <w:rsid w:val="00196EC1"/>
    <w:rsid w:val="00197E67"/>
    <w:rsid w:val="001C156A"/>
    <w:rsid w:val="001C5F22"/>
    <w:rsid w:val="001C6E4D"/>
    <w:rsid w:val="001D4CF8"/>
    <w:rsid w:val="001E354B"/>
    <w:rsid w:val="001E7392"/>
    <w:rsid w:val="001E7D83"/>
    <w:rsid w:val="001F46C9"/>
    <w:rsid w:val="00200F12"/>
    <w:rsid w:val="002031F2"/>
    <w:rsid w:val="00203440"/>
    <w:rsid w:val="00203F47"/>
    <w:rsid w:val="00205A21"/>
    <w:rsid w:val="0021345C"/>
    <w:rsid w:val="00221448"/>
    <w:rsid w:val="002305A5"/>
    <w:rsid w:val="002334F5"/>
    <w:rsid w:val="00235905"/>
    <w:rsid w:val="00237D89"/>
    <w:rsid w:val="002474E7"/>
    <w:rsid w:val="00257B02"/>
    <w:rsid w:val="00257CD5"/>
    <w:rsid w:val="00260539"/>
    <w:rsid w:val="002652F0"/>
    <w:rsid w:val="0028199F"/>
    <w:rsid w:val="00285C4E"/>
    <w:rsid w:val="002A1FBA"/>
    <w:rsid w:val="002B496C"/>
    <w:rsid w:val="002B5A5D"/>
    <w:rsid w:val="002C1CC4"/>
    <w:rsid w:val="002D448B"/>
    <w:rsid w:val="002E55F5"/>
    <w:rsid w:val="002E60E6"/>
    <w:rsid w:val="002F5018"/>
    <w:rsid w:val="002F7FE6"/>
    <w:rsid w:val="00302748"/>
    <w:rsid w:val="00314183"/>
    <w:rsid w:val="00314EE1"/>
    <w:rsid w:val="00316603"/>
    <w:rsid w:val="003203E5"/>
    <w:rsid w:val="0032085A"/>
    <w:rsid w:val="00330D9B"/>
    <w:rsid w:val="0033115B"/>
    <w:rsid w:val="00333459"/>
    <w:rsid w:val="00334952"/>
    <w:rsid w:val="00345ECD"/>
    <w:rsid w:val="003532FF"/>
    <w:rsid w:val="00356197"/>
    <w:rsid w:val="00356B0A"/>
    <w:rsid w:val="003673F8"/>
    <w:rsid w:val="00376A03"/>
    <w:rsid w:val="00382FC8"/>
    <w:rsid w:val="00383AA2"/>
    <w:rsid w:val="0039004B"/>
    <w:rsid w:val="00390876"/>
    <w:rsid w:val="003968F0"/>
    <w:rsid w:val="003A6DB9"/>
    <w:rsid w:val="003B2571"/>
    <w:rsid w:val="003B3553"/>
    <w:rsid w:val="003B45C6"/>
    <w:rsid w:val="003B62FE"/>
    <w:rsid w:val="003C7102"/>
    <w:rsid w:val="003D01CC"/>
    <w:rsid w:val="003D1B40"/>
    <w:rsid w:val="003D7052"/>
    <w:rsid w:val="003D7915"/>
    <w:rsid w:val="003E3CA1"/>
    <w:rsid w:val="003F29C0"/>
    <w:rsid w:val="003F5841"/>
    <w:rsid w:val="00402F07"/>
    <w:rsid w:val="00404E18"/>
    <w:rsid w:val="00407983"/>
    <w:rsid w:val="00407B4D"/>
    <w:rsid w:val="004121FB"/>
    <w:rsid w:val="004168B0"/>
    <w:rsid w:val="00416FC4"/>
    <w:rsid w:val="00427033"/>
    <w:rsid w:val="00427070"/>
    <w:rsid w:val="00430950"/>
    <w:rsid w:val="00435AA4"/>
    <w:rsid w:val="00442C27"/>
    <w:rsid w:val="00453321"/>
    <w:rsid w:val="00455331"/>
    <w:rsid w:val="004600B2"/>
    <w:rsid w:val="0046100A"/>
    <w:rsid w:val="00472868"/>
    <w:rsid w:val="004955D9"/>
    <w:rsid w:val="004A03C7"/>
    <w:rsid w:val="004B34FC"/>
    <w:rsid w:val="004C632D"/>
    <w:rsid w:val="004D24A7"/>
    <w:rsid w:val="004D630F"/>
    <w:rsid w:val="004D6EEA"/>
    <w:rsid w:val="004E499E"/>
    <w:rsid w:val="004F0115"/>
    <w:rsid w:val="004F5F38"/>
    <w:rsid w:val="004F6C48"/>
    <w:rsid w:val="004F781A"/>
    <w:rsid w:val="00501395"/>
    <w:rsid w:val="00516D61"/>
    <w:rsid w:val="00521966"/>
    <w:rsid w:val="00541EAF"/>
    <w:rsid w:val="00547433"/>
    <w:rsid w:val="0055351F"/>
    <w:rsid w:val="005549C9"/>
    <w:rsid w:val="00565111"/>
    <w:rsid w:val="0057254C"/>
    <w:rsid w:val="00590765"/>
    <w:rsid w:val="00593559"/>
    <w:rsid w:val="00596028"/>
    <w:rsid w:val="005A6101"/>
    <w:rsid w:val="005B1DEF"/>
    <w:rsid w:val="005C4328"/>
    <w:rsid w:val="005C5DC7"/>
    <w:rsid w:val="005D091E"/>
    <w:rsid w:val="005F6BAF"/>
    <w:rsid w:val="005F7679"/>
    <w:rsid w:val="00601D06"/>
    <w:rsid w:val="00603493"/>
    <w:rsid w:val="006124E4"/>
    <w:rsid w:val="006301B5"/>
    <w:rsid w:val="00636461"/>
    <w:rsid w:val="0064068A"/>
    <w:rsid w:val="0064590D"/>
    <w:rsid w:val="00646DA4"/>
    <w:rsid w:val="00656F5C"/>
    <w:rsid w:val="006626E3"/>
    <w:rsid w:val="00664C07"/>
    <w:rsid w:val="00674735"/>
    <w:rsid w:val="00682A7B"/>
    <w:rsid w:val="006B0729"/>
    <w:rsid w:val="006C2B93"/>
    <w:rsid w:val="006C3C21"/>
    <w:rsid w:val="006D0C32"/>
    <w:rsid w:val="006D20D5"/>
    <w:rsid w:val="006D457F"/>
    <w:rsid w:val="006D6924"/>
    <w:rsid w:val="006E098C"/>
    <w:rsid w:val="006F2D43"/>
    <w:rsid w:val="006F4DA1"/>
    <w:rsid w:val="00710A57"/>
    <w:rsid w:val="00716032"/>
    <w:rsid w:val="007213EE"/>
    <w:rsid w:val="0072668E"/>
    <w:rsid w:val="007314BB"/>
    <w:rsid w:val="00734B90"/>
    <w:rsid w:val="00736204"/>
    <w:rsid w:val="007366D4"/>
    <w:rsid w:val="00742CDD"/>
    <w:rsid w:val="00745059"/>
    <w:rsid w:val="007475EB"/>
    <w:rsid w:val="00755115"/>
    <w:rsid w:val="00755B4B"/>
    <w:rsid w:val="007605C1"/>
    <w:rsid w:val="007636CB"/>
    <w:rsid w:val="00774FD6"/>
    <w:rsid w:val="00780EFE"/>
    <w:rsid w:val="0078473E"/>
    <w:rsid w:val="00794213"/>
    <w:rsid w:val="007971B6"/>
    <w:rsid w:val="007A0116"/>
    <w:rsid w:val="007A3FA8"/>
    <w:rsid w:val="007A3FB7"/>
    <w:rsid w:val="007B5757"/>
    <w:rsid w:val="007B6A9E"/>
    <w:rsid w:val="007C1C73"/>
    <w:rsid w:val="007D104A"/>
    <w:rsid w:val="007E206F"/>
    <w:rsid w:val="007E5D87"/>
    <w:rsid w:val="007E71BE"/>
    <w:rsid w:val="007F0D28"/>
    <w:rsid w:val="007F3136"/>
    <w:rsid w:val="00801C80"/>
    <w:rsid w:val="0080349D"/>
    <w:rsid w:val="00803FAF"/>
    <w:rsid w:val="00815471"/>
    <w:rsid w:val="00817C3D"/>
    <w:rsid w:val="008315C3"/>
    <w:rsid w:val="00834BB2"/>
    <w:rsid w:val="008358B4"/>
    <w:rsid w:val="008414D6"/>
    <w:rsid w:val="00846013"/>
    <w:rsid w:val="008528AB"/>
    <w:rsid w:val="00873512"/>
    <w:rsid w:val="0089064C"/>
    <w:rsid w:val="0089696D"/>
    <w:rsid w:val="008A0FDC"/>
    <w:rsid w:val="008A1C2A"/>
    <w:rsid w:val="008A20B3"/>
    <w:rsid w:val="008A4FCE"/>
    <w:rsid w:val="008B0EC0"/>
    <w:rsid w:val="008B5AB7"/>
    <w:rsid w:val="008E02D8"/>
    <w:rsid w:val="008E7360"/>
    <w:rsid w:val="008E773D"/>
    <w:rsid w:val="008E77E8"/>
    <w:rsid w:val="008F0221"/>
    <w:rsid w:val="008F78DF"/>
    <w:rsid w:val="008F7BD9"/>
    <w:rsid w:val="00930A69"/>
    <w:rsid w:val="009316DF"/>
    <w:rsid w:val="00933986"/>
    <w:rsid w:val="00934862"/>
    <w:rsid w:val="00936AC4"/>
    <w:rsid w:val="009420CB"/>
    <w:rsid w:val="00952879"/>
    <w:rsid w:val="00954593"/>
    <w:rsid w:val="00955A7A"/>
    <w:rsid w:val="0096018A"/>
    <w:rsid w:val="009779AF"/>
    <w:rsid w:val="00977C17"/>
    <w:rsid w:val="009811C1"/>
    <w:rsid w:val="009A01D6"/>
    <w:rsid w:val="009A3BB9"/>
    <w:rsid w:val="009C4351"/>
    <w:rsid w:val="009D6676"/>
    <w:rsid w:val="009E69C7"/>
    <w:rsid w:val="009E76CB"/>
    <w:rsid w:val="009F3869"/>
    <w:rsid w:val="00A049A2"/>
    <w:rsid w:val="00A20949"/>
    <w:rsid w:val="00A248AB"/>
    <w:rsid w:val="00A31AC8"/>
    <w:rsid w:val="00A53BD3"/>
    <w:rsid w:val="00A558D8"/>
    <w:rsid w:val="00A579D1"/>
    <w:rsid w:val="00A62CEE"/>
    <w:rsid w:val="00A64FC3"/>
    <w:rsid w:val="00A752A5"/>
    <w:rsid w:val="00A920F2"/>
    <w:rsid w:val="00A95E27"/>
    <w:rsid w:val="00A970F1"/>
    <w:rsid w:val="00AA0EFB"/>
    <w:rsid w:val="00AA59CB"/>
    <w:rsid w:val="00AA65F8"/>
    <w:rsid w:val="00AB7ACD"/>
    <w:rsid w:val="00AD1FF6"/>
    <w:rsid w:val="00AD61C2"/>
    <w:rsid w:val="00AD71AE"/>
    <w:rsid w:val="00AE6402"/>
    <w:rsid w:val="00AE7246"/>
    <w:rsid w:val="00B056AF"/>
    <w:rsid w:val="00B238A4"/>
    <w:rsid w:val="00B36464"/>
    <w:rsid w:val="00B36C21"/>
    <w:rsid w:val="00B537D0"/>
    <w:rsid w:val="00B544C2"/>
    <w:rsid w:val="00B55DA7"/>
    <w:rsid w:val="00B57E97"/>
    <w:rsid w:val="00B605C7"/>
    <w:rsid w:val="00B61A23"/>
    <w:rsid w:val="00B672ED"/>
    <w:rsid w:val="00B72D32"/>
    <w:rsid w:val="00B76BCC"/>
    <w:rsid w:val="00B81AC4"/>
    <w:rsid w:val="00B86048"/>
    <w:rsid w:val="00B86745"/>
    <w:rsid w:val="00B95F20"/>
    <w:rsid w:val="00BB4A03"/>
    <w:rsid w:val="00BB6820"/>
    <w:rsid w:val="00BC557B"/>
    <w:rsid w:val="00BD2233"/>
    <w:rsid w:val="00BD3590"/>
    <w:rsid w:val="00BD4B51"/>
    <w:rsid w:val="00BE1535"/>
    <w:rsid w:val="00BE33AC"/>
    <w:rsid w:val="00BF7024"/>
    <w:rsid w:val="00C06E8D"/>
    <w:rsid w:val="00C15940"/>
    <w:rsid w:val="00C16C2E"/>
    <w:rsid w:val="00C22A64"/>
    <w:rsid w:val="00C3105F"/>
    <w:rsid w:val="00C3708A"/>
    <w:rsid w:val="00C53BB4"/>
    <w:rsid w:val="00C612EB"/>
    <w:rsid w:val="00C6279B"/>
    <w:rsid w:val="00C67AB7"/>
    <w:rsid w:val="00C830E6"/>
    <w:rsid w:val="00C84AA5"/>
    <w:rsid w:val="00C85490"/>
    <w:rsid w:val="00C855CA"/>
    <w:rsid w:val="00CA5749"/>
    <w:rsid w:val="00CA7687"/>
    <w:rsid w:val="00CA7737"/>
    <w:rsid w:val="00CC5556"/>
    <w:rsid w:val="00CD121F"/>
    <w:rsid w:val="00CF0BDB"/>
    <w:rsid w:val="00CF5371"/>
    <w:rsid w:val="00D03844"/>
    <w:rsid w:val="00D05EEA"/>
    <w:rsid w:val="00D06384"/>
    <w:rsid w:val="00D06E82"/>
    <w:rsid w:val="00D14263"/>
    <w:rsid w:val="00D162E3"/>
    <w:rsid w:val="00D21B67"/>
    <w:rsid w:val="00D22A4D"/>
    <w:rsid w:val="00D33F1B"/>
    <w:rsid w:val="00D349D1"/>
    <w:rsid w:val="00D412B8"/>
    <w:rsid w:val="00D47AD2"/>
    <w:rsid w:val="00D54AF3"/>
    <w:rsid w:val="00D5564D"/>
    <w:rsid w:val="00D65A45"/>
    <w:rsid w:val="00D6750E"/>
    <w:rsid w:val="00D84E41"/>
    <w:rsid w:val="00D87CD3"/>
    <w:rsid w:val="00D9784A"/>
    <w:rsid w:val="00DA1F49"/>
    <w:rsid w:val="00DA43C6"/>
    <w:rsid w:val="00DC37EE"/>
    <w:rsid w:val="00DC4446"/>
    <w:rsid w:val="00DD1D43"/>
    <w:rsid w:val="00DD2F85"/>
    <w:rsid w:val="00DD3BD1"/>
    <w:rsid w:val="00DD765C"/>
    <w:rsid w:val="00DE0516"/>
    <w:rsid w:val="00DE20AE"/>
    <w:rsid w:val="00DE72C6"/>
    <w:rsid w:val="00DF2701"/>
    <w:rsid w:val="00DF36A1"/>
    <w:rsid w:val="00DF45CB"/>
    <w:rsid w:val="00E04A31"/>
    <w:rsid w:val="00E10C5F"/>
    <w:rsid w:val="00E1125D"/>
    <w:rsid w:val="00E1261F"/>
    <w:rsid w:val="00E211DD"/>
    <w:rsid w:val="00E21865"/>
    <w:rsid w:val="00E25043"/>
    <w:rsid w:val="00E25C7E"/>
    <w:rsid w:val="00E30985"/>
    <w:rsid w:val="00E40902"/>
    <w:rsid w:val="00E55DFF"/>
    <w:rsid w:val="00E62E69"/>
    <w:rsid w:val="00E80416"/>
    <w:rsid w:val="00E926A6"/>
    <w:rsid w:val="00E94ADC"/>
    <w:rsid w:val="00EA191C"/>
    <w:rsid w:val="00EA5A8F"/>
    <w:rsid w:val="00EB4561"/>
    <w:rsid w:val="00EB7177"/>
    <w:rsid w:val="00EC3737"/>
    <w:rsid w:val="00ED0C80"/>
    <w:rsid w:val="00ED2290"/>
    <w:rsid w:val="00ED59C5"/>
    <w:rsid w:val="00EE23D5"/>
    <w:rsid w:val="00EE2939"/>
    <w:rsid w:val="00F008A8"/>
    <w:rsid w:val="00F03A23"/>
    <w:rsid w:val="00F1107D"/>
    <w:rsid w:val="00F44232"/>
    <w:rsid w:val="00F61A49"/>
    <w:rsid w:val="00F64C41"/>
    <w:rsid w:val="00F701DF"/>
    <w:rsid w:val="00F7162B"/>
    <w:rsid w:val="00F827BE"/>
    <w:rsid w:val="00F920BC"/>
    <w:rsid w:val="00FA085E"/>
    <w:rsid w:val="00FA6F4A"/>
    <w:rsid w:val="00FA7783"/>
    <w:rsid w:val="00FB0295"/>
    <w:rsid w:val="00FB055D"/>
    <w:rsid w:val="00FB73D4"/>
    <w:rsid w:val="00FC67E2"/>
    <w:rsid w:val="00FC6CC1"/>
    <w:rsid w:val="00FC7CFD"/>
    <w:rsid w:val="00FD2F31"/>
    <w:rsid w:val="00FE4C4C"/>
    <w:rsid w:val="00FF4476"/>
    <w:rsid w:val="00FF4905"/>
    <w:rsid w:val="082E1D86"/>
    <w:rsid w:val="0E142226"/>
    <w:rsid w:val="189368F8"/>
    <w:rsid w:val="29E2383A"/>
    <w:rsid w:val="2DF55776"/>
    <w:rsid w:val="2FC348D0"/>
    <w:rsid w:val="463B33A9"/>
    <w:rsid w:val="518A4C17"/>
    <w:rsid w:val="57154E49"/>
    <w:rsid w:val="58545E4F"/>
    <w:rsid w:val="5B3A0259"/>
    <w:rsid w:val="5C1D4D29"/>
    <w:rsid w:val="5DFE0B0F"/>
    <w:rsid w:val="609E739D"/>
    <w:rsid w:val="64A97F20"/>
    <w:rsid w:val="675C5AD6"/>
    <w:rsid w:val="6A803A08"/>
    <w:rsid w:val="749F7EC1"/>
    <w:rsid w:val="7BEE5100"/>
    <w:rsid w:val="7F2E4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6"/>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4"/>
    <w:semiHidden/>
    <w:unhideWhenUsed/>
    <w:qFormat/>
    <w:uiPriority w:val="9"/>
    <w:pPr>
      <w:keepNext/>
      <w:keepLines/>
      <w:spacing w:before="280" w:after="290" w:line="376" w:lineRule="auto"/>
      <w:outlineLvl w:val="3"/>
    </w:pPr>
    <w:rPr>
      <w:rFonts w:ascii="Cambria" w:hAnsi="Cambria" w:eastAsia="宋体" w:cs="Times New Roman"/>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6"/>
    <w:unhideWhenUsed/>
    <w:qFormat/>
    <w:uiPriority w:val="0"/>
    <w:pPr>
      <w:jc w:val="left"/>
    </w:pPr>
  </w:style>
  <w:style w:type="paragraph" w:styleId="7">
    <w:name w:val="Body Text"/>
    <w:basedOn w:val="1"/>
    <w:link w:val="52"/>
    <w:qFormat/>
    <w:uiPriority w:val="0"/>
    <w:pPr>
      <w:spacing w:after="120"/>
    </w:pPr>
    <w:rPr>
      <w:rFonts w:ascii="Times New Roman" w:hAnsi="Times New Roman" w:eastAsia="宋体" w:cs="Times New Roman"/>
      <w:kern w:val="0"/>
      <w:sz w:val="20"/>
      <w:szCs w:val="24"/>
    </w:rPr>
  </w:style>
  <w:style w:type="paragraph" w:styleId="8">
    <w:name w:val="toc 3"/>
    <w:basedOn w:val="1"/>
    <w:next w:val="1"/>
    <w:unhideWhenUsed/>
    <w:qFormat/>
    <w:uiPriority w:val="39"/>
    <w:pPr>
      <w:tabs>
        <w:tab w:val="left" w:pos="426"/>
        <w:tab w:val="left" w:pos="567"/>
        <w:tab w:val="right" w:leader="dot" w:pos="8296"/>
      </w:tabs>
      <w:spacing w:line="400" w:lineRule="exact"/>
    </w:pPr>
  </w:style>
  <w:style w:type="paragraph" w:styleId="9">
    <w:name w:val="Plain Text"/>
    <w:basedOn w:val="1"/>
    <w:link w:val="48"/>
    <w:qFormat/>
    <w:uiPriority w:val="0"/>
    <w:rPr>
      <w:rFonts w:ascii="宋体" w:hAnsi="Courier New" w:eastAsia="宋体"/>
      <w:szCs w:val="24"/>
    </w:rPr>
  </w:style>
  <w:style w:type="paragraph" w:styleId="10">
    <w:name w:val="Date"/>
    <w:basedOn w:val="1"/>
    <w:next w:val="1"/>
    <w:link w:val="45"/>
    <w:unhideWhenUsed/>
    <w:qFormat/>
    <w:uiPriority w:val="0"/>
    <w:pPr>
      <w:ind w:left="100" w:leftChars="2500"/>
    </w:pPr>
    <w:rPr>
      <w:rFonts w:ascii="Calibri" w:hAnsi="Calibri" w:eastAsia="宋体" w:cs="Times New Roman"/>
    </w:rPr>
  </w:style>
  <w:style w:type="paragraph" w:styleId="11">
    <w:name w:val="Balloon Text"/>
    <w:basedOn w:val="1"/>
    <w:link w:val="27"/>
    <w:semiHidden/>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jc w:val="left"/>
    </w:pPr>
    <w:rPr>
      <w:sz w:val="18"/>
      <w:szCs w:val="18"/>
    </w:rPr>
  </w:style>
  <w:style w:type="paragraph" w:styleId="13">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tabs>
        <w:tab w:val="right" w:leader="dot" w:pos="8296"/>
      </w:tabs>
      <w:spacing w:line="360" w:lineRule="auto"/>
    </w:pPr>
  </w:style>
  <w:style w:type="paragraph" w:styleId="15">
    <w:name w:val="toc 2"/>
    <w:basedOn w:val="1"/>
    <w:next w:val="1"/>
    <w:unhideWhenUsed/>
    <w:qFormat/>
    <w:uiPriority w:val="39"/>
    <w:pPr>
      <w:tabs>
        <w:tab w:val="left" w:pos="426"/>
        <w:tab w:val="right" w:leader="dot" w:pos="8296"/>
      </w:tabs>
    </w:pPr>
  </w:style>
  <w:style w:type="paragraph" w:styleId="16">
    <w:name w:val="Normal (Web)"/>
    <w:basedOn w:val="1"/>
    <w:link w:val="62"/>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7">
    <w:name w:val="annotation subject"/>
    <w:basedOn w:val="6"/>
    <w:next w:val="6"/>
    <w:link w:val="34"/>
    <w:semiHidden/>
    <w:unhideWhenUsed/>
    <w:qFormat/>
    <w:uiPriority w:val="99"/>
    <w:rPr>
      <w:b/>
      <w:bCs/>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22"/>
    <w:rPr>
      <w:b/>
      <w:bCs/>
    </w:rPr>
  </w:style>
  <w:style w:type="character" w:styleId="22">
    <w:name w:val="FollowedHyperlink"/>
    <w:basedOn w:val="20"/>
    <w:semiHidden/>
    <w:unhideWhenUsed/>
    <w:qFormat/>
    <w:uiPriority w:val="99"/>
    <w:rPr>
      <w:color w:val="800080" w:themeColor="followedHyperlink"/>
      <w:u w:val="single"/>
      <w14:textFill>
        <w14:solidFill>
          <w14:schemeClr w14:val="folHlink"/>
        </w14:solidFill>
      </w14:textFill>
    </w:rPr>
  </w:style>
  <w:style w:type="character" w:styleId="23">
    <w:name w:val="Emphasis"/>
    <w:qFormat/>
    <w:uiPriority w:val="20"/>
    <w:rPr>
      <w:i/>
      <w:iCs/>
    </w:rPr>
  </w:style>
  <w:style w:type="character" w:styleId="24">
    <w:name w:val="Hyperlink"/>
    <w:basedOn w:val="20"/>
    <w:unhideWhenUsed/>
    <w:qFormat/>
    <w:uiPriority w:val="99"/>
    <w:rPr>
      <w:color w:val="0000FF" w:themeColor="hyperlink"/>
      <w:u w:val="single"/>
      <w14:textFill>
        <w14:solidFill>
          <w14:schemeClr w14:val="hlink"/>
        </w14:solidFill>
      </w14:textFill>
    </w:rPr>
  </w:style>
  <w:style w:type="character" w:styleId="25">
    <w:name w:val="annotation reference"/>
    <w:basedOn w:val="20"/>
    <w:unhideWhenUsed/>
    <w:qFormat/>
    <w:uiPriority w:val="0"/>
    <w:rPr>
      <w:sz w:val="21"/>
      <w:szCs w:val="21"/>
    </w:rPr>
  </w:style>
  <w:style w:type="character" w:customStyle="1" w:styleId="26">
    <w:name w:val="批注文字 字符"/>
    <w:basedOn w:val="20"/>
    <w:link w:val="6"/>
    <w:qFormat/>
    <w:uiPriority w:val="0"/>
  </w:style>
  <w:style w:type="character" w:customStyle="1" w:styleId="27">
    <w:name w:val="批注框文本 字符"/>
    <w:basedOn w:val="20"/>
    <w:link w:val="11"/>
    <w:semiHidden/>
    <w:qFormat/>
    <w:uiPriority w:val="99"/>
    <w:rPr>
      <w:sz w:val="18"/>
      <w:szCs w:val="18"/>
    </w:rPr>
  </w:style>
  <w:style w:type="character" w:customStyle="1" w:styleId="28">
    <w:name w:val="页眉 字符"/>
    <w:basedOn w:val="20"/>
    <w:link w:val="13"/>
    <w:qFormat/>
    <w:uiPriority w:val="99"/>
    <w:rPr>
      <w:sz w:val="18"/>
      <w:szCs w:val="18"/>
    </w:rPr>
  </w:style>
  <w:style w:type="character" w:customStyle="1" w:styleId="29">
    <w:name w:val="页脚 字符"/>
    <w:basedOn w:val="20"/>
    <w:link w:val="12"/>
    <w:qFormat/>
    <w:uiPriority w:val="99"/>
    <w:rPr>
      <w:sz w:val="18"/>
      <w:szCs w:val="18"/>
    </w:rPr>
  </w:style>
  <w:style w:type="paragraph" w:styleId="30">
    <w:name w:val="List Paragraph"/>
    <w:basedOn w:val="1"/>
    <w:link w:val="31"/>
    <w:qFormat/>
    <w:uiPriority w:val="34"/>
    <w:pPr>
      <w:ind w:firstLine="420" w:firstLineChars="200"/>
    </w:pPr>
  </w:style>
  <w:style w:type="character" w:customStyle="1" w:styleId="31">
    <w:name w:val="列出段落 字符"/>
    <w:link w:val="30"/>
    <w:qFormat/>
    <w:uiPriority w:val="34"/>
  </w:style>
  <w:style w:type="paragraph" w:customStyle="1" w:styleId="32">
    <w:name w:val="列出段落1"/>
    <w:basedOn w:val="1"/>
    <w:qFormat/>
    <w:uiPriority w:val="34"/>
    <w:pPr>
      <w:ind w:firstLine="420" w:firstLineChars="200"/>
    </w:pPr>
    <w:rPr>
      <w:rFonts w:ascii="Calibri" w:hAnsi="Calibri" w:eastAsia="宋体" w:cs="黑体"/>
    </w:rPr>
  </w:style>
  <w:style w:type="character" w:customStyle="1" w:styleId="33">
    <w:name w:val="标题 1 字符"/>
    <w:basedOn w:val="20"/>
    <w:link w:val="2"/>
    <w:qFormat/>
    <w:uiPriority w:val="9"/>
    <w:rPr>
      <w:b/>
      <w:bCs/>
      <w:kern w:val="44"/>
      <w:sz w:val="44"/>
      <w:szCs w:val="44"/>
    </w:rPr>
  </w:style>
  <w:style w:type="character" w:customStyle="1" w:styleId="34">
    <w:name w:val="批注主题 字符"/>
    <w:basedOn w:val="26"/>
    <w:link w:val="17"/>
    <w:semiHidden/>
    <w:qFormat/>
    <w:uiPriority w:val="99"/>
    <w:rPr>
      <w:b/>
      <w:bCs/>
    </w:rPr>
  </w:style>
  <w:style w:type="character" w:customStyle="1" w:styleId="35">
    <w:name w:val="标题 2 字符"/>
    <w:basedOn w:val="20"/>
    <w:link w:val="3"/>
    <w:qFormat/>
    <w:uiPriority w:val="9"/>
    <w:rPr>
      <w:rFonts w:asciiTheme="majorHAnsi" w:hAnsiTheme="majorHAnsi" w:eastAsiaTheme="majorEastAsia" w:cstheme="majorBidi"/>
      <w:b/>
      <w:bCs/>
      <w:sz w:val="32"/>
      <w:szCs w:val="32"/>
    </w:rPr>
  </w:style>
  <w:style w:type="character" w:customStyle="1" w:styleId="36">
    <w:name w:val="标题 3 字符"/>
    <w:basedOn w:val="20"/>
    <w:link w:val="4"/>
    <w:semiHidden/>
    <w:qFormat/>
    <w:uiPriority w:val="9"/>
    <w:rPr>
      <w:b/>
      <w:bCs/>
      <w:sz w:val="32"/>
      <w:szCs w:val="32"/>
    </w:rPr>
  </w:style>
  <w:style w:type="character" w:customStyle="1" w:styleId="37">
    <w:name w:val="正文缩进2格 Char"/>
    <w:link w:val="38"/>
    <w:qFormat/>
    <w:uiPriority w:val="0"/>
    <w:rPr>
      <w:rFonts w:ascii="仿宋_GB2312" w:hAnsi="宋体" w:eastAsia="仿宋_GB2312"/>
      <w:sz w:val="31"/>
      <w:szCs w:val="28"/>
    </w:rPr>
  </w:style>
  <w:style w:type="paragraph" w:customStyle="1" w:styleId="38">
    <w:name w:val="正文缩进2格"/>
    <w:basedOn w:val="1"/>
    <w:link w:val="37"/>
    <w:qFormat/>
    <w:uiPriority w:val="0"/>
    <w:pPr>
      <w:spacing w:line="600" w:lineRule="exact"/>
      <w:ind w:firstLine="639" w:firstLineChars="206"/>
    </w:pPr>
    <w:rPr>
      <w:rFonts w:ascii="仿宋_GB2312" w:hAnsi="宋体" w:eastAsia="仿宋_GB2312"/>
      <w:sz w:val="31"/>
      <w:szCs w:val="28"/>
    </w:rPr>
  </w:style>
  <w:style w:type="character" w:customStyle="1" w:styleId="39">
    <w:name w:val="标题 3.1 Char"/>
    <w:link w:val="40"/>
    <w:qFormat/>
    <w:locked/>
    <w:uiPriority w:val="0"/>
    <w:rPr>
      <w:rFonts w:ascii="仿宋_GB2312" w:hAnsi="仿宋" w:eastAsia="仿宋_GB2312"/>
      <w:b/>
      <w:bCs/>
      <w:sz w:val="28"/>
      <w:szCs w:val="24"/>
    </w:rPr>
  </w:style>
  <w:style w:type="paragraph" w:customStyle="1" w:styleId="40">
    <w:name w:val="标题 3.1"/>
    <w:basedOn w:val="4"/>
    <w:link w:val="39"/>
    <w:qFormat/>
    <w:uiPriority w:val="0"/>
    <w:pPr>
      <w:spacing w:line="600" w:lineRule="exact"/>
      <w:jc w:val="left"/>
    </w:pPr>
    <w:rPr>
      <w:rFonts w:ascii="仿宋_GB2312" w:hAnsi="仿宋" w:eastAsia="仿宋_GB2312"/>
      <w:sz w:val="28"/>
      <w:szCs w:val="24"/>
    </w:rPr>
  </w:style>
  <w:style w:type="paragraph" w:customStyle="1" w:styleId="41">
    <w:name w:val="正文缩进4格"/>
    <w:basedOn w:val="38"/>
    <w:qFormat/>
    <w:uiPriority w:val="0"/>
    <w:pPr>
      <w:ind w:firstLine="560" w:firstLineChars="200"/>
    </w:pPr>
    <w:rPr>
      <w:rFonts w:hAnsi="Times New Roman"/>
      <w:color w:val="FF0000"/>
      <w:sz w:val="28"/>
    </w:rPr>
  </w:style>
  <w:style w:type="paragraph" w:customStyle="1" w:styleId="42">
    <w:name w:val="正文缩进6格"/>
    <w:basedOn w:val="41"/>
    <w:qFormat/>
    <w:uiPriority w:val="0"/>
    <w:pPr>
      <w:ind w:left="1758" w:leftChars="854"/>
    </w:pPr>
  </w:style>
  <w:style w:type="paragraph" w:customStyle="1" w:styleId="4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4">
    <w:name w:val="标题 4 字符"/>
    <w:basedOn w:val="20"/>
    <w:link w:val="5"/>
    <w:semiHidden/>
    <w:qFormat/>
    <w:uiPriority w:val="9"/>
    <w:rPr>
      <w:rFonts w:ascii="Cambria" w:hAnsi="Cambria" w:eastAsia="宋体" w:cs="Times New Roman"/>
      <w:b/>
      <w:bCs/>
      <w:kern w:val="0"/>
      <w:sz w:val="28"/>
      <w:szCs w:val="28"/>
    </w:rPr>
  </w:style>
  <w:style w:type="character" w:customStyle="1" w:styleId="45">
    <w:name w:val="日期 字符"/>
    <w:basedOn w:val="20"/>
    <w:link w:val="10"/>
    <w:qFormat/>
    <w:uiPriority w:val="0"/>
    <w:rPr>
      <w:rFonts w:ascii="Calibri" w:hAnsi="Calibri" w:eastAsia="宋体" w:cs="Times New Roman"/>
    </w:rPr>
  </w:style>
  <w:style w:type="character" w:customStyle="1" w:styleId="46">
    <w:name w:val="p141"/>
    <w:qFormat/>
    <w:uiPriority w:val="0"/>
    <w:rPr>
      <w:sz w:val="21"/>
      <w:szCs w:val="21"/>
    </w:rPr>
  </w:style>
  <w:style w:type="paragraph" w:customStyle="1" w:styleId="47">
    <w:name w:val="已访问的超链接1"/>
    <w:unhideWhenUsed/>
    <w:qFormat/>
    <w:uiPriority w:val="99"/>
    <w:pPr>
      <w:widowControl w:val="0"/>
      <w:jc w:val="both"/>
    </w:pPr>
    <w:rPr>
      <w:rFonts w:asciiTheme="minorHAnsi" w:hAnsiTheme="minorHAnsi" w:eastAsiaTheme="minorEastAsia" w:cstheme="minorBidi"/>
      <w:kern w:val="2"/>
      <w:sz w:val="21"/>
      <w:szCs w:val="22"/>
      <w:lang w:val="en-US" w:eastAsia="zh-CN" w:bidi="ar-SA"/>
    </w:rPr>
  </w:style>
  <w:style w:type="character" w:customStyle="1" w:styleId="48">
    <w:name w:val="纯文本 字符"/>
    <w:link w:val="9"/>
    <w:qFormat/>
    <w:uiPriority w:val="0"/>
    <w:rPr>
      <w:rFonts w:ascii="宋体" w:hAnsi="Courier New" w:eastAsia="宋体"/>
      <w:szCs w:val="24"/>
    </w:rPr>
  </w:style>
  <w:style w:type="character" w:customStyle="1" w:styleId="49">
    <w:name w:val="纯文本 Char"/>
    <w:basedOn w:val="20"/>
    <w:semiHidden/>
    <w:qFormat/>
    <w:uiPriority w:val="99"/>
    <w:rPr>
      <w:rFonts w:ascii="宋体" w:hAnsi="Courier New" w:eastAsia="宋体" w:cs="Courier New"/>
      <w:szCs w:val="21"/>
    </w:rPr>
  </w:style>
  <w:style w:type="character" w:customStyle="1" w:styleId="50">
    <w:name w:val="正文缩进2格 Char Char"/>
    <w:qFormat/>
    <w:uiPriority w:val="0"/>
    <w:rPr>
      <w:rFonts w:ascii="仿宋_GB2312" w:hAnsi="宋体" w:eastAsia="仿宋_GB2312"/>
      <w:kern w:val="2"/>
      <w:sz w:val="31"/>
      <w:szCs w:val="28"/>
      <w:lang w:val="en-US" w:eastAsia="zh-CN" w:bidi="ar-SA"/>
    </w:rPr>
  </w:style>
  <w:style w:type="character" w:customStyle="1" w:styleId="51">
    <w:name w:val="正文文本 Char"/>
    <w:basedOn w:val="20"/>
    <w:semiHidden/>
    <w:qFormat/>
    <w:uiPriority w:val="99"/>
  </w:style>
  <w:style w:type="character" w:customStyle="1" w:styleId="52">
    <w:name w:val="正文文本 字符"/>
    <w:link w:val="7"/>
    <w:qFormat/>
    <w:uiPriority w:val="0"/>
    <w:rPr>
      <w:rFonts w:ascii="Times New Roman" w:hAnsi="Times New Roman" w:eastAsia="宋体" w:cs="Times New Roman"/>
      <w:kern w:val="0"/>
      <w:sz w:val="20"/>
      <w:szCs w:val="24"/>
    </w:rPr>
  </w:style>
  <w:style w:type="paragraph" w:customStyle="1" w:styleId="53">
    <w:name w:val="保留正文"/>
    <w:basedOn w:val="7"/>
    <w:qFormat/>
    <w:uiPriority w:val="0"/>
    <w:pPr>
      <w:keepNext/>
      <w:spacing w:after="160"/>
    </w:pPr>
  </w:style>
  <w:style w:type="paragraph" w:customStyle="1" w:styleId="54">
    <w:name w:val="修订1"/>
    <w:hidden/>
    <w:semiHidden/>
    <w:qFormat/>
    <w:uiPriority w:val="99"/>
    <w:rPr>
      <w:rFonts w:ascii="Calibri" w:hAnsi="Calibri" w:eastAsia="宋体" w:cs="Times New Roman"/>
      <w:kern w:val="2"/>
      <w:sz w:val="21"/>
      <w:szCs w:val="22"/>
      <w:lang w:val="en-US" w:eastAsia="zh-CN" w:bidi="ar-SA"/>
    </w:rPr>
  </w:style>
  <w:style w:type="paragraph" w:customStyle="1" w:styleId="55">
    <w:name w:val="_Style 202"/>
    <w:basedOn w:val="1"/>
    <w:qFormat/>
    <w:uiPriority w:val="0"/>
    <w:pPr>
      <w:tabs>
        <w:tab w:val="left" w:pos="360"/>
      </w:tabs>
    </w:pPr>
    <w:rPr>
      <w:rFonts w:ascii="Times New Roman" w:hAnsi="Times New Roman" w:eastAsia="宋体" w:cs="Times New Roman"/>
      <w:szCs w:val="24"/>
    </w:rPr>
  </w:style>
  <w:style w:type="paragraph" w:customStyle="1" w:styleId="56">
    <w:name w:val="样式4"/>
    <w:basedOn w:val="1"/>
    <w:qFormat/>
    <w:uiPriority w:val="0"/>
    <w:pPr>
      <w:tabs>
        <w:tab w:val="left" w:pos="2328"/>
      </w:tabs>
      <w:ind w:left="2328" w:hanging="708"/>
    </w:pPr>
    <w:rPr>
      <w:rFonts w:ascii="Times New Roman" w:hAnsi="Times New Roman" w:eastAsia="宋体" w:cs="Times New Roman"/>
      <w:szCs w:val="24"/>
    </w:rPr>
  </w:style>
  <w:style w:type="character" w:customStyle="1" w:styleId="57">
    <w:name w:val="15"/>
    <w:qFormat/>
    <w:uiPriority w:val="0"/>
    <w:rPr>
      <w:rFonts w:hint="default" w:ascii="Calibri" w:hAnsi="Calibri" w:cs="Calibri"/>
      <w:color w:val="0000FF"/>
      <w:u w:val="single"/>
    </w:rPr>
  </w:style>
  <w:style w:type="paragraph" w:customStyle="1" w:styleId="58">
    <w:name w:val="xl44"/>
    <w:basedOn w:val="1"/>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eastAsia="宋体" w:cs="Times New Roman"/>
      <w:kern w:val="0"/>
      <w:sz w:val="24"/>
      <w:szCs w:val="24"/>
    </w:rPr>
  </w:style>
  <w:style w:type="paragraph" w:customStyle="1" w:styleId="59">
    <w:name w:val="列表段落1"/>
    <w:basedOn w:val="1"/>
    <w:link w:val="63"/>
    <w:qFormat/>
    <w:uiPriority w:val="34"/>
    <w:pPr>
      <w:ind w:firstLine="420" w:firstLineChars="200"/>
    </w:pPr>
    <w:rPr>
      <w:rFonts w:ascii="Calibri" w:hAnsi="Calibri" w:eastAsia="宋体" w:cs="Times New Roman"/>
    </w:rPr>
  </w:style>
  <w:style w:type="character" w:customStyle="1" w:styleId="60">
    <w:name w:val="列表段落 字符1"/>
    <w:qFormat/>
    <w:uiPriority w:val="0"/>
    <w:rPr>
      <w:rFonts w:ascii="Calibri" w:hAnsi="Calibri"/>
      <w:kern w:val="2"/>
      <w:sz w:val="21"/>
      <w:szCs w:val="22"/>
    </w:rPr>
  </w:style>
  <w:style w:type="character" w:customStyle="1" w:styleId="61">
    <w:name w:val="批注文字 Char1"/>
    <w:basedOn w:val="20"/>
    <w:qFormat/>
    <w:uiPriority w:val="0"/>
    <w:rPr>
      <w:rFonts w:ascii="Calibri" w:hAnsi="Calibri" w:eastAsia="宋体" w:cs="Times New Roman"/>
    </w:rPr>
  </w:style>
  <w:style w:type="character" w:customStyle="1" w:styleId="62">
    <w:name w:val="普通(网站) 字符"/>
    <w:link w:val="16"/>
    <w:qFormat/>
    <w:uiPriority w:val="99"/>
    <w:rPr>
      <w:rFonts w:ascii="宋体" w:hAnsi="宋体" w:eastAsia="宋体" w:cs="Times New Roman"/>
      <w:kern w:val="0"/>
      <w:sz w:val="24"/>
      <w:szCs w:val="24"/>
    </w:rPr>
  </w:style>
  <w:style w:type="character" w:customStyle="1" w:styleId="63">
    <w:name w:val="列表段落 字符"/>
    <w:link w:val="59"/>
    <w:qFormat/>
    <w:uiPriority w:val="34"/>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85BAB-039A-4393-A181-8DFA010428D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28272</Words>
  <Characters>30553</Characters>
  <Lines>288</Lines>
  <Paragraphs>81</Paragraphs>
  <TotalTime>0</TotalTime>
  <ScaleCrop>false</ScaleCrop>
  <LinksUpToDate>false</LinksUpToDate>
  <CharactersWithSpaces>35292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2023-02-12T07:01:00Z</dcterms:created>
  <dc:creator>admin</dc:creator>
  <cp:lastModifiedBy>Administrator</cp:lastModifiedBy>
  <cp:lastPrinted>2019-08-01T06:35:00Z</cp:lastPrinted>
  <dcterms:modified xsi:type="dcterms:W3CDTF">2023-02-13T12:10:42Z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EF0BAECE43E74C92A17BD7E3487A0BAD</vt:lpwstr>
  </property>
</Properties>
</file>